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67D" w:rsidRPr="00574008" w:rsidRDefault="0012367D" w:rsidP="00AA6CAF">
      <w:pPr>
        <w:pStyle w:val="Obsah1"/>
      </w:pPr>
      <w:bookmarkStart w:id="0" w:name="_GoBack"/>
      <w:bookmarkEnd w:id="0"/>
      <w:r w:rsidRPr="00574008">
        <w:t>OBSAH</w:t>
      </w:r>
    </w:p>
    <w:p w:rsidR="00E71E4A" w:rsidRPr="00574008" w:rsidRDefault="00E734B1" w:rsidP="00AA6CAF">
      <w:pPr>
        <w:pStyle w:val="Obsah1"/>
        <w:rPr>
          <w:rFonts w:eastAsiaTheme="minorEastAsia"/>
          <w:lang w:eastAsia="sk-SK"/>
        </w:rPr>
      </w:pPr>
      <w:r w:rsidRPr="00574008">
        <w:fldChar w:fldCharType="begin"/>
      </w:r>
      <w:r w:rsidR="0012367D" w:rsidRPr="00574008">
        <w:instrText xml:space="preserve"> TOC \o "1-3" \h \z \u </w:instrText>
      </w:r>
      <w:r w:rsidRPr="00574008">
        <w:fldChar w:fldCharType="separate"/>
      </w:r>
      <w:hyperlink w:anchor="_Toc415553090" w:history="1">
        <w:r w:rsidR="00E71E4A" w:rsidRPr="00574008">
          <w:rPr>
            <w:rStyle w:val="Hypertextovprepojenie"/>
            <w:rFonts w:ascii="Times New Roman" w:hAnsi="Times New Roman"/>
          </w:rPr>
          <w:t>1.</w:t>
        </w:r>
        <w:r w:rsidR="00E71E4A" w:rsidRPr="00574008">
          <w:rPr>
            <w:rFonts w:eastAsiaTheme="minorEastAsia"/>
            <w:lang w:eastAsia="sk-SK"/>
          </w:rPr>
          <w:tab/>
        </w:r>
        <w:r w:rsidR="00E71E4A" w:rsidRPr="00574008">
          <w:rPr>
            <w:rStyle w:val="Hypertextovprepojenie"/>
            <w:rFonts w:ascii="Times New Roman" w:hAnsi="Times New Roman"/>
          </w:rPr>
          <w:t>Správa o hospodárení kapitoly</w:t>
        </w:r>
        <w:r w:rsidR="00574008" w:rsidRPr="00574008">
          <w:rPr>
            <w:rStyle w:val="Hypertextovprepojenie"/>
            <w:rFonts w:ascii="Times New Roman" w:hAnsi="Times New Roman"/>
          </w:rPr>
          <w:t>............................................................</w:t>
        </w:r>
        <w:r w:rsidR="00574008">
          <w:rPr>
            <w:rStyle w:val="Hypertextovprepojenie"/>
            <w:rFonts w:ascii="Times New Roman" w:hAnsi="Times New Roman"/>
          </w:rPr>
          <w:t>.......</w:t>
        </w:r>
        <w:r w:rsidR="00574008" w:rsidRPr="00574008">
          <w:rPr>
            <w:rStyle w:val="Hypertextovprepojenie"/>
            <w:rFonts w:ascii="Times New Roman" w:hAnsi="Times New Roman"/>
          </w:rPr>
          <w:t>.............................</w:t>
        </w:r>
        <w:r w:rsidR="005851E5">
          <w:rPr>
            <w:rStyle w:val="Hypertextovprepojenie"/>
            <w:rFonts w:ascii="Times New Roman" w:hAnsi="Times New Roman"/>
          </w:rPr>
          <w:t>.</w:t>
        </w:r>
        <w:r w:rsidR="00574008" w:rsidRPr="00574008">
          <w:rPr>
            <w:rStyle w:val="Hypertextovprepojenie"/>
            <w:rFonts w:ascii="Times New Roman" w:hAnsi="Times New Roman"/>
          </w:rPr>
          <w:t>.</w:t>
        </w:r>
        <w:r w:rsidR="00137748">
          <w:rPr>
            <w:rStyle w:val="Hypertextovprepojenie"/>
            <w:rFonts w:ascii="Times New Roman" w:hAnsi="Times New Roman"/>
          </w:rPr>
          <w:t>.</w:t>
        </w:r>
        <w:r w:rsidR="00574008" w:rsidRPr="00574008">
          <w:rPr>
            <w:rStyle w:val="Hypertextovprepojenie"/>
            <w:rFonts w:ascii="Times New Roman" w:hAnsi="Times New Roman"/>
          </w:rPr>
          <w:t>......</w:t>
        </w:r>
        <w:r w:rsidR="00E71E4A" w:rsidRPr="00574008">
          <w:rPr>
            <w:webHidden/>
          </w:rPr>
          <w:fldChar w:fldCharType="begin"/>
        </w:r>
        <w:r w:rsidR="00E71E4A" w:rsidRPr="00574008">
          <w:rPr>
            <w:webHidden/>
          </w:rPr>
          <w:instrText xml:space="preserve"> PAGEREF _Toc415553090 \h </w:instrText>
        </w:r>
        <w:r w:rsidR="00E71E4A" w:rsidRPr="00574008">
          <w:rPr>
            <w:webHidden/>
          </w:rPr>
        </w:r>
        <w:r w:rsidR="00E71E4A" w:rsidRPr="00574008">
          <w:rPr>
            <w:webHidden/>
          </w:rPr>
          <w:fldChar w:fldCharType="separate"/>
        </w:r>
        <w:r w:rsidR="006D2E87">
          <w:rPr>
            <w:webHidden/>
          </w:rPr>
          <w:t>2</w:t>
        </w:r>
        <w:r w:rsidR="00E71E4A" w:rsidRPr="00574008">
          <w:rPr>
            <w:webHidden/>
          </w:rPr>
          <w:fldChar w:fldCharType="end"/>
        </w:r>
      </w:hyperlink>
    </w:p>
    <w:p w:rsidR="00E71E4A" w:rsidRPr="003E3CCA" w:rsidRDefault="00966078" w:rsidP="003E3CCA">
      <w:pPr>
        <w:pStyle w:val="Obsah2"/>
        <w:rPr>
          <w:rFonts w:eastAsiaTheme="minorEastAsia"/>
          <w:lang w:eastAsia="sk-SK"/>
        </w:rPr>
      </w:pPr>
      <w:hyperlink w:anchor="_Toc415553091" w:history="1">
        <w:r w:rsidR="00E71E4A" w:rsidRPr="003E3CCA">
          <w:rPr>
            <w:rStyle w:val="Hypertextovprepojenie"/>
          </w:rPr>
          <w:t>1.1.</w:t>
        </w:r>
        <w:r w:rsidR="00E71E4A" w:rsidRPr="003E3CCA">
          <w:rPr>
            <w:rFonts w:eastAsiaTheme="minorEastAsia"/>
            <w:lang w:eastAsia="sk-SK"/>
          </w:rPr>
          <w:tab/>
        </w:r>
        <w:r w:rsidR="00E71E4A" w:rsidRPr="003E3CCA">
          <w:rPr>
            <w:rStyle w:val="Hypertextovprepojenie"/>
          </w:rPr>
          <w:t>Súhrnná charakteristika kapitoly a  jej hospodárenia  v hodnotenom rozpočtovom roku</w:t>
        </w:r>
        <w:r w:rsidR="00E71E4A" w:rsidRPr="003E3CCA">
          <w:rPr>
            <w:webHidden/>
          </w:rPr>
          <w:tab/>
        </w:r>
        <w:r w:rsidR="00E71E4A" w:rsidRPr="003E3CCA">
          <w:rPr>
            <w:webHidden/>
          </w:rPr>
          <w:fldChar w:fldCharType="begin"/>
        </w:r>
        <w:r w:rsidR="00E71E4A" w:rsidRPr="003E3CCA">
          <w:rPr>
            <w:webHidden/>
          </w:rPr>
          <w:instrText xml:space="preserve"> PAGEREF _Toc415553091 \h </w:instrText>
        </w:r>
        <w:r w:rsidR="00E71E4A" w:rsidRPr="003E3CCA">
          <w:rPr>
            <w:webHidden/>
          </w:rPr>
        </w:r>
        <w:r w:rsidR="00E71E4A" w:rsidRPr="003E3CCA">
          <w:rPr>
            <w:webHidden/>
          </w:rPr>
          <w:fldChar w:fldCharType="separate"/>
        </w:r>
        <w:r w:rsidR="006D2E87">
          <w:rPr>
            <w:webHidden/>
          </w:rPr>
          <w:t>2</w:t>
        </w:r>
        <w:r w:rsidR="00E71E4A" w:rsidRPr="003E3CCA">
          <w:rPr>
            <w:webHidden/>
          </w:rPr>
          <w:fldChar w:fldCharType="end"/>
        </w:r>
      </w:hyperlink>
    </w:p>
    <w:p w:rsidR="00E71E4A" w:rsidRPr="00574008" w:rsidRDefault="00966078" w:rsidP="00BB0EAD">
      <w:pPr>
        <w:pStyle w:val="Obsah3"/>
        <w:rPr>
          <w:rFonts w:eastAsiaTheme="minorEastAsia"/>
          <w:noProof/>
          <w:lang w:eastAsia="sk-SK"/>
        </w:rPr>
      </w:pPr>
      <w:hyperlink w:anchor="_Toc415553092" w:history="1">
        <w:r w:rsidR="00E71E4A" w:rsidRPr="00574008">
          <w:rPr>
            <w:rStyle w:val="Hypertextovprepojenie"/>
            <w:noProof/>
          </w:rPr>
          <w:t>1.1.1.</w:t>
        </w:r>
        <w:r w:rsidR="00E71E4A" w:rsidRPr="00574008">
          <w:rPr>
            <w:rFonts w:eastAsiaTheme="minorEastAsia"/>
            <w:noProof/>
            <w:lang w:eastAsia="sk-SK"/>
          </w:rPr>
          <w:tab/>
        </w:r>
        <w:r w:rsidR="00E71E4A" w:rsidRPr="00574008">
          <w:rPr>
            <w:rStyle w:val="Hypertextovprepojenie"/>
            <w:noProof/>
          </w:rPr>
          <w:t>Charakteristika činnosti kapitoly</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_Toc415553092 \h </w:instrText>
        </w:r>
        <w:r w:rsidR="00E71E4A" w:rsidRPr="00574008">
          <w:rPr>
            <w:noProof/>
            <w:webHidden/>
          </w:rPr>
        </w:r>
        <w:r w:rsidR="00E71E4A" w:rsidRPr="00574008">
          <w:rPr>
            <w:noProof/>
            <w:webHidden/>
          </w:rPr>
          <w:fldChar w:fldCharType="separate"/>
        </w:r>
        <w:r w:rsidR="006D2E87">
          <w:rPr>
            <w:noProof/>
            <w:webHidden/>
          </w:rPr>
          <w:t>2</w:t>
        </w:r>
        <w:r w:rsidR="00E71E4A" w:rsidRPr="00574008">
          <w:rPr>
            <w:noProof/>
            <w:webHidden/>
          </w:rPr>
          <w:fldChar w:fldCharType="end"/>
        </w:r>
      </w:hyperlink>
    </w:p>
    <w:p w:rsidR="00E71E4A" w:rsidRPr="00574008" w:rsidRDefault="00966078" w:rsidP="00BB0EAD">
      <w:pPr>
        <w:pStyle w:val="Obsah3"/>
        <w:rPr>
          <w:rFonts w:eastAsiaTheme="minorEastAsia"/>
          <w:noProof/>
          <w:lang w:eastAsia="sk-SK"/>
        </w:rPr>
      </w:pPr>
      <w:hyperlink w:anchor="_Toc415553093" w:history="1">
        <w:r w:rsidR="00E71E4A" w:rsidRPr="00574008">
          <w:rPr>
            <w:rStyle w:val="Hypertextovprepojenie"/>
            <w:noProof/>
          </w:rPr>
          <w:t>1.1.2.</w:t>
        </w:r>
        <w:r w:rsidR="00E71E4A" w:rsidRPr="00574008">
          <w:rPr>
            <w:rFonts w:eastAsiaTheme="minorEastAsia"/>
            <w:noProof/>
            <w:lang w:eastAsia="sk-SK"/>
          </w:rPr>
          <w:tab/>
        </w:r>
        <w:r w:rsidR="00E71E4A" w:rsidRPr="00574008">
          <w:rPr>
            <w:rStyle w:val="Hypertextovprepojenie"/>
            <w:noProof/>
          </w:rPr>
          <w:t>Výsledok rozpočtového hospodárenia kapitoly</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_Toc415553093 \h </w:instrText>
        </w:r>
        <w:r w:rsidR="00E71E4A" w:rsidRPr="00574008">
          <w:rPr>
            <w:noProof/>
            <w:webHidden/>
          </w:rPr>
        </w:r>
        <w:r w:rsidR="00E71E4A" w:rsidRPr="00574008">
          <w:rPr>
            <w:noProof/>
            <w:webHidden/>
          </w:rPr>
          <w:fldChar w:fldCharType="separate"/>
        </w:r>
        <w:r w:rsidR="006D2E87">
          <w:rPr>
            <w:noProof/>
            <w:webHidden/>
          </w:rPr>
          <w:t>3</w:t>
        </w:r>
        <w:r w:rsidR="00E71E4A" w:rsidRPr="00574008">
          <w:rPr>
            <w:noProof/>
            <w:webHidden/>
          </w:rPr>
          <w:fldChar w:fldCharType="end"/>
        </w:r>
      </w:hyperlink>
    </w:p>
    <w:p w:rsidR="00574008" w:rsidRDefault="00966078" w:rsidP="00BB0EAD">
      <w:pPr>
        <w:pStyle w:val="Obsah3"/>
        <w:rPr>
          <w:rStyle w:val="Hypertextovprepojenie"/>
          <w:noProof/>
        </w:rPr>
      </w:pPr>
      <w:hyperlink w:anchor="_Toc415553094" w:history="1">
        <w:r w:rsidR="00E71E4A" w:rsidRPr="00574008">
          <w:rPr>
            <w:rStyle w:val="Hypertextovprepojenie"/>
            <w:noProof/>
          </w:rPr>
          <w:t>1.1.3.</w:t>
        </w:r>
        <w:r w:rsidR="00E71E4A" w:rsidRPr="00574008">
          <w:rPr>
            <w:rFonts w:eastAsiaTheme="minorEastAsia"/>
            <w:noProof/>
            <w:lang w:eastAsia="sk-SK"/>
          </w:rPr>
          <w:tab/>
        </w:r>
        <w:r w:rsidR="00E71E4A" w:rsidRPr="00574008">
          <w:rPr>
            <w:rStyle w:val="Hypertextovprepojenie"/>
            <w:noProof/>
          </w:rPr>
          <w:t>Zhodnotenie plnenia záväzných ukazovateľov rozpočtu kapitoly</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_Toc415553094 \h </w:instrText>
        </w:r>
        <w:r w:rsidR="00E71E4A" w:rsidRPr="00574008">
          <w:rPr>
            <w:noProof/>
            <w:webHidden/>
          </w:rPr>
        </w:r>
        <w:r w:rsidR="00E71E4A" w:rsidRPr="00574008">
          <w:rPr>
            <w:noProof/>
            <w:webHidden/>
          </w:rPr>
          <w:fldChar w:fldCharType="separate"/>
        </w:r>
        <w:r w:rsidR="006D2E87">
          <w:rPr>
            <w:noProof/>
            <w:webHidden/>
          </w:rPr>
          <w:t>3</w:t>
        </w:r>
        <w:r w:rsidR="00E71E4A" w:rsidRPr="00574008">
          <w:rPr>
            <w:noProof/>
            <w:webHidden/>
          </w:rPr>
          <w:fldChar w:fldCharType="end"/>
        </w:r>
      </w:hyperlink>
    </w:p>
    <w:p w:rsidR="00920D0A" w:rsidRPr="00920D0A" w:rsidRDefault="00920D0A" w:rsidP="00920D0A">
      <w:pPr>
        <w:rPr>
          <w:noProof/>
        </w:rPr>
      </w:pPr>
    </w:p>
    <w:p w:rsidR="00E71E4A" w:rsidRPr="00574008" w:rsidRDefault="00966078" w:rsidP="003E3CCA">
      <w:pPr>
        <w:pStyle w:val="Obsah2"/>
        <w:rPr>
          <w:rFonts w:eastAsiaTheme="minorEastAsia"/>
          <w:lang w:eastAsia="sk-SK"/>
        </w:rPr>
      </w:pPr>
      <w:hyperlink w:anchor="_Toc415553095" w:history="1">
        <w:r w:rsidR="00E71E4A" w:rsidRPr="00574008">
          <w:rPr>
            <w:rStyle w:val="Hypertextovprepojenie"/>
            <w:lang w:eastAsia="sk-SK"/>
          </w:rPr>
          <w:t>1.2.</w:t>
        </w:r>
        <w:r w:rsidR="00E71E4A" w:rsidRPr="00574008">
          <w:rPr>
            <w:rFonts w:eastAsiaTheme="minorEastAsia"/>
            <w:lang w:eastAsia="sk-SK"/>
          </w:rPr>
          <w:tab/>
        </w:r>
        <w:r w:rsidR="00E71E4A" w:rsidRPr="00574008">
          <w:rPr>
            <w:rStyle w:val="Hypertextovprepojenie"/>
          </w:rPr>
          <w:t xml:space="preserve">Príjmy kapitoly </w:t>
        </w:r>
        <w:r w:rsidR="00E71E4A" w:rsidRPr="00574008">
          <w:rPr>
            <w:webHidden/>
          </w:rPr>
          <w:tab/>
        </w:r>
        <w:r w:rsidR="00E71E4A" w:rsidRPr="00574008">
          <w:rPr>
            <w:webHidden/>
          </w:rPr>
          <w:fldChar w:fldCharType="begin"/>
        </w:r>
        <w:r w:rsidR="00E71E4A" w:rsidRPr="00574008">
          <w:rPr>
            <w:webHidden/>
          </w:rPr>
          <w:instrText xml:space="preserve"> PAGEREF _Toc415553095 \h </w:instrText>
        </w:r>
        <w:r w:rsidR="00E71E4A" w:rsidRPr="00574008">
          <w:rPr>
            <w:webHidden/>
          </w:rPr>
        </w:r>
        <w:r w:rsidR="00E71E4A" w:rsidRPr="00574008">
          <w:rPr>
            <w:webHidden/>
          </w:rPr>
          <w:fldChar w:fldCharType="separate"/>
        </w:r>
        <w:r w:rsidR="006D2E87">
          <w:rPr>
            <w:webHidden/>
          </w:rPr>
          <w:t>5</w:t>
        </w:r>
        <w:r w:rsidR="00E71E4A" w:rsidRPr="00574008">
          <w:rPr>
            <w:webHidden/>
          </w:rPr>
          <w:fldChar w:fldCharType="end"/>
        </w:r>
      </w:hyperlink>
    </w:p>
    <w:p w:rsidR="00E71E4A" w:rsidRPr="00574008" w:rsidRDefault="00966078" w:rsidP="00BB0EAD">
      <w:pPr>
        <w:pStyle w:val="Obsah3"/>
        <w:rPr>
          <w:rFonts w:eastAsiaTheme="minorEastAsia"/>
          <w:noProof/>
          <w:lang w:eastAsia="sk-SK"/>
        </w:rPr>
      </w:pPr>
      <w:hyperlink w:anchor="_Toc415553096" w:history="1">
        <w:r w:rsidR="00E71E4A" w:rsidRPr="00574008">
          <w:rPr>
            <w:rStyle w:val="Hypertextovprepojenie"/>
            <w:noProof/>
          </w:rPr>
          <w:t>1.2.1.</w:t>
        </w:r>
        <w:r w:rsidR="00E71E4A" w:rsidRPr="00574008">
          <w:rPr>
            <w:rFonts w:eastAsiaTheme="minorEastAsia"/>
            <w:noProof/>
            <w:lang w:eastAsia="sk-SK"/>
          </w:rPr>
          <w:tab/>
        </w:r>
        <w:r w:rsidR="00E71E4A" w:rsidRPr="00574008">
          <w:rPr>
            <w:rStyle w:val="Hypertextovprepojenie"/>
            <w:noProof/>
          </w:rPr>
          <w:t>Príjmy kapitoly podľa ekonomickej klasifikácie</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_Toc415553096 \h </w:instrText>
        </w:r>
        <w:r w:rsidR="00E71E4A" w:rsidRPr="00574008">
          <w:rPr>
            <w:noProof/>
            <w:webHidden/>
          </w:rPr>
        </w:r>
        <w:r w:rsidR="00E71E4A" w:rsidRPr="00574008">
          <w:rPr>
            <w:noProof/>
            <w:webHidden/>
          </w:rPr>
          <w:fldChar w:fldCharType="separate"/>
        </w:r>
        <w:r w:rsidR="006D2E87">
          <w:rPr>
            <w:noProof/>
            <w:webHidden/>
          </w:rPr>
          <w:t>5</w:t>
        </w:r>
        <w:r w:rsidR="00E71E4A" w:rsidRPr="00574008">
          <w:rPr>
            <w:noProof/>
            <w:webHidden/>
          </w:rPr>
          <w:fldChar w:fldCharType="end"/>
        </w:r>
      </w:hyperlink>
    </w:p>
    <w:p w:rsidR="00E71E4A" w:rsidRDefault="00966078" w:rsidP="00BB0EAD">
      <w:pPr>
        <w:pStyle w:val="Obsah3"/>
        <w:rPr>
          <w:rStyle w:val="Hypertextovprepojenie"/>
          <w:noProof/>
        </w:rPr>
      </w:pPr>
      <w:hyperlink w:anchor="_Toc415553097" w:history="1">
        <w:r w:rsidR="00E71E4A" w:rsidRPr="00574008">
          <w:rPr>
            <w:rStyle w:val="Hypertextovprepojenie"/>
            <w:noProof/>
          </w:rPr>
          <w:t>1.2.2.</w:t>
        </w:r>
        <w:r w:rsidR="00E71E4A" w:rsidRPr="00574008">
          <w:rPr>
            <w:rFonts w:eastAsiaTheme="minorEastAsia"/>
            <w:noProof/>
            <w:lang w:eastAsia="sk-SK"/>
          </w:rPr>
          <w:tab/>
        </w:r>
        <w:r w:rsidR="00E71E4A" w:rsidRPr="00574008">
          <w:rPr>
            <w:rStyle w:val="Hypertextovprepojenie"/>
            <w:noProof/>
          </w:rPr>
          <w:t>Prostriedky prijaté z rozpočtu Európskej únie a iné prostriedky zo zahraničia poskytnuté Slovenskej republike na základe medzinárodných zmlúv uzavretých medzi Slovenskou republikou a inými štátmi</w:t>
        </w:r>
        <w:r w:rsidR="00E71E4A" w:rsidRPr="00574008">
          <w:rPr>
            <w:noProof/>
            <w:webHidden/>
          </w:rPr>
          <w:tab/>
        </w:r>
      </w:hyperlink>
      <w:r w:rsidR="00825C6C">
        <w:rPr>
          <w:noProof/>
        </w:rPr>
        <w:t>13</w:t>
      </w:r>
    </w:p>
    <w:p w:rsidR="00920D0A" w:rsidRPr="00574008" w:rsidRDefault="00966078" w:rsidP="00BB0EAD">
      <w:pPr>
        <w:pStyle w:val="Obsah3"/>
        <w:rPr>
          <w:noProof/>
          <w:lang w:eastAsia="sk-SK"/>
        </w:rPr>
      </w:pPr>
      <w:hyperlink w:anchor="_Toc415553102" w:history="1">
        <w:r w:rsidR="00920D0A" w:rsidRPr="00574008">
          <w:rPr>
            <w:rStyle w:val="Hypertextovprepojenie"/>
            <w:noProof/>
          </w:rPr>
          <w:t>1.</w:t>
        </w:r>
        <w:r w:rsidR="00920D0A">
          <w:rPr>
            <w:rStyle w:val="Hypertextovprepojenie"/>
            <w:noProof/>
          </w:rPr>
          <w:t>2.</w:t>
        </w:r>
        <w:r w:rsidR="00920D0A" w:rsidRPr="00574008">
          <w:rPr>
            <w:rStyle w:val="Hypertextovprepojenie"/>
            <w:noProof/>
          </w:rPr>
          <w:t>3.</w:t>
        </w:r>
        <w:r w:rsidR="00920D0A" w:rsidRPr="00574008">
          <w:rPr>
            <w:noProof/>
            <w:lang w:eastAsia="sk-SK"/>
          </w:rPr>
          <w:tab/>
        </w:r>
        <w:r w:rsidR="00920D0A">
          <w:rPr>
            <w:noProof/>
            <w:lang w:eastAsia="sk-SK"/>
          </w:rPr>
          <w:t>Úpravy pôvodne schváleného rozpočtu príjmov v priebehu roka</w:t>
        </w:r>
        <w:r w:rsidR="00920D0A" w:rsidRPr="00574008">
          <w:rPr>
            <w:noProof/>
            <w:webHidden/>
          </w:rPr>
          <w:tab/>
        </w:r>
        <w:r w:rsidR="00813044">
          <w:rPr>
            <w:noProof/>
            <w:webHidden/>
          </w:rPr>
          <w:t>1</w:t>
        </w:r>
        <w:r w:rsidR="00334B8D">
          <w:rPr>
            <w:noProof/>
            <w:webHidden/>
          </w:rPr>
          <w:t>3</w:t>
        </w:r>
      </w:hyperlink>
    </w:p>
    <w:p w:rsidR="00920D0A" w:rsidRDefault="00920D0A" w:rsidP="003E3CCA">
      <w:pPr>
        <w:pStyle w:val="Obsah2"/>
        <w:rPr>
          <w:rStyle w:val="Hypertextovprepojenie"/>
        </w:rPr>
      </w:pPr>
    </w:p>
    <w:p w:rsidR="00E71E4A" w:rsidRPr="00574008" w:rsidRDefault="00966078" w:rsidP="003E3CCA">
      <w:pPr>
        <w:pStyle w:val="Obsah2"/>
        <w:rPr>
          <w:rFonts w:eastAsiaTheme="minorEastAsia"/>
          <w:lang w:eastAsia="sk-SK"/>
        </w:rPr>
      </w:pPr>
      <w:hyperlink w:anchor="_Toc415553098" w:history="1">
        <w:r w:rsidR="00E71E4A" w:rsidRPr="00574008">
          <w:rPr>
            <w:rStyle w:val="Hypertextovprepojenie"/>
          </w:rPr>
          <w:t>1.3.</w:t>
        </w:r>
        <w:r w:rsidR="00E71E4A" w:rsidRPr="00574008">
          <w:rPr>
            <w:rFonts w:eastAsiaTheme="minorEastAsia"/>
            <w:lang w:eastAsia="sk-SK"/>
          </w:rPr>
          <w:tab/>
        </w:r>
        <w:r w:rsidR="00E71E4A" w:rsidRPr="00574008">
          <w:rPr>
            <w:rStyle w:val="Hypertextovprepojenie"/>
          </w:rPr>
          <w:t>Výdavky kapitoly</w:t>
        </w:r>
        <w:r w:rsidR="00E71E4A" w:rsidRPr="00574008">
          <w:rPr>
            <w:webHidden/>
          </w:rPr>
          <w:tab/>
        </w:r>
        <w:r w:rsidR="00E71E4A" w:rsidRPr="00574008">
          <w:rPr>
            <w:webHidden/>
          </w:rPr>
          <w:fldChar w:fldCharType="begin"/>
        </w:r>
        <w:r w:rsidR="00E71E4A" w:rsidRPr="00574008">
          <w:rPr>
            <w:webHidden/>
          </w:rPr>
          <w:instrText xml:space="preserve"> PAGEREF _Toc415553098 \h </w:instrText>
        </w:r>
        <w:r w:rsidR="00E71E4A" w:rsidRPr="00574008">
          <w:rPr>
            <w:webHidden/>
          </w:rPr>
        </w:r>
        <w:r w:rsidR="00E71E4A" w:rsidRPr="00574008">
          <w:rPr>
            <w:webHidden/>
          </w:rPr>
          <w:fldChar w:fldCharType="separate"/>
        </w:r>
        <w:r w:rsidR="006D2E87">
          <w:rPr>
            <w:webHidden/>
          </w:rPr>
          <w:t>13</w:t>
        </w:r>
        <w:r w:rsidR="00E71E4A" w:rsidRPr="00574008">
          <w:rPr>
            <w:webHidden/>
          </w:rPr>
          <w:fldChar w:fldCharType="end"/>
        </w:r>
      </w:hyperlink>
    </w:p>
    <w:p w:rsidR="00E71E4A" w:rsidRPr="00574008" w:rsidRDefault="00966078" w:rsidP="00BB0EAD">
      <w:pPr>
        <w:pStyle w:val="Obsah3"/>
        <w:rPr>
          <w:rFonts w:eastAsiaTheme="minorEastAsia"/>
          <w:noProof/>
          <w:lang w:eastAsia="sk-SK"/>
        </w:rPr>
      </w:pPr>
      <w:hyperlink w:anchor="_Toc415553099" w:history="1">
        <w:r w:rsidR="00E71E4A" w:rsidRPr="00574008">
          <w:rPr>
            <w:rStyle w:val="Hypertextovprepojenie"/>
            <w:noProof/>
          </w:rPr>
          <w:t xml:space="preserve">1.3.1. </w:t>
        </w:r>
        <w:r w:rsidR="00E71E4A" w:rsidRPr="00574008">
          <w:rPr>
            <w:rFonts w:eastAsiaTheme="minorEastAsia"/>
            <w:noProof/>
            <w:lang w:eastAsia="sk-SK"/>
          </w:rPr>
          <w:tab/>
        </w:r>
        <w:r w:rsidR="00E71E4A" w:rsidRPr="00574008">
          <w:rPr>
            <w:rStyle w:val="Hypertextovprepojenie"/>
            <w:noProof/>
          </w:rPr>
          <w:t>Výdavky kapitoly podľa ekonomickej klasifikácie</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_Toc415553099 \h </w:instrText>
        </w:r>
        <w:r w:rsidR="00E71E4A" w:rsidRPr="00574008">
          <w:rPr>
            <w:noProof/>
            <w:webHidden/>
          </w:rPr>
        </w:r>
        <w:r w:rsidR="00E71E4A" w:rsidRPr="00574008">
          <w:rPr>
            <w:noProof/>
            <w:webHidden/>
          </w:rPr>
          <w:fldChar w:fldCharType="separate"/>
        </w:r>
        <w:r w:rsidR="006D2E87">
          <w:rPr>
            <w:noProof/>
            <w:webHidden/>
          </w:rPr>
          <w:t>14</w:t>
        </w:r>
        <w:r w:rsidR="00E71E4A" w:rsidRPr="00574008">
          <w:rPr>
            <w:noProof/>
            <w:webHidden/>
          </w:rPr>
          <w:fldChar w:fldCharType="end"/>
        </w:r>
      </w:hyperlink>
    </w:p>
    <w:p w:rsidR="00E71E4A" w:rsidRPr="00574008" w:rsidRDefault="00966078" w:rsidP="00BB0EAD">
      <w:pPr>
        <w:pStyle w:val="Obsah3"/>
        <w:rPr>
          <w:rFonts w:eastAsiaTheme="minorEastAsia"/>
          <w:noProof/>
          <w:lang w:eastAsia="sk-SK"/>
        </w:rPr>
      </w:pPr>
      <w:hyperlink w:anchor="_Toc415553101" w:history="1">
        <w:r w:rsidR="00E71E4A" w:rsidRPr="00574008">
          <w:rPr>
            <w:rStyle w:val="Hypertextovprepojenie"/>
            <w:noProof/>
          </w:rPr>
          <w:t>1.3.2.</w:t>
        </w:r>
        <w:r w:rsidR="00E71E4A" w:rsidRPr="00574008">
          <w:rPr>
            <w:rFonts w:eastAsiaTheme="minorEastAsia"/>
            <w:noProof/>
            <w:lang w:eastAsia="sk-SK"/>
          </w:rPr>
          <w:tab/>
        </w:r>
        <w:r w:rsidR="00E71E4A" w:rsidRPr="00574008">
          <w:rPr>
            <w:rStyle w:val="Hypertextovprepojenie"/>
            <w:noProof/>
          </w:rPr>
          <w:t>Výdavky kapitoly podľa funkčnej klasifikácie</w:t>
        </w:r>
        <w:r w:rsidR="00E71E4A" w:rsidRPr="00574008">
          <w:rPr>
            <w:noProof/>
            <w:webHidden/>
          </w:rPr>
          <w:tab/>
        </w:r>
        <w:r w:rsidR="00CD1D22">
          <w:rPr>
            <w:noProof/>
            <w:webHidden/>
          </w:rPr>
          <w:t>49</w:t>
        </w:r>
      </w:hyperlink>
    </w:p>
    <w:p w:rsidR="00E71E4A" w:rsidRDefault="00966078" w:rsidP="00BB0EAD">
      <w:pPr>
        <w:pStyle w:val="Obsah3"/>
        <w:rPr>
          <w:rStyle w:val="Hypertextovprepojenie"/>
          <w:noProof/>
        </w:rPr>
      </w:pPr>
      <w:hyperlink w:anchor="_Toc415553102" w:history="1">
        <w:r w:rsidR="00E71E4A" w:rsidRPr="00574008">
          <w:rPr>
            <w:rStyle w:val="Hypertextovprepojenie"/>
            <w:noProof/>
          </w:rPr>
          <w:t>1.3.3.</w:t>
        </w:r>
        <w:r w:rsidR="00E71E4A" w:rsidRPr="00574008">
          <w:rPr>
            <w:rFonts w:eastAsiaTheme="minorEastAsia"/>
            <w:noProof/>
            <w:lang w:eastAsia="sk-SK"/>
          </w:rPr>
          <w:tab/>
        </w:r>
        <w:r w:rsidR="00E71E4A" w:rsidRPr="00574008">
          <w:rPr>
            <w:rStyle w:val="Hypertextovprepojenie"/>
            <w:noProof/>
          </w:rPr>
          <w:t>Výdavky kapitoly hradené z európskych prostriedkov a spolufinancovania k nim</w:t>
        </w:r>
        <w:r w:rsidR="00E71E4A" w:rsidRPr="00574008">
          <w:rPr>
            <w:noProof/>
            <w:webHidden/>
          </w:rPr>
          <w:tab/>
        </w:r>
        <w:r w:rsidR="00E71E4A" w:rsidRPr="00574008">
          <w:rPr>
            <w:noProof/>
            <w:webHidden/>
          </w:rPr>
          <w:fldChar w:fldCharType="begin"/>
        </w:r>
        <w:r w:rsidR="00E71E4A" w:rsidRPr="00574008">
          <w:rPr>
            <w:noProof/>
            <w:webHidden/>
          </w:rPr>
          <w:instrText xml:space="preserve"> PAGEREF _Toc415553102 \h </w:instrText>
        </w:r>
        <w:r w:rsidR="00E71E4A" w:rsidRPr="00574008">
          <w:rPr>
            <w:noProof/>
            <w:webHidden/>
          </w:rPr>
        </w:r>
        <w:r w:rsidR="00E71E4A" w:rsidRPr="00574008">
          <w:rPr>
            <w:noProof/>
            <w:webHidden/>
          </w:rPr>
          <w:fldChar w:fldCharType="separate"/>
        </w:r>
        <w:r w:rsidR="006D2E87">
          <w:rPr>
            <w:noProof/>
            <w:webHidden/>
          </w:rPr>
          <w:t>51</w:t>
        </w:r>
        <w:r w:rsidR="00E71E4A" w:rsidRPr="00574008">
          <w:rPr>
            <w:noProof/>
            <w:webHidden/>
          </w:rPr>
          <w:fldChar w:fldCharType="end"/>
        </w:r>
      </w:hyperlink>
    </w:p>
    <w:p w:rsidR="00A65DF0" w:rsidRPr="00BB0EAD" w:rsidRDefault="00193212" w:rsidP="00137748">
      <w:pPr>
        <w:pStyle w:val="Obsah3"/>
        <w:rPr>
          <w:rFonts w:eastAsiaTheme="minorEastAsia"/>
          <w:noProof/>
          <w:lang w:eastAsia="sk-SK"/>
        </w:rPr>
      </w:pPr>
      <w:r w:rsidRPr="00BB0EAD">
        <w:t xml:space="preserve">1.3.4. </w:t>
      </w:r>
      <w:r w:rsidRPr="00BB0EAD">
        <w:tab/>
        <w:t>Úpravy</w:t>
      </w:r>
      <w:r w:rsidR="00BB0EAD">
        <w:t xml:space="preserve"> </w:t>
      </w:r>
      <w:r w:rsidRPr="00BB0EAD">
        <w:t>pôvodne schváleného rozpočtu výdavkov..</w:t>
      </w:r>
      <w:r w:rsidR="00BB0EAD">
        <w:t>.</w:t>
      </w:r>
      <w:r w:rsidRPr="00BB0EAD">
        <w:t>......................................</w:t>
      </w:r>
      <w:r w:rsidR="00BB0EAD">
        <w:t>.................</w:t>
      </w:r>
      <w:r w:rsidR="00334B8D">
        <w:t>6</w:t>
      </w:r>
      <w:r w:rsidR="00CD1D22">
        <w:t>3</w:t>
      </w:r>
    </w:p>
    <w:p w:rsidR="00920D0A" w:rsidRDefault="00920D0A" w:rsidP="003E3CCA">
      <w:pPr>
        <w:pStyle w:val="Obsah2"/>
        <w:rPr>
          <w:rStyle w:val="Hypertextovprepojenie"/>
        </w:rPr>
      </w:pPr>
    </w:p>
    <w:p w:rsidR="00E71E4A" w:rsidRDefault="00966078" w:rsidP="003E3CCA">
      <w:pPr>
        <w:pStyle w:val="Obsah2"/>
        <w:rPr>
          <w:rStyle w:val="Hypertextovprepojenie"/>
        </w:rPr>
      </w:pPr>
      <w:hyperlink w:anchor="_Toc415553103" w:history="1">
        <w:r w:rsidR="00E71E4A" w:rsidRPr="00574008">
          <w:rPr>
            <w:rStyle w:val="Hypertextovprepojenie"/>
          </w:rPr>
          <w:t>1.4.</w:t>
        </w:r>
        <w:r w:rsidR="00E71E4A" w:rsidRPr="00574008">
          <w:rPr>
            <w:rFonts w:eastAsiaTheme="minorEastAsia"/>
            <w:lang w:eastAsia="sk-SK"/>
          </w:rPr>
          <w:tab/>
        </w:r>
        <w:r w:rsidR="00E71E4A" w:rsidRPr="00574008">
          <w:rPr>
            <w:rStyle w:val="Hypertextovprepojenie"/>
          </w:rPr>
          <w:t>Finančné operácie</w:t>
        </w:r>
        <w:r w:rsidR="00E71E4A" w:rsidRPr="00574008">
          <w:rPr>
            <w:webHidden/>
          </w:rPr>
          <w:tab/>
        </w:r>
        <w:r w:rsidR="00E71E4A" w:rsidRPr="00574008">
          <w:rPr>
            <w:webHidden/>
          </w:rPr>
          <w:fldChar w:fldCharType="begin"/>
        </w:r>
        <w:r w:rsidR="00E71E4A" w:rsidRPr="00574008">
          <w:rPr>
            <w:webHidden/>
          </w:rPr>
          <w:instrText xml:space="preserve"> PAGEREF _Toc415553103 \h </w:instrText>
        </w:r>
        <w:r w:rsidR="00E71E4A" w:rsidRPr="00574008">
          <w:rPr>
            <w:webHidden/>
          </w:rPr>
        </w:r>
        <w:r w:rsidR="00E71E4A" w:rsidRPr="00574008">
          <w:rPr>
            <w:webHidden/>
          </w:rPr>
          <w:fldChar w:fldCharType="separate"/>
        </w:r>
        <w:r w:rsidR="006D2E87">
          <w:rPr>
            <w:webHidden/>
          </w:rPr>
          <w:t>64</w:t>
        </w:r>
        <w:r w:rsidR="00E71E4A" w:rsidRPr="00574008">
          <w:rPr>
            <w:webHidden/>
          </w:rPr>
          <w:fldChar w:fldCharType="end"/>
        </w:r>
      </w:hyperlink>
    </w:p>
    <w:p w:rsidR="00AD5118" w:rsidRDefault="00966078" w:rsidP="003E3CCA">
      <w:pPr>
        <w:pStyle w:val="Obsah2"/>
        <w:rPr>
          <w:rStyle w:val="Hypertextovprepojenie"/>
        </w:rPr>
      </w:pPr>
      <w:hyperlink w:anchor="_Toc415553103" w:history="1">
        <w:r w:rsidR="00AD5118" w:rsidRPr="00574008">
          <w:rPr>
            <w:rStyle w:val="Hypertextovprepojenie"/>
          </w:rPr>
          <w:t>1.4.</w:t>
        </w:r>
        <w:r w:rsidR="00AD5118">
          <w:rPr>
            <w:rStyle w:val="Hypertextovprepojenie"/>
          </w:rPr>
          <w:t>1.</w:t>
        </w:r>
        <w:r w:rsidR="00AD5118" w:rsidRPr="00574008">
          <w:rPr>
            <w:rFonts w:eastAsiaTheme="minorEastAsia"/>
            <w:lang w:eastAsia="sk-SK"/>
          </w:rPr>
          <w:tab/>
        </w:r>
        <w:r w:rsidR="00AD5118">
          <w:rPr>
            <w:rFonts w:eastAsiaTheme="minorEastAsia"/>
            <w:lang w:eastAsia="sk-SK"/>
          </w:rPr>
          <w:t>Príjmové f</w:t>
        </w:r>
        <w:r w:rsidR="00AD5118" w:rsidRPr="00574008">
          <w:rPr>
            <w:rStyle w:val="Hypertextovprepojenie"/>
          </w:rPr>
          <w:t>inančné operácie</w:t>
        </w:r>
        <w:r w:rsidR="00AD5118" w:rsidRPr="00574008">
          <w:rPr>
            <w:webHidden/>
          </w:rPr>
          <w:tab/>
        </w:r>
        <w:r w:rsidR="00AD5118" w:rsidRPr="00574008">
          <w:rPr>
            <w:webHidden/>
          </w:rPr>
          <w:fldChar w:fldCharType="begin"/>
        </w:r>
        <w:r w:rsidR="00AD5118" w:rsidRPr="00574008">
          <w:rPr>
            <w:webHidden/>
          </w:rPr>
          <w:instrText xml:space="preserve"> PAGEREF _Toc415553103 \h </w:instrText>
        </w:r>
        <w:r w:rsidR="00AD5118" w:rsidRPr="00574008">
          <w:rPr>
            <w:webHidden/>
          </w:rPr>
        </w:r>
        <w:r w:rsidR="00AD5118" w:rsidRPr="00574008">
          <w:rPr>
            <w:webHidden/>
          </w:rPr>
          <w:fldChar w:fldCharType="separate"/>
        </w:r>
        <w:r w:rsidR="006D2E87">
          <w:rPr>
            <w:webHidden/>
          </w:rPr>
          <w:t>64</w:t>
        </w:r>
        <w:r w:rsidR="00AD5118" w:rsidRPr="00574008">
          <w:rPr>
            <w:webHidden/>
          </w:rPr>
          <w:fldChar w:fldCharType="end"/>
        </w:r>
      </w:hyperlink>
    </w:p>
    <w:p w:rsidR="00AD5118" w:rsidRDefault="00966078" w:rsidP="003E3CCA">
      <w:pPr>
        <w:pStyle w:val="Obsah2"/>
        <w:rPr>
          <w:rStyle w:val="Hypertextovprepojenie"/>
        </w:rPr>
      </w:pPr>
      <w:hyperlink w:anchor="_Toc415553103" w:history="1">
        <w:r w:rsidR="00AD5118" w:rsidRPr="00574008">
          <w:rPr>
            <w:rStyle w:val="Hypertextovprepojenie"/>
          </w:rPr>
          <w:t>1.4.</w:t>
        </w:r>
        <w:r w:rsidR="00AD5118">
          <w:rPr>
            <w:rStyle w:val="Hypertextovprepojenie"/>
          </w:rPr>
          <w:t>2.</w:t>
        </w:r>
        <w:r w:rsidR="00AD5118" w:rsidRPr="00574008">
          <w:rPr>
            <w:rFonts w:eastAsiaTheme="minorEastAsia"/>
            <w:lang w:eastAsia="sk-SK"/>
          </w:rPr>
          <w:tab/>
        </w:r>
        <w:r w:rsidR="00AD5118">
          <w:rPr>
            <w:rFonts w:eastAsiaTheme="minorEastAsia"/>
            <w:lang w:eastAsia="sk-SK"/>
          </w:rPr>
          <w:t>Výdavkové f</w:t>
        </w:r>
        <w:r w:rsidR="00AD5118" w:rsidRPr="00574008">
          <w:rPr>
            <w:rStyle w:val="Hypertextovprepojenie"/>
          </w:rPr>
          <w:t>inančné operácie</w:t>
        </w:r>
        <w:r w:rsidR="00AD5118" w:rsidRPr="00574008">
          <w:rPr>
            <w:webHidden/>
          </w:rPr>
          <w:tab/>
        </w:r>
        <w:r w:rsidR="00334B8D">
          <w:rPr>
            <w:webHidden/>
          </w:rPr>
          <w:t>6</w:t>
        </w:r>
        <w:r w:rsidR="00CD1D22">
          <w:rPr>
            <w:webHidden/>
          </w:rPr>
          <w:t>5</w:t>
        </w:r>
      </w:hyperlink>
    </w:p>
    <w:p w:rsidR="00920D0A" w:rsidRDefault="00920D0A" w:rsidP="003E3CCA">
      <w:pPr>
        <w:pStyle w:val="Obsah2"/>
        <w:rPr>
          <w:rStyle w:val="Hypertextovprepojenie"/>
        </w:rPr>
      </w:pPr>
    </w:p>
    <w:p w:rsidR="00E71E4A" w:rsidRPr="00574008" w:rsidRDefault="00966078" w:rsidP="003E3CCA">
      <w:pPr>
        <w:pStyle w:val="Obsah2"/>
        <w:rPr>
          <w:rFonts w:eastAsiaTheme="minorEastAsia"/>
          <w:lang w:eastAsia="sk-SK"/>
        </w:rPr>
      </w:pPr>
      <w:hyperlink w:anchor="_Toc415553104" w:history="1">
        <w:r w:rsidR="00E71E4A" w:rsidRPr="00574008">
          <w:rPr>
            <w:rStyle w:val="Hypertextovprepojenie"/>
          </w:rPr>
          <w:t>1.5.</w:t>
        </w:r>
        <w:r w:rsidR="00E71E4A" w:rsidRPr="00574008">
          <w:rPr>
            <w:rFonts w:eastAsiaTheme="minorEastAsia"/>
            <w:lang w:eastAsia="sk-SK"/>
          </w:rPr>
          <w:tab/>
        </w:r>
        <w:r w:rsidR="00E71E4A" w:rsidRPr="00574008">
          <w:rPr>
            <w:rStyle w:val="Hypertextovprepojenie"/>
          </w:rPr>
          <w:t>Zhodnotenie zamestnanosti</w:t>
        </w:r>
        <w:r w:rsidR="00E71E4A" w:rsidRPr="00574008">
          <w:rPr>
            <w:webHidden/>
          </w:rPr>
          <w:tab/>
        </w:r>
        <w:r w:rsidR="00E71E4A" w:rsidRPr="00574008">
          <w:rPr>
            <w:webHidden/>
          </w:rPr>
          <w:fldChar w:fldCharType="begin"/>
        </w:r>
        <w:r w:rsidR="00E71E4A" w:rsidRPr="00574008">
          <w:rPr>
            <w:webHidden/>
          </w:rPr>
          <w:instrText xml:space="preserve"> PAGEREF _Toc415553104 \h </w:instrText>
        </w:r>
        <w:r w:rsidR="00E71E4A" w:rsidRPr="00574008">
          <w:rPr>
            <w:webHidden/>
          </w:rPr>
        </w:r>
        <w:r w:rsidR="00E71E4A" w:rsidRPr="00574008">
          <w:rPr>
            <w:webHidden/>
          </w:rPr>
          <w:fldChar w:fldCharType="separate"/>
        </w:r>
        <w:r w:rsidR="006D2E87">
          <w:rPr>
            <w:webHidden/>
          </w:rPr>
          <w:t>65</w:t>
        </w:r>
        <w:r w:rsidR="00E71E4A" w:rsidRPr="00574008">
          <w:rPr>
            <w:webHidden/>
          </w:rPr>
          <w:fldChar w:fldCharType="end"/>
        </w:r>
      </w:hyperlink>
    </w:p>
    <w:p w:rsidR="00920D0A" w:rsidRDefault="00920D0A" w:rsidP="003E3CCA">
      <w:pPr>
        <w:pStyle w:val="Obsah2"/>
        <w:rPr>
          <w:rStyle w:val="Hypertextovprepojenie"/>
        </w:rPr>
      </w:pPr>
    </w:p>
    <w:p w:rsidR="00E71E4A" w:rsidRPr="00574008" w:rsidRDefault="00966078" w:rsidP="003E3CCA">
      <w:pPr>
        <w:pStyle w:val="Obsah2"/>
        <w:rPr>
          <w:rFonts w:eastAsiaTheme="minorEastAsia"/>
          <w:lang w:eastAsia="sk-SK"/>
        </w:rPr>
      </w:pPr>
      <w:hyperlink w:anchor="_Toc415553105" w:history="1">
        <w:r w:rsidR="00E71E4A" w:rsidRPr="00574008">
          <w:rPr>
            <w:rStyle w:val="Hypertextovprepojenie"/>
          </w:rPr>
          <w:t>1.6.</w:t>
        </w:r>
        <w:r w:rsidR="00E71E4A" w:rsidRPr="00574008">
          <w:rPr>
            <w:rFonts w:eastAsiaTheme="minorEastAsia"/>
            <w:lang w:eastAsia="sk-SK"/>
          </w:rPr>
          <w:tab/>
        </w:r>
        <w:r w:rsidR="00E71E4A" w:rsidRPr="00574008">
          <w:rPr>
            <w:rStyle w:val="Hypertextovprepojenie"/>
          </w:rPr>
          <w:t>P</w:t>
        </w:r>
        <w:r w:rsidR="00920D0A">
          <w:rPr>
            <w:rStyle w:val="Hypertextovprepojenie"/>
          </w:rPr>
          <w:t>ríspevkové organizácie v pôsobnosti kapitoly</w:t>
        </w:r>
        <w:r w:rsidR="00E71E4A" w:rsidRPr="00574008">
          <w:rPr>
            <w:webHidden/>
          </w:rPr>
          <w:tab/>
        </w:r>
        <w:r w:rsidR="00E71E4A" w:rsidRPr="00574008">
          <w:rPr>
            <w:webHidden/>
          </w:rPr>
          <w:fldChar w:fldCharType="begin"/>
        </w:r>
        <w:r w:rsidR="00E71E4A" w:rsidRPr="00574008">
          <w:rPr>
            <w:webHidden/>
          </w:rPr>
          <w:instrText xml:space="preserve"> PAGEREF _Toc415553105 \h </w:instrText>
        </w:r>
        <w:r w:rsidR="00E71E4A" w:rsidRPr="00574008">
          <w:rPr>
            <w:webHidden/>
          </w:rPr>
        </w:r>
        <w:r w:rsidR="00E71E4A" w:rsidRPr="00574008">
          <w:rPr>
            <w:webHidden/>
          </w:rPr>
          <w:fldChar w:fldCharType="separate"/>
        </w:r>
        <w:r w:rsidR="006D2E87">
          <w:rPr>
            <w:webHidden/>
          </w:rPr>
          <w:t>66</w:t>
        </w:r>
        <w:r w:rsidR="00E71E4A" w:rsidRPr="00574008">
          <w:rPr>
            <w:webHidden/>
          </w:rPr>
          <w:fldChar w:fldCharType="end"/>
        </w:r>
      </w:hyperlink>
    </w:p>
    <w:p w:rsidR="00F86BBF" w:rsidRDefault="00E734B1" w:rsidP="00F301FC">
      <w:pPr>
        <w:spacing w:after="0" w:line="360" w:lineRule="auto"/>
        <w:ind w:right="-43"/>
        <w:jc w:val="both"/>
        <w:rPr>
          <w:rFonts w:ascii="Times New Roman" w:hAnsi="Times New Roman" w:cs="Times New Roman"/>
          <w:sz w:val="24"/>
          <w:szCs w:val="24"/>
        </w:rPr>
      </w:pPr>
      <w:r w:rsidRPr="00574008">
        <w:rPr>
          <w:rFonts w:ascii="Times New Roman" w:hAnsi="Times New Roman" w:cs="Times New Roman"/>
          <w:sz w:val="24"/>
          <w:szCs w:val="24"/>
        </w:rPr>
        <w:fldChar w:fldCharType="end"/>
      </w:r>
    </w:p>
    <w:p w:rsidR="005B4253" w:rsidRDefault="005B4253" w:rsidP="005B4253">
      <w:pPr>
        <w:spacing w:after="0" w:line="360" w:lineRule="auto"/>
        <w:ind w:right="-43"/>
        <w:rPr>
          <w:rFonts w:ascii="Times New Roman" w:hAnsi="Times New Roman" w:cs="Times New Roman"/>
          <w:sz w:val="24"/>
          <w:szCs w:val="24"/>
        </w:rPr>
      </w:pPr>
      <w:r>
        <w:rPr>
          <w:rFonts w:ascii="Times New Roman" w:hAnsi="Times New Roman" w:cs="Times New Roman"/>
          <w:sz w:val="24"/>
          <w:szCs w:val="24"/>
        </w:rPr>
        <w:t>2. Tabuľková časť</w:t>
      </w:r>
    </w:p>
    <w:p w:rsidR="005B4253" w:rsidRDefault="005B4253" w:rsidP="005B4253">
      <w:pPr>
        <w:spacing w:after="0" w:line="360" w:lineRule="auto"/>
        <w:ind w:right="-43"/>
        <w:rPr>
          <w:rFonts w:ascii="Times New Roman" w:hAnsi="Times New Roman" w:cs="Times New Roman"/>
          <w:sz w:val="24"/>
          <w:szCs w:val="24"/>
        </w:rPr>
      </w:pPr>
    </w:p>
    <w:p w:rsidR="005B4253" w:rsidRPr="00574008" w:rsidRDefault="005B4253" w:rsidP="005B4253">
      <w:pPr>
        <w:spacing w:after="0" w:line="360" w:lineRule="auto"/>
        <w:ind w:right="-43"/>
        <w:rPr>
          <w:rFonts w:ascii="Times New Roman" w:hAnsi="Times New Roman" w:cs="Times New Roman"/>
          <w:sz w:val="24"/>
          <w:szCs w:val="24"/>
        </w:rPr>
        <w:sectPr w:rsidR="005B4253" w:rsidRPr="00574008" w:rsidSect="00464D81">
          <w:footerReference w:type="default" r:id="rId9"/>
          <w:pgSz w:w="11906" w:h="16838" w:code="9"/>
          <w:pgMar w:top="1418" w:right="1418" w:bottom="1418" w:left="992" w:header="709" w:footer="709" w:gutter="0"/>
          <w:cols w:space="708"/>
          <w:titlePg/>
          <w:docGrid w:linePitch="360"/>
        </w:sectPr>
      </w:pPr>
      <w:r>
        <w:rPr>
          <w:rFonts w:ascii="Times New Roman" w:hAnsi="Times New Roman" w:cs="Times New Roman"/>
          <w:sz w:val="24"/>
          <w:szCs w:val="24"/>
        </w:rPr>
        <w:t>3. Prílohy</w:t>
      </w:r>
    </w:p>
    <w:p w:rsidR="0012367D" w:rsidRPr="00B22C7D" w:rsidRDefault="0012367D" w:rsidP="00C41A95">
      <w:pPr>
        <w:pStyle w:val="Nadpis1"/>
        <w:numPr>
          <w:ilvl w:val="0"/>
          <w:numId w:val="4"/>
        </w:numPr>
        <w:spacing w:before="0" w:line="240" w:lineRule="auto"/>
        <w:ind w:left="426" w:hanging="426"/>
        <w:jc w:val="both"/>
        <w:rPr>
          <w:rFonts w:ascii="Times New Roman" w:hAnsi="Times New Roman" w:cs="Times New Roman"/>
          <w:sz w:val="24"/>
          <w:szCs w:val="24"/>
        </w:rPr>
      </w:pPr>
      <w:bookmarkStart w:id="1" w:name="_Toc415553090"/>
      <w:r w:rsidRPr="00B22C7D">
        <w:rPr>
          <w:rFonts w:ascii="Times New Roman" w:hAnsi="Times New Roman" w:cs="Times New Roman"/>
          <w:sz w:val="24"/>
          <w:szCs w:val="24"/>
        </w:rPr>
        <w:lastRenderedPageBreak/>
        <w:t>Správa o hospodárení kapitoly</w:t>
      </w:r>
      <w:bookmarkEnd w:id="1"/>
    </w:p>
    <w:p w:rsidR="0012367D" w:rsidRPr="00B22C7D" w:rsidRDefault="0012367D" w:rsidP="00E96B67">
      <w:pPr>
        <w:spacing w:after="0" w:line="240" w:lineRule="auto"/>
        <w:rPr>
          <w:sz w:val="24"/>
          <w:szCs w:val="24"/>
        </w:rPr>
      </w:pPr>
    </w:p>
    <w:p w:rsidR="0012367D" w:rsidRPr="00B22C7D" w:rsidRDefault="0012367D" w:rsidP="00480D46">
      <w:pPr>
        <w:pStyle w:val="Nadpis2"/>
        <w:numPr>
          <w:ilvl w:val="0"/>
          <w:numId w:val="1"/>
        </w:numPr>
        <w:spacing w:before="0" w:line="240" w:lineRule="auto"/>
        <w:ind w:left="567" w:hanging="567"/>
        <w:jc w:val="both"/>
        <w:rPr>
          <w:rFonts w:ascii="Times New Roman" w:hAnsi="Times New Roman" w:cs="Times New Roman"/>
          <w:sz w:val="24"/>
          <w:szCs w:val="24"/>
        </w:rPr>
      </w:pPr>
      <w:bookmarkStart w:id="2" w:name="_Toc415553091"/>
      <w:r w:rsidRPr="00B22C7D">
        <w:rPr>
          <w:rFonts w:ascii="Times New Roman" w:hAnsi="Times New Roman" w:cs="Times New Roman"/>
          <w:sz w:val="24"/>
          <w:szCs w:val="24"/>
        </w:rPr>
        <w:t>Súhrnná charakteristika kapitoly a </w:t>
      </w:r>
      <w:r w:rsidR="008B0B43">
        <w:rPr>
          <w:rFonts w:ascii="Times New Roman" w:hAnsi="Times New Roman" w:cs="Times New Roman"/>
          <w:sz w:val="24"/>
          <w:szCs w:val="24"/>
        </w:rPr>
        <w:t xml:space="preserve"> </w:t>
      </w:r>
      <w:r w:rsidRPr="00B22C7D">
        <w:rPr>
          <w:rFonts w:ascii="Times New Roman" w:hAnsi="Times New Roman" w:cs="Times New Roman"/>
          <w:sz w:val="24"/>
          <w:szCs w:val="24"/>
        </w:rPr>
        <w:t>jej hospodárenia  v hodnotenom rozpočtovom roku</w:t>
      </w:r>
      <w:bookmarkEnd w:id="2"/>
    </w:p>
    <w:p w:rsidR="0012367D" w:rsidRDefault="0012367D" w:rsidP="00E96B67">
      <w:pPr>
        <w:spacing w:after="0" w:line="240" w:lineRule="auto"/>
        <w:rPr>
          <w:sz w:val="24"/>
          <w:szCs w:val="24"/>
        </w:rPr>
      </w:pPr>
    </w:p>
    <w:p w:rsidR="00653110" w:rsidRPr="00B22C7D" w:rsidRDefault="00653110" w:rsidP="00E96B67">
      <w:pPr>
        <w:spacing w:after="0" w:line="240" w:lineRule="auto"/>
        <w:rPr>
          <w:sz w:val="24"/>
          <w:szCs w:val="24"/>
        </w:rPr>
      </w:pPr>
    </w:p>
    <w:p w:rsidR="0012367D" w:rsidRPr="00B22C7D" w:rsidRDefault="0012367D" w:rsidP="008A5E0F">
      <w:pPr>
        <w:pStyle w:val="Nadpis3"/>
        <w:numPr>
          <w:ilvl w:val="0"/>
          <w:numId w:val="2"/>
        </w:numPr>
        <w:spacing w:before="0" w:line="240" w:lineRule="auto"/>
        <w:ind w:left="1276" w:hanging="567"/>
        <w:jc w:val="both"/>
        <w:rPr>
          <w:rFonts w:ascii="Times New Roman" w:hAnsi="Times New Roman" w:cs="Times New Roman"/>
        </w:rPr>
      </w:pPr>
      <w:bookmarkStart w:id="3" w:name="_Toc415553092"/>
      <w:r w:rsidRPr="00B22C7D">
        <w:rPr>
          <w:rFonts w:ascii="Times New Roman" w:hAnsi="Times New Roman" w:cs="Times New Roman"/>
        </w:rPr>
        <w:t>Charakteristika činnosti kapitoly</w:t>
      </w:r>
      <w:bookmarkEnd w:id="3"/>
    </w:p>
    <w:p w:rsidR="0012367D" w:rsidRPr="00B22C7D" w:rsidRDefault="0012367D" w:rsidP="00E96B67">
      <w:pPr>
        <w:spacing w:after="0" w:line="240" w:lineRule="auto"/>
        <w:rPr>
          <w:sz w:val="24"/>
          <w:szCs w:val="24"/>
        </w:rPr>
      </w:pPr>
    </w:p>
    <w:p w:rsidR="0012367D" w:rsidRPr="00FF03FA" w:rsidRDefault="0012367D" w:rsidP="006503B9">
      <w:pPr>
        <w:pStyle w:val="Normlnywebov"/>
        <w:tabs>
          <w:tab w:val="left" w:pos="-5040"/>
        </w:tabs>
        <w:spacing w:after="0" w:line="240" w:lineRule="auto"/>
        <w:ind w:firstLine="709"/>
        <w:jc w:val="both"/>
        <w:rPr>
          <w:rFonts w:ascii="Times New Roman" w:hAnsi="Times New Roman" w:cs="Times New Roman"/>
          <w:sz w:val="24"/>
          <w:szCs w:val="24"/>
        </w:rPr>
      </w:pPr>
      <w:r w:rsidRPr="00FF03FA">
        <w:rPr>
          <w:rFonts w:ascii="Times New Roman" w:hAnsi="Times New Roman" w:cs="Times New Roman"/>
          <w:sz w:val="24"/>
          <w:szCs w:val="24"/>
        </w:rPr>
        <w:t xml:space="preserve">Ministerstvo hospodárstva Slovenskej republiky je ústredným orgánom štátnej správy Slovenskej republiky pre: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priemysel s výnimkou spracovania dreva, biotechnológií, potravinárstva a stavebných výrobkov,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energetiku vrátane hospodárenia s jadrovým palivom a uskladňovania rádioaktívnych odpadov a energetickú efektívnosť,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teplárenstvo a plynárenstvo,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ťažbu a úpravu tuhých palív, ťažbu ropy a zemného plynu, ťažbu rudných a nerudných surovín a vyhľadávanie a prieskum rádioaktívnych surovín a ich ťažbu,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podporu malého podnikania a stredného podnikania vrátane podpory potravinárskych produktov, ktoré nie sú zaradené do prílohy I Zmluvy o fungovaní Európskej únie a podpory spracovania dreva a biotechnológií,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stratégiu tvorby podnikateľského prostredia a podporu podnikateľského prostredia vrátane podpory potravinárskeho podnikateľského prostredia, ktorého produkty nie sú zaradené do prílohy I Zmluvy o fungovaní Európskej únie a podnikateľského prostredia v oblasti spracovania dreva a biotechnológií,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vnútorný obchod, zahraničný obchod vrátane obchodu s vojenským materiálom a tvorby zahraničnej obchodnej politiky, ochranu spotrebiteľa s výnimkou ochrany spotrebiteľa pri poskytovaní finančných služieb a koordináciu politiky vnútorného trhu Európskej únie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ochranu a využívanie nerastných surovín vrátane hlavného dozoru nad ochranou a využívaním ložísk nerastov,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hlavný dozor nad bezpečnosťou a ochranou zdravia pri práci a bezpečnosťou prevádzky v banskej činnosti, činnosti vykonávanej banským spôsobom a pri používaní výbušnín,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puncovníctvo a skúšanie drahých kovov,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kontrolu zákazu vývoja, výroby, skladovania, použitia a obchodu s chemickými zbraňami a prekurzormi potrebnými na ich výrobu,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riadenie úloh hospodárskej mobilizácie,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 xml:space="preserve">odštátnenie a privatizáciu majetku štátu a pre správu majetku štátu v podnikateľskej sfére, </w:t>
      </w:r>
    </w:p>
    <w:p w:rsidR="00EA3BD3" w:rsidRPr="00EA3BD3" w:rsidRDefault="00EA3BD3" w:rsidP="00C41A95">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stratégiu tvorby a realizácie inovácií v oblastiach podľa písmen a) až d).</w:t>
      </w:r>
    </w:p>
    <w:p w:rsidR="0012367D" w:rsidRDefault="00EA3BD3" w:rsidP="008A5E0F">
      <w:pPr>
        <w:spacing w:after="100" w:afterAutospacing="1" w:line="240" w:lineRule="auto"/>
        <w:ind w:firstLine="720"/>
        <w:jc w:val="both"/>
        <w:rPr>
          <w:rFonts w:ascii="Times New Roman" w:eastAsia="Times New Roman" w:hAnsi="Times New Roman" w:cs="Times New Roman"/>
          <w:sz w:val="24"/>
          <w:szCs w:val="24"/>
          <w:lang w:eastAsia="sk-SK"/>
        </w:rPr>
      </w:pPr>
      <w:r w:rsidRPr="00EA3BD3">
        <w:rPr>
          <w:rFonts w:ascii="Times New Roman" w:eastAsia="Times New Roman" w:hAnsi="Times New Roman" w:cs="Times New Roman"/>
          <w:sz w:val="24"/>
          <w:szCs w:val="24"/>
          <w:lang w:eastAsia="sk-SK"/>
        </w:rPr>
        <w:t>Ministerstvo hospodárstva Slovenskej republiky sa podieľa na tvorbe jednotnej štátnej politiky Slovenskej republiky, vykonáva v rozsahu svojej pôsobnosti štátnu správu a plní ďalšie úlohy ustanovené v zákonoch a iných všeobecne záväzných právnych predpisoch. Ministerstvo v rozsahu vymedzenej pôsobnosti zodpovedá i za úlohy obrany a vytváranie podmienok na realizáciu požiadaviek zabezpečovania príprav na obranu a ochranu. V rozsahu vymedzenej pôsobnosti zabezpečuje aj úlohy súvisiace s dojednávaním medzinárodných zmlúv, s rozvojom medzištátnych stykov a medzinárodnej spolupráce vrátane úloh, ktoré pre Slovenskú republiku vyplývajú z medzinárodných zmlúv, ako aj z jej členstva v medzinárodných organizáciách. Skúma problematiku vo veciach, ktoré sú v jeho pôsobnosti, analyzuje dosahované výsledky a robí opatrenia na riešenie aktuálnych otázok. Spracúva koncepcie rozvoja zverených oblastí a riešenia základných otázok, ktoré predkladá vláde Slovenskej republiky. Stará sa o náležitú právnu úpravu vecí patriacich do jeho pôsobnosti, pripravuje návrhy zákonov a iných všeobecných záväzných právnych predpisov, dbá o dodržiavanie zákonnosti v oblasti svojej pôsobnosti.</w:t>
      </w:r>
    </w:p>
    <w:p w:rsidR="0012367D" w:rsidRPr="001A2463" w:rsidRDefault="0013715B" w:rsidP="008A5E0F">
      <w:pPr>
        <w:pStyle w:val="Nadpis3"/>
        <w:numPr>
          <w:ilvl w:val="0"/>
          <w:numId w:val="2"/>
        </w:numPr>
        <w:spacing w:before="0" w:line="240" w:lineRule="auto"/>
        <w:ind w:left="1276" w:hanging="567"/>
        <w:jc w:val="both"/>
        <w:rPr>
          <w:rFonts w:ascii="Times New Roman" w:hAnsi="Times New Roman" w:cs="Times New Roman"/>
        </w:rPr>
      </w:pPr>
      <w:bookmarkStart w:id="4" w:name="_Toc415553093"/>
      <w:r>
        <w:rPr>
          <w:rFonts w:ascii="Times New Roman" w:hAnsi="Times New Roman" w:cs="Times New Roman"/>
        </w:rPr>
        <w:t>Výsledok rozpočtového hospodárenia kapitoly</w:t>
      </w:r>
      <w:bookmarkEnd w:id="4"/>
    </w:p>
    <w:p w:rsidR="001A2463" w:rsidRPr="00FF1AC7" w:rsidRDefault="001A2463" w:rsidP="001A2463">
      <w:pPr>
        <w:spacing w:after="0" w:line="240" w:lineRule="auto"/>
        <w:jc w:val="right"/>
        <w:rPr>
          <w:rFonts w:ascii="Times New Roman" w:hAnsi="Times New Roman" w:cs="Times New Roman"/>
        </w:rPr>
      </w:pPr>
      <w:r w:rsidRPr="00FF1AC7">
        <w:rPr>
          <w:rFonts w:ascii="Times New Roman" w:hAnsi="Times New Roman" w:cs="Times New Roman"/>
        </w:rPr>
        <w:t>v eur</w:t>
      </w:r>
      <w:r w:rsidR="002E67E8">
        <w:rPr>
          <w:rFonts w:ascii="Times New Roman" w:hAnsi="Times New Roman" w:cs="Times New Roman"/>
        </w:rPr>
        <w:t>ách</w:t>
      </w:r>
    </w:p>
    <w:tbl>
      <w:tblPr>
        <w:tblStyle w:val="Mriekatabuky"/>
        <w:tblW w:w="9180" w:type="dxa"/>
        <w:tblLayout w:type="fixed"/>
        <w:tblLook w:val="04A0" w:firstRow="1" w:lastRow="0" w:firstColumn="1" w:lastColumn="0" w:noHBand="0" w:noVBand="1"/>
      </w:tblPr>
      <w:tblGrid>
        <w:gridCol w:w="2660"/>
        <w:gridCol w:w="1843"/>
        <w:gridCol w:w="1701"/>
        <w:gridCol w:w="1701"/>
        <w:gridCol w:w="1275"/>
      </w:tblGrid>
      <w:tr w:rsidR="003C5AA4" w:rsidRPr="00FF1AC7" w:rsidTr="00FF1AC7">
        <w:tc>
          <w:tcPr>
            <w:tcW w:w="2660" w:type="dxa"/>
          </w:tcPr>
          <w:p w:rsidR="001A2463" w:rsidRPr="00FF1AC7" w:rsidRDefault="001A2463" w:rsidP="00E96B67">
            <w:pPr>
              <w:spacing w:after="0" w:line="240" w:lineRule="auto"/>
              <w:rPr>
                <w:rFonts w:cs="Times New Roman"/>
                <w:color w:val="00FF00"/>
              </w:rPr>
            </w:pPr>
          </w:p>
        </w:tc>
        <w:tc>
          <w:tcPr>
            <w:tcW w:w="1843" w:type="dxa"/>
          </w:tcPr>
          <w:p w:rsidR="001A2463" w:rsidRPr="00FF1AC7" w:rsidRDefault="001A2463" w:rsidP="001A2463">
            <w:pPr>
              <w:spacing w:after="0" w:line="240" w:lineRule="auto"/>
              <w:jc w:val="center"/>
              <w:rPr>
                <w:rFonts w:cs="Times New Roman"/>
                <w:lang w:eastAsia="sk-SK"/>
              </w:rPr>
            </w:pPr>
            <w:r w:rsidRPr="00FF1AC7">
              <w:rPr>
                <w:rFonts w:cs="Times New Roman"/>
                <w:lang w:eastAsia="sk-SK"/>
              </w:rPr>
              <w:t>Schválený rozpočet</w:t>
            </w:r>
          </w:p>
          <w:p w:rsidR="00F23D77" w:rsidRPr="00FF1AC7" w:rsidRDefault="00F23D77" w:rsidP="00B90B0E">
            <w:pPr>
              <w:spacing w:after="0" w:line="240" w:lineRule="auto"/>
              <w:jc w:val="center"/>
              <w:rPr>
                <w:rFonts w:cs="Times New Roman"/>
                <w:color w:val="00FF00"/>
              </w:rPr>
            </w:pPr>
            <w:r w:rsidRPr="00FF1AC7">
              <w:rPr>
                <w:rFonts w:cs="Times New Roman"/>
                <w:lang w:eastAsia="sk-SK"/>
              </w:rPr>
              <w:t>k 1.1.201</w:t>
            </w:r>
            <w:r w:rsidR="00B90B0E" w:rsidRPr="00FF1AC7">
              <w:rPr>
                <w:rFonts w:cs="Times New Roman"/>
                <w:lang w:eastAsia="sk-SK"/>
              </w:rPr>
              <w:t>5</w:t>
            </w:r>
          </w:p>
        </w:tc>
        <w:tc>
          <w:tcPr>
            <w:tcW w:w="1701" w:type="dxa"/>
          </w:tcPr>
          <w:p w:rsidR="001A2463" w:rsidRPr="00FF1AC7" w:rsidRDefault="001A2463" w:rsidP="001A2463">
            <w:pPr>
              <w:spacing w:after="0" w:line="240" w:lineRule="auto"/>
              <w:jc w:val="center"/>
              <w:rPr>
                <w:rFonts w:cs="Times New Roman"/>
                <w:color w:val="00FF00"/>
              </w:rPr>
            </w:pPr>
            <w:r w:rsidRPr="00FF1AC7">
              <w:rPr>
                <w:rFonts w:cs="Times New Roman"/>
                <w:lang w:eastAsia="sk-SK"/>
              </w:rPr>
              <w:t>Upravený rozpočet</w:t>
            </w:r>
            <w:r w:rsidR="00B65934" w:rsidRPr="00FF1AC7">
              <w:rPr>
                <w:rFonts w:cs="Times New Roman"/>
                <w:lang w:eastAsia="sk-SK"/>
              </w:rPr>
              <w:t xml:space="preserve"> k 31.12.2015</w:t>
            </w:r>
          </w:p>
        </w:tc>
        <w:tc>
          <w:tcPr>
            <w:tcW w:w="1701" w:type="dxa"/>
          </w:tcPr>
          <w:p w:rsidR="001A2463" w:rsidRPr="00FF1AC7" w:rsidRDefault="001A2463" w:rsidP="001A2463">
            <w:pPr>
              <w:spacing w:after="0" w:line="240" w:lineRule="auto"/>
              <w:jc w:val="center"/>
              <w:rPr>
                <w:rFonts w:cs="Times New Roman"/>
                <w:lang w:eastAsia="sk-SK"/>
              </w:rPr>
            </w:pPr>
            <w:r w:rsidRPr="00FF1AC7">
              <w:rPr>
                <w:rFonts w:cs="Times New Roman"/>
                <w:lang w:eastAsia="sk-SK"/>
              </w:rPr>
              <w:t>Skutočnosť</w:t>
            </w:r>
          </w:p>
          <w:p w:rsidR="00F23D77" w:rsidRPr="00FF1AC7" w:rsidRDefault="00F23D77" w:rsidP="00B90B0E">
            <w:pPr>
              <w:spacing w:after="0" w:line="240" w:lineRule="auto"/>
              <w:jc w:val="center"/>
              <w:rPr>
                <w:rFonts w:cs="Times New Roman"/>
                <w:color w:val="00FF00"/>
              </w:rPr>
            </w:pPr>
            <w:r w:rsidRPr="00FF1AC7">
              <w:rPr>
                <w:rFonts w:cs="Times New Roman"/>
                <w:lang w:eastAsia="sk-SK"/>
              </w:rPr>
              <w:t>k 31.12.201</w:t>
            </w:r>
            <w:r w:rsidR="00B90B0E" w:rsidRPr="00FF1AC7">
              <w:rPr>
                <w:rFonts w:cs="Times New Roman"/>
                <w:lang w:eastAsia="sk-SK"/>
              </w:rPr>
              <w:t>5</w:t>
            </w:r>
          </w:p>
        </w:tc>
        <w:tc>
          <w:tcPr>
            <w:tcW w:w="1275" w:type="dxa"/>
          </w:tcPr>
          <w:p w:rsidR="001A2463" w:rsidRPr="00FF1AC7" w:rsidRDefault="001A2463" w:rsidP="003C5AA4">
            <w:pPr>
              <w:spacing w:after="0" w:line="240" w:lineRule="auto"/>
              <w:jc w:val="center"/>
              <w:rPr>
                <w:rFonts w:cs="Times New Roman"/>
                <w:color w:val="00FF00"/>
              </w:rPr>
            </w:pPr>
            <w:r w:rsidRPr="00FF1AC7">
              <w:rPr>
                <w:rFonts w:cs="Times New Roman"/>
                <w:lang w:eastAsia="sk-SK"/>
              </w:rPr>
              <w:t>% k</w:t>
            </w:r>
            <w:r w:rsidR="003C5AA4" w:rsidRPr="00FF1AC7">
              <w:rPr>
                <w:rFonts w:cs="Times New Roman"/>
                <w:lang w:eastAsia="sk-SK"/>
              </w:rPr>
              <w:t> </w:t>
            </w:r>
            <w:r w:rsidRPr="00FF1AC7">
              <w:rPr>
                <w:rFonts w:cs="Times New Roman"/>
                <w:lang w:eastAsia="sk-SK"/>
              </w:rPr>
              <w:t>uprav</w:t>
            </w:r>
            <w:r w:rsidR="003C5AA4" w:rsidRPr="00FF1AC7">
              <w:rPr>
                <w:rFonts w:cs="Times New Roman"/>
                <w:lang w:eastAsia="sk-SK"/>
              </w:rPr>
              <w:t>.</w:t>
            </w:r>
            <w:r w:rsidRPr="00FF1AC7">
              <w:rPr>
                <w:rFonts w:cs="Times New Roman"/>
                <w:lang w:eastAsia="sk-SK"/>
              </w:rPr>
              <w:t xml:space="preserve"> rozpočtu</w:t>
            </w:r>
          </w:p>
        </w:tc>
      </w:tr>
      <w:tr w:rsidR="003C5AA4" w:rsidRPr="00FF1AC7" w:rsidTr="00FF1AC7">
        <w:tc>
          <w:tcPr>
            <w:tcW w:w="2660" w:type="dxa"/>
          </w:tcPr>
          <w:p w:rsidR="001A2463" w:rsidRPr="00FF1AC7" w:rsidRDefault="001A2463" w:rsidP="001A2463">
            <w:pPr>
              <w:spacing w:after="0" w:line="240" w:lineRule="auto"/>
              <w:jc w:val="center"/>
              <w:rPr>
                <w:rFonts w:cs="Times New Roman"/>
                <w:b/>
              </w:rPr>
            </w:pPr>
            <w:r w:rsidRPr="00FF1AC7">
              <w:rPr>
                <w:rFonts w:cs="Times New Roman"/>
                <w:b/>
              </w:rPr>
              <w:t>1</w:t>
            </w:r>
          </w:p>
        </w:tc>
        <w:tc>
          <w:tcPr>
            <w:tcW w:w="1843" w:type="dxa"/>
          </w:tcPr>
          <w:p w:rsidR="001A2463" w:rsidRPr="00FF1AC7" w:rsidRDefault="001A2463" w:rsidP="001A2463">
            <w:pPr>
              <w:spacing w:after="0" w:line="240" w:lineRule="auto"/>
              <w:jc w:val="center"/>
              <w:rPr>
                <w:rFonts w:cs="Times New Roman"/>
                <w:b/>
              </w:rPr>
            </w:pPr>
            <w:r w:rsidRPr="00FF1AC7">
              <w:rPr>
                <w:rFonts w:cs="Times New Roman"/>
                <w:b/>
              </w:rPr>
              <w:t>2</w:t>
            </w:r>
          </w:p>
        </w:tc>
        <w:tc>
          <w:tcPr>
            <w:tcW w:w="1701" w:type="dxa"/>
          </w:tcPr>
          <w:p w:rsidR="001A2463" w:rsidRPr="00FF1AC7" w:rsidRDefault="001A2463" w:rsidP="001A2463">
            <w:pPr>
              <w:spacing w:after="0" w:line="240" w:lineRule="auto"/>
              <w:jc w:val="center"/>
              <w:rPr>
                <w:rFonts w:cs="Times New Roman"/>
                <w:b/>
              </w:rPr>
            </w:pPr>
            <w:r w:rsidRPr="00FF1AC7">
              <w:rPr>
                <w:rFonts w:cs="Times New Roman"/>
                <w:b/>
              </w:rPr>
              <w:t>3</w:t>
            </w:r>
          </w:p>
        </w:tc>
        <w:tc>
          <w:tcPr>
            <w:tcW w:w="1701" w:type="dxa"/>
          </w:tcPr>
          <w:p w:rsidR="001A2463" w:rsidRPr="00FF1AC7" w:rsidRDefault="001A2463" w:rsidP="001A2463">
            <w:pPr>
              <w:spacing w:after="0" w:line="240" w:lineRule="auto"/>
              <w:jc w:val="center"/>
              <w:rPr>
                <w:rFonts w:cs="Times New Roman"/>
                <w:b/>
              </w:rPr>
            </w:pPr>
            <w:r w:rsidRPr="00FF1AC7">
              <w:rPr>
                <w:rFonts w:cs="Times New Roman"/>
                <w:b/>
              </w:rPr>
              <w:t>4</w:t>
            </w:r>
          </w:p>
        </w:tc>
        <w:tc>
          <w:tcPr>
            <w:tcW w:w="1275" w:type="dxa"/>
          </w:tcPr>
          <w:p w:rsidR="001A2463" w:rsidRPr="00FF1AC7" w:rsidRDefault="001A2463" w:rsidP="001A2463">
            <w:pPr>
              <w:spacing w:after="0" w:line="240" w:lineRule="auto"/>
              <w:jc w:val="center"/>
              <w:rPr>
                <w:rFonts w:cs="Times New Roman"/>
                <w:b/>
              </w:rPr>
            </w:pPr>
            <w:r w:rsidRPr="00FF1AC7">
              <w:rPr>
                <w:rFonts w:cs="Times New Roman"/>
                <w:b/>
              </w:rPr>
              <w:t>5=4/3*100</w:t>
            </w:r>
          </w:p>
        </w:tc>
      </w:tr>
      <w:tr w:rsidR="003C5AA4" w:rsidRPr="00FF1AC7" w:rsidTr="00FF1AC7">
        <w:tc>
          <w:tcPr>
            <w:tcW w:w="2660" w:type="dxa"/>
          </w:tcPr>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Príjmy spolu</w:t>
            </w:r>
          </w:p>
        </w:tc>
        <w:tc>
          <w:tcPr>
            <w:tcW w:w="1843" w:type="dxa"/>
          </w:tcPr>
          <w:p w:rsidR="001A2463" w:rsidRPr="00FF1AC7" w:rsidRDefault="00B90B0E" w:rsidP="001A2463">
            <w:pPr>
              <w:spacing w:after="0" w:line="240" w:lineRule="auto"/>
              <w:jc w:val="right"/>
              <w:rPr>
                <w:rFonts w:cs="Times New Roman"/>
              </w:rPr>
            </w:pPr>
            <w:r w:rsidRPr="00FF1AC7">
              <w:rPr>
                <w:rFonts w:cs="Times New Roman"/>
              </w:rPr>
              <w:t>286 304 989,00</w:t>
            </w:r>
          </w:p>
        </w:tc>
        <w:tc>
          <w:tcPr>
            <w:tcW w:w="1701" w:type="dxa"/>
          </w:tcPr>
          <w:p w:rsidR="001A2463" w:rsidRPr="00FF1AC7" w:rsidRDefault="00DE19CD" w:rsidP="001A2463">
            <w:pPr>
              <w:spacing w:after="0" w:line="240" w:lineRule="auto"/>
              <w:jc w:val="right"/>
              <w:rPr>
                <w:rFonts w:cs="Times New Roman"/>
              </w:rPr>
            </w:pPr>
            <w:r w:rsidRPr="00FF1AC7">
              <w:rPr>
                <w:rFonts w:cs="Times New Roman"/>
              </w:rPr>
              <w:t>366 929 934,78</w:t>
            </w:r>
          </w:p>
        </w:tc>
        <w:tc>
          <w:tcPr>
            <w:tcW w:w="1701" w:type="dxa"/>
          </w:tcPr>
          <w:p w:rsidR="001A2463" w:rsidRPr="00FF1AC7" w:rsidRDefault="00DE19CD" w:rsidP="001A2463">
            <w:pPr>
              <w:spacing w:after="0" w:line="240" w:lineRule="auto"/>
              <w:jc w:val="right"/>
              <w:rPr>
                <w:rFonts w:cs="Times New Roman"/>
              </w:rPr>
            </w:pPr>
            <w:r w:rsidRPr="00FF1AC7">
              <w:rPr>
                <w:rFonts w:cs="Times New Roman"/>
              </w:rPr>
              <w:t>369 085 004,57</w:t>
            </w:r>
          </w:p>
        </w:tc>
        <w:tc>
          <w:tcPr>
            <w:tcW w:w="1275" w:type="dxa"/>
          </w:tcPr>
          <w:p w:rsidR="001A2463" w:rsidRPr="00FF1AC7" w:rsidRDefault="00DE19CD" w:rsidP="001A2463">
            <w:pPr>
              <w:spacing w:after="0" w:line="240" w:lineRule="auto"/>
              <w:jc w:val="right"/>
              <w:rPr>
                <w:rFonts w:cs="Times New Roman"/>
              </w:rPr>
            </w:pPr>
            <w:r w:rsidRPr="00FF1AC7">
              <w:rPr>
                <w:rFonts w:cs="Times New Roman"/>
              </w:rPr>
              <w:t>100,59</w:t>
            </w:r>
          </w:p>
        </w:tc>
      </w:tr>
      <w:tr w:rsidR="003C5AA4" w:rsidRPr="00FF1AC7" w:rsidTr="00FF1AC7">
        <w:tc>
          <w:tcPr>
            <w:tcW w:w="2660" w:type="dxa"/>
          </w:tcPr>
          <w:p w:rsidR="003C5AA4" w:rsidRPr="00FF1AC7" w:rsidRDefault="001A2463" w:rsidP="00F23D77">
            <w:pPr>
              <w:pStyle w:val="Zkladntext2"/>
              <w:spacing w:after="0" w:line="240" w:lineRule="auto"/>
              <w:jc w:val="both"/>
              <w:rPr>
                <w:rFonts w:cs="Times New Roman"/>
                <w:lang w:eastAsia="sk-SK"/>
              </w:rPr>
            </w:pPr>
            <w:r w:rsidRPr="00FF1AC7">
              <w:rPr>
                <w:rFonts w:cs="Times New Roman"/>
                <w:lang w:eastAsia="sk-SK"/>
              </w:rPr>
              <w:t xml:space="preserve">z toho: </w:t>
            </w:r>
          </w:p>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 xml:space="preserve">prijaté z rozpočtu EÚ </w:t>
            </w:r>
          </w:p>
        </w:tc>
        <w:tc>
          <w:tcPr>
            <w:tcW w:w="1843" w:type="dxa"/>
          </w:tcPr>
          <w:p w:rsidR="001A2463" w:rsidRPr="00FF1AC7" w:rsidRDefault="001A2463" w:rsidP="001A2463">
            <w:pPr>
              <w:spacing w:after="0" w:line="240" w:lineRule="auto"/>
              <w:jc w:val="right"/>
              <w:rPr>
                <w:rFonts w:cs="Times New Roman"/>
              </w:rPr>
            </w:pPr>
          </w:p>
          <w:p w:rsidR="00B90B0E" w:rsidRPr="00FF1AC7" w:rsidRDefault="00B90B0E" w:rsidP="001A2463">
            <w:pPr>
              <w:spacing w:after="0" w:line="240" w:lineRule="auto"/>
              <w:jc w:val="right"/>
              <w:rPr>
                <w:rFonts w:cs="Times New Roman"/>
              </w:rPr>
            </w:pPr>
            <w:r w:rsidRPr="00FF1AC7">
              <w:rPr>
                <w:rFonts w:cs="Times New Roman"/>
              </w:rPr>
              <w:t>170 130 029,00</w:t>
            </w:r>
          </w:p>
        </w:tc>
        <w:tc>
          <w:tcPr>
            <w:tcW w:w="1701" w:type="dxa"/>
          </w:tcPr>
          <w:p w:rsidR="00497779" w:rsidRPr="00FF1AC7" w:rsidRDefault="00497779" w:rsidP="001A2463">
            <w:pPr>
              <w:spacing w:after="0" w:line="240" w:lineRule="auto"/>
              <w:jc w:val="right"/>
              <w:rPr>
                <w:rFonts w:cs="Times New Roman"/>
              </w:rPr>
            </w:pPr>
          </w:p>
          <w:p w:rsidR="00DE19CD" w:rsidRPr="00FF1AC7" w:rsidRDefault="00DE19CD" w:rsidP="001A2463">
            <w:pPr>
              <w:spacing w:after="0" w:line="240" w:lineRule="auto"/>
              <w:jc w:val="right"/>
              <w:rPr>
                <w:rFonts w:cs="Times New Roman"/>
              </w:rPr>
            </w:pPr>
            <w:r w:rsidRPr="00FF1AC7">
              <w:rPr>
                <w:rFonts w:cs="Times New Roman"/>
              </w:rPr>
              <w:t>268 551 088,05</w:t>
            </w:r>
          </w:p>
        </w:tc>
        <w:tc>
          <w:tcPr>
            <w:tcW w:w="1701" w:type="dxa"/>
          </w:tcPr>
          <w:p w:rsidR="00F23D77" w:rsidRPr="00FF1AC7" w:rsidRDefault="00F23D77" w:rsidP="001A2463">
            <w:pPr>
              <w:spacing w:after="0" w:line="240" w:lineRule="auto"/>
              <w:jc w:val="right"/>
              <w:rPr>
                <w:rFonts w:cs="Times New Roman"/>
              </w:rPr>
            </w:pPr>
          </w:p>
          <w:p w:rsidR="00DE19CD" w:rsidRPr="00FF1AC7" w:rsidRDefault="00DE19CD" w:rsidP="001A2463">
            <w:pPr>
              <w:spacing w:after="0" w:line="240" w:lineRule="auto"/>
              <w:jc w:val="right"/>
              <w:rPr>
                <w:rFonts w:cs="Times New Roman"/>
              </w:rPr>
            </w:pPr>
            <w:r w:rsidRPr="00FF1AC7">
              <w:rPr>
                <w:rFonts w:cs="Times New Roman"/>
              </w:rPr>
              <w:t>269 032 298,62</w:t>
            </w:r>
          </w:p>
        </w:tc>
        <w:tc>
          <w:tcPr>
            <w:tcW w:w="1275" w:type="dxa"/>
          </w:tcPr>
          <w:p w:rsidR="00F23D77" w:rsidRPr="00FF1AC7" w:rsidRDefault="00F23D77" w:rsidP="001A2463">
            <w:pPr>
              <w:spacing w:after="0" w:line="240" w:lineRule="auto"/>
              <w:jc w:val="right"/>
              <w:rPr>
                <w:rFonts w:cs="Times New Roman"/>
              </w:rPr>
            </w:pPr>
          </w:p>
          <w:p w:rsidR="00DE19CD" w:rsidRPr="00FF1AC7" w:rsidRDefault="00DE19CD" w:rsidP="001A2463">
            <w:pPr>
              <w:spacing w:after="0" w:line="240" w:lineRule="auto"/>
              <w:jc w:val="right"/>
              <w:rPr>
                <w:rFonts w:cs="Times New Roman"/>
              </w:rPr>
            </w:pPr>
            <w:r w:rsidRPr="00FF1AC7">
              <w:rPr>
                <w:rFonts w:cs="Times New Roman"/>
              </w:rPr>
              <w:t>100,18</w:t>
            </w:r>
          </w:p>
        </w:tc>
      </w:tr>
      <w:tr w:rsidR="003C5AA4" w:rsidRPr="00FF1AC7" w:rsidTr="00FF1AC7">
        <w:tc>
          <w:tcPr>
            <w:tcW w:w="2660" w:type="dxa"/>
          </w:tcPr>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Výdavky spolu</w:t>
            </w:r>
          </w:p>
        </w:tc>
        <w:tc>
          <w:tcPr>
            <w:tcW w:w="1843" w:type="dxa"/>
          </w:tcPr>
          <w:p w:rsidR="001A2463" w:rsidRPr="00FF1AC7" w:rsidRDefault="00B90B0E" w:rsidP="001A2463">
            <w:pPr>
              <w:spacing w:after="0" w:line="240" w:lineRule="auto"/>
              <w:jc w:val="right"/>
              <w:rPr>
                <w:rFonts w:cs="Times New Roman"/>
              </w:rPr>
            </w:pPr>
            <w:r w:rsidRPr="00FF1AC7">
              <w:rPr>
                <w:rFonts w:cs="Times New Roman"/>
              </w:rPr>
              <w:t>298 270 138,00</w:t>
            </w:r>
          </w:p>
        </w:tc>
        <w:tc>
          <w:tcPr>
            <w:tcW w:w="1701" w:type="dxa"/>
          </w:tcPr>
          <w:p w:rsidR="001A2463" w:rsidRPr="00FF1AC7" w:rsidRDefault="00DE19CD" w:rsidP="001A2463">
            <w:pPr>
              <w:spacing w:after="0" w:line="240" w:lineRule="auto"/>
              <w:jc w:val="right"/>
              <w:rPr>
                <w:rFonts w:cs="Times New Roman"/>
              </w:rPr>
            </w:pPr>
            <w:r w:rsidRPr="00FF1AC7">
              <w:rPr>
                <w:rFonts w:cs="Times New Roman"/>
              </w:rPr>
              <w:t>441 217 548,62</w:t>
            </w:r>
          </w:p>
        </w:tc>
        <w:tc>
          <w:tcPr>
            <w:tcW w:w="1701" w:type="dxa"/>
          </w:tcPr>
          <w:p w:rsidR="001A2463" w:rsidRPr="00FF1AC7" w:rsidRDefault="00DE19CD" w:rsidP="001A2463">
            <w:pPr>
              <w:spacing w:after="0" w:line="240" w:lineRule="auto"/>
              <w:jc w:val="right"/>
              <w:rPr>
                <w:rFonts w:cs="Times New Roman"/>
              </w:rPr>
            </w:pPr>
            <w:r w:rsidRPr="00FF1AC7">
              <w:rPr>
                <w:rFonts w:cs="Times New Roman"/>
              </w:rPr>
              <w:t>441 077 675,37</w:t>
            </w:r>
          </w:p>
        </w:tc>
        <w:tc>
          <w:tcPr>
            <w:tcW w:w="1275" w:type="dxa"/>
          </w:tcPr>
          <w:p w:rsidR="001A2463" w:rsidRPr="00FF1AC7" w:rsidRDefault="00DE19CD" w:rsidP="001A2463">
            <w:pPr>
              <w:spacing w:after="0" w:line="240" w:lineRule="auto"/>
              <w:jc w:val="right"/>
              <w:rPr>
                <w:rFonts w:cs="Times New Roman"/>
              </w:rPr>
            </w:pPr>
            <w:r w:rsidRPr="00FF1AC7">
              <w:rPr>
                <w:rFonts w:cs="Times New Roman"/>
              </w:rPr>
              <w:t>99,97</w:t>
            </w:r>
          </w:p>
        </w:tc>
      </w:tr>
      <w:tr w:rsidR="003C5AA4" w:rsidRPr="00FF1AC7" w:rsidTr="00FF1AC7">
        <w:tc>
          <w:tcPr>
            <w:tcW w:w="2660" w:type="dxa"/>
          </w:tcPr>
          <w:p w:rsidR="003C5AA4" w:rsidRPr="00FF1AC7" w:rsidRDefault="001A2463" w:rsidP="00F23D77">
            <w:pPr>
              <w:pStyle w:val="Zkladntext2"/>
              <w:spacing w:after="0" w:line="240" w:lineRule="auto"/>
              <w:jc w:val="both"/>
              <w:rPr>
                <w:rFonts w:cs="Times New Roman"/>
                <w:lang w:eastAsia="sk-SK"/>
              </w:rPr>
            </w:pPr>
            <w:r w:rsidRPr="00FF1AC7">
              <w:rPr>
                <w:rFonts w:cs="Times New Roman"/>
                <w:lang w:eastAsia="sk-SK"/>
              </w:rPr>
              <w:t xml:space="preserve">z toho: </w:t>
            </w:r>
          </w:p>
          <w:p w:rsidR="001A2463" w:rsidRPr="00FF1AC7" w:rsidRDefault="001A2463" w:rsidP="003C5AA4">
            <w:pPr>
              <w:pStyle w:val="Zkladntext2"/>
              <w:spacing w:after="0" w:line="240" w:lineRule="auto"/>
              <w:jc w:val="both"/>
              <w:rPr>
                <w:rFonts w:cs="Times New Roman"/>
                <w:lang w:eastAsia="sk-SK"/>
              </w:rPr>
            </w:pPr>
            <w:r w:rsidRPr="00FF1AC7">
              <w:rPr>
                <w:rFonts w:cs="Times New Roman"/>
                <w:lang w:eastAsia="sk-SK"/>
              </w:rPr>
              <w:t>kryté prostried</w:t>
            </w:r>
            <w:r w:rsidR="003C5AA4" w:rsidRPr="00FF1AC7">
              <w:rPr>
                <w:rFonts w:cs="Times New Roman"/>
                <w:lang w:eastAsia="sk-SK"/>
              </w:rPr>
              <w:t>kami</w:t>
            </w:r>
            <w:r w:rsidRPr="00FF1AC7">
              <w:rPr>
                <w:rFonts w:cs="Times New Roman"/>
                <w:lang w:eastAsia="sk-SK"/>
              </w:rPr>
              <w:t xml:space="preserve"> EÚ</w:t>
            </w:r>
          </w:p>
        </w:tc>
        <w:tc>
          <w:tcPr>
            <w:tcW w:w="1843" w:type="dxa"/>
          </w:tcPr>
          <w:p w:rsidR="001A2463" w:rsidRPr="00FF1AC7" w:rsidRDefault="001A2463" w:rsidP="001A2463">
            <w:pPr>
              <w:spacing w:after="0" w:line="240" w:lineRule="auto"/>
              <w:jc w:val="right"/>
              <w:rPr>
                <w:rFonts w:cs="Times New Roman"/>
              </w:rPr>
            </w:pPr>
          </w:p>
          <w:p w:rsidR="00B90B0E" w:rsidRPr="00FF1AC7" w:rsidRDefault="00B90B0E" w:rsidP="001A2463">
            <w:pPr>
              <w:spacing w:after="0" w:line="240" w:lineRule="auto"/>
              <w:jc w:val="right"/>
              <w:rPr>
                <w:rFonts w:cs="Times New Roman"/>
              </w:rPr>
            </w:pPr>
            <w:r w:rsidRPr="00FF1AC7">
              <w:rPr>
                <w:rFonts w:cs="Times New Roman"/>
              </w:rPr>
              <w:t>170 130 029,00</w:t>
            </w:r>
          </w:p>
        </w:tc>
        <w:tc>
          <w:tcPr>
            <w:tcW w:w="1701" w:type="dxa"/>
          </w:tcPr>
          <w:p w:rsidR="00497779" w:rsidRPr="00FF1AC7" w:rsidRDefault="00497779" w:rsidP="001A2463">
            <w:pPr>
              <w:spacing w:after="0" w:line="240" w:lineRule="auto"/>
              <w:jc w:val="right"/>
              <w:rPr>
                <w:rFonts w:cs="Times New Roman"/>
              </w:rPr>
            </w:pPr>
          </w:p>
          <w:p w:rsidR="00DE19CD" w:rsidRPr="00FF1AC7" w:rsidRDefault="00DE19CD" w:rsidP="001A2463">
            <w:pPr>
              <w:spacing w:after="0" w:line="240" w:lineRule="auto"/>
              <w:jc w:val="right"/>
              <w:rPr>
                <w:rFonts w:cs="Times New Roman"/>
              </w:rPr>
            </w:pPr>
            <w:r w:rsidRPr="00FF1AC7">
              <w:rPr>
                <w:rFonts w:cs="Times New Roman"/>
              </w:rPr>
              <w:t>323 004 236,09</w:t>
            </w:r>
          </w:p>
        </w:tc>
        <w:tc>
          <w:tcPr>
            <w:tcW w:w="1701" w:type="dxa"/>
          </w:tcPr>
          <w:p w:rsidR="00F23D77" w:rsidRPr="00FF1AC7" w:rsidRDefault="00F23D77" w:rsidP="001A2463">
            <w:pPr>
              <w:spacing w:after="0" w:line="240" w:lineRule="auto"/>
              <w:jc w:val="right"/>
              <w:rPr>
                <w:rFonts w:cs="Times New Roman"/>
              </w:rPr>
            </w:pPr>
          </w:p>
          <w:p w:rsidR="00DE19CD" w:rsidRPr="00FF1AC7" w:rsidRDefault="00DE19CD" w:rsidP="001A2463">
            <w:pPr>
              <w:spacing w:after="0" w:line="240" w:lineRule="auto"/>
              <w:jc w:val="right"/>
              <w:rPr>
                <w:rFonts w:cs="Times New Roman"/>
              </w:rPr>
            </w:pPr>
            <w:r w:rsidRPr="00FF1AC7">
              <w:rPr>
                <w:rFonts w:cs="Times New Roman"/>
              </w:rPr>
              <w:t>323 002 262,59</w:t>
            </w:r>
          </w:p>
        </w:tc>
        <w:tc>
          <w:tcPr>
            <w:tcW w:w="1275" w:type="dxa"/>
          </w:tcPr>
          <w:p w:rsidR="00DE19CD" w:rsidRPr="00FF1AC7" w:rsidRDefault="00DE19CD" w:rsidP="001A2463">
            <w:pPr>
              <w:spacing w:after="0" w:line="240" w:lineRule="auto"/>
              <w:jc w:val="right"/>
              <w:rPr>
                <w:rFonts w:cs="Times New Roman"/>
              </w:rPr>
            </w:pPr>
          </w:p>
          <w:p w:rsidR="00361360" w:rsidRPr="00FF1AC7" w:rsidRDefault="00DE19CD" w:rsidP="001A2463">
            <w:pPr>
              <w:spacing w:after="0" w:line="240" w:lineRule="auto"/>
              <w:jc w:val="right"/>
              <w:rPr>
                <w:rFonts w:cs="Times New Roman"/>
              </w:rPr>
            </w:pPr>
            <w:r w:rsidRPr="00FF1AC7">
              <w:rPr>
                <w:rFonts w:cs="Times New Roman"/>
              </w:rPr>
              <w:t>99,99</w:t>
            </w:r>
          </w:p>
        </w:tc>
      </w:tr>
      <w:tr w:rsidR="003C5AA4" w:rsidRPr="00FF1AC7" w:rsidTr="00FF1AC7">
        <w:tc>
          <w:tcPr>
            <w:tcW w:w="2660" w:type="dxa"/>
          </w:tcPr>
          <w:p w:rsidR="003C5AA4" w:rsidRPr="00FF1AC7" w:rsidRDefault="001A2463" w:rsidP="00F23D77">
            <w:pPr>
              <w:pStyle w:val="Zkladntext2"/>
              <w:spacing w:after="0" w:line="240" w:lineRule="auto"/>
              <w:jc w:val="both"/>
              <w:rPr>
                <w:rFonts w:cs="Times New Roman"/>
                <w:lang w:eastAsia="sk-SK"/>
              </w:rPr>
            </w:pPr>
            <w:r w:rsidRPr="00FF1AC7">
              <w:rPr>
                <w:rFonts w:cs="Times New Roman"/>
                <w:lang w:eastAsia="sk-SK"/>
              </w:rPr>
              <w:t>Saldo</w:t>
            </w:r>
          </w:p>
          <w:p w:rsidR="001A2463" w:rsidRPr="00FF1AC7" w:rsidRDefault="001A2463" w:rsidP="00F23D77">
            <w:pPr>
              <w:pStyle w:val="Zkladntext2"/>
              <w:spacing w:after="0" w:line="240" w:lineRule="auto"/>
              <w:jc w:val="both"/>
              <w:rPr>
                <w:rFonts w:cs="Times New Roman"/>
                <w:lang w:eastAsia="sk-SK"/>
              </w:rPr>
            </w:pPr>
            <w:r w:rsidRPr="00FF1AC7">
              <w:rPr>
                <w:rFonts w:cs="Times New Roman"/>
                <w:lang w:eastAsia="sk-SK"/>
              </w:rPr>
              <w:t>príjmov a výdavkov</w:t>
            </w:r>
          </w:p>
        </w:tc>
        <w:tc>
          <w:tcPr>
            <w:tcW w:w="1843" w:type="dxa"/>
          </w:tcPr>
          <w:p w:rsidR="001A2463" w:rsidRPr="00FF1AC7" w:rsidRDefault="001A2463" w:rsidP="00497779">
            <w:pPr>
              <w:spacing w:after="0" w:line="240" w:lineRule="auto"/>
              <w:ind w:left="360"/>
              <w:jc w:val="right"/>
              <w:rPr>
                <w:rFonts w:cs="Times New Roman"/>
              </w:rPr>
            </w:pPr>
          </w:p>
          <w:p w:rsidR="00B90B0E" w:rsidRPr="00FF1AC7" w:rsidRDefault="003F7905" w:rsidP="000657AF">
            <w:pPr>
              <w:spacing w:after="0" w:line="240" w:lineRule="auto"/>
              <w:jc w:val="right"/>
              <w:rPr>
                <w:rFonts w:cs="Times New Roman"/>
              </w:rPr>
            </w:pPr>
            <w:r>
              <w:rPr>
                <w:rFonts w:cs="Times New Roman"/>
              </w:rPr>
              <w:t>-</w:t>
            </w:r>
            <w:r w:rsidR="00B90B0E" w:rsidRPr="00FF1AC7">
              <w:rPr>
                <w:rFonts w:cs="Times New Roman"/>
              </w:rPr>
              <w:t>1</w:t>
            </w:r>
            <w:r w:rsidR="000657AF">
              <w:rPr>
                <w:rFonts w:cs="Times New Roman"/>
              </w:rPr>
              <w:t>1</w:t>
            </w:r>
            <w:r w:rsidR="00B90B0E" w:rsidRPr="00FF1AC7">
              <w:rPr>
                <w:rFonts w:cs="Times New Roman"/>
              </w:rPr>
              <w:t> 965 149,00</w:t>
            </w:r>
          </w:p>
        </w:tc>
        <w:tc>
          <w:tcPr>
            <w:tcW w:w="1701" w:type="dxa"/>
          </w:tcPr>
          <w:p w:rsidR="00497779" w:rsidRPr="00FF1AC7" w:rsidRDefault="00497779" w:rsidP="00497779">
            <w:pPr>
              <w:spacing w:after="0" w:line="240" w:lineRule="auto"/>
              <w:jc w:val="right"/>
              <w:rPr>
                <w:rFonts w:cs="Times New Roman"/>
              </w:rPr>
            </w:pPr>
          </w:p>
          <w:p w:rsidR="00BB5F81" w:rsidRPr="00FF1AC7" w:rsidRDefault="00BB5F81" w:rsidP="00BB5F81">
            <w:pPr>
              <w:spacing w:after="0" w:line="240" w:lineRule="auto"/>
              <w:jc w:val="right"/>
              <w:rPr>
                <w:rFonts w:cs="Times New Roman"/>
              </w:rPr>
            </w:pPr>
            <w:r w:rsidRPr="00FF1AC7">
              <w:rPr>
                <w:rFonts w:cs="Times New Roman"/>
              </w:rPr>
              <w:t>-74 287 613,84</w:t>
            </w:r>
          </w:p>
        </w:tc>
        <w:tc>
          <w:tcPr>
            <w:tcW w:w="1701" w:type="dxa"/>
          </w:tcPr>
          <w:p w:rsidR="001A2463" w:rsidRPr="00FF1AC7" w:rsidRDefault="001A2463" w:rsidP="001A2463">
            <w:pPr>
              <w:spacing w:after="0" w:line="240" w:lineRule="auto"/>
              <w:jc w:val="right"/>
              <w:rPr>
                <w:rFonts w:cs="Times New Roman"/>
              </w:rPr>
            </w:pPr>
          </w:p>
          <w:p w:rsidR="00BB5F81" w:rsidRPr="00FF1AC7" w:rsidRDefault="00BB5F81" w:rsidP="001A2463">
            <w:pPr>
              <w:spacing w:after="0" w:line="240" w:lineRule="auto"/>
              <w:jc w:val="right"/>
              <w:rPr>
                <w:rFonts w:cs="Times New Roman"/>
              </w:rPr>
            </w:pPr>
            <w:r w:rsidRPr="00FF1AC7">
              <w:rPr>
                <w:rFonts w:cs="Times New Roman"/>
              </w:rPr>
              <w:t>-71 992 670,80</w:t>
            </w:r>
          </w:p>
        </w:tc>
        <w:tc>
          <w:tcPr>
            <w:tcW w:w="1275" w:type="dxa"/>
          </w:tcPr>
          <w:p w:rsidR="00361360" w:rsidRPr="00FF1AC7" w:rsidRDefault="00361360" w:rsidP="001A2463">
            <w:pPr>
              <w:spacing w:after="0" w:line="240" w:lineRule="auto"/>
              <w:jc w:val="right"/>
              <w:rPr>
                <w:rFonts w:cs="Times New Roman"/>
              </w:rPr>
            </w:pPr>
          </w:p>
          <w:p w:rsidR="00BB5F81" w:rsidRPr="00FF1AC7" w:rsidRDefault="00BB5F81" w:rsidP="001A2463">
            <w:pPr>
              <w:spacing w:after="0" w:line="240" w:lineRule="auto"/>
              <w:jc w:val="right"/>
              <w:rPr>
                <w:rFonts w:cs="Times New Roman"/>
              </w:rPr>
            </w:pPr>
            <w:r w:rsidRPr="00FF1AC7">
              <w:rPr>
                <w:rFonts w:cs="Times New Roman"/>
              </w:rPr>
              <w:t>-</w:t>
            </w:r>
          </w:p>
        </w:tc>
      </w:tr>
      <w:tr w:rsidR="003C5AA4" w:rsidRPr="00FF1AC7" w:rsidTr="00FF1AC7">
        <w:tc>
          <w:tcPr>
            <w:tcW w:w="2660" w:type="dxa"/>
          </w:tcPr>
          <w:p w:rsidR="001A2463" w:rsidRPr="00FF1AC7" w:rsidRDefault="00B90B0E" w:rsidP="003C5AA4">
            <w:pPr>
              <w:pStyle w:val="Zkladntext2"/>
              <w:spacing w:after="0" w:line="240" w:lineRule="auto"/>
              <w:ind w:left="851" w:hanging="851"/>
              <w:jc w:val="both"/>
              <w:rPr>
                <w:rFonts w:cs="Times New Roman"/>
                <w:lang w:eastAsia="sk-SK"/>
              </w:rPr>
            </w:pPr>
            <w:r w:rsidRPr="00FF1AC7">
              <w:rPr>
                <w:rFonts w:cs="Times New Roman"/>
                <w:lang w:eastAsia="sk-SK"/>
              </w:rPr>
              <w:t xml:space="preserve">z toho: z prostriedkov </w:t>
            </w:r>
            <w:r w:rsidR="001A2463" w:rsidRPr="00FF1AC7">
              <w:rPr>
                <w:rFonts w:cs="Times New Roman"/>
                <w:lang w:eastAsia="sk-SK"/>
              </w:rPr>
              <w:t>EÚ</w:t>
            </w:r>
          </w:p>
        </w:tc>
        <w:tc>
          <w:tcPr>
            <w:tcW w:w="1843" w:type="dxa"/>
          </w:tcPr>
          <w:p w:rsidR="00497779" w:rsidRPr="00FF1AC7" w:rsidRDefault="00FF1AC7" w:rsidP="00B90B0E">
            <w:pPr>
              <w:spacing w:after="0" w:line="240" w:lineRule="auto"/>
              <w:rPr>
                <w:rFonts w:cs="Times New Roman"/>
              </w:rPr>
            </w:pPr>
            <w:r>
              <w:rPr>
                <w:rFonts w:cs="Times New Roman"/>
              </w:rPr>
              <w:t xml:space="preserve">                      </w:t>
            </w:r>
            <w:r w:rsidR="00B90B0E" w:rsidRPr="00FF1AC7">
              <w:rPr>
                <w:rFonts w:cs="Times New Roman"/>
              </w:rPr>
              <w:t>0,00</w:t>
            </w:r>
          </w:p>
        </w:tc>
        <w:tc>
          <w:tcPr>
            <w:tcW w:w="1701" w:type="dxa"/>
          </w:tcPr>
          <w:p w:rsidR="00497779" w:rsidRPr="00FF1AC7" w:rsidRDefault="00BB5F81" w:rsidP="00497779">
            <w:pPr>
              <w:spacing w:after="0" w:line="240" w:lineRule="auto"/>
              <w:jc w:val="right"/>
              <w:rPr>
                <w:rFonts w:cs="Times New Roman"/>
              </w:rPr>
            </w:pPr>
            <w:r w:rsidRPr="00FF1AC7">
              <w:rPr>
                <w:rFonts w:cs="Times New Roman"/>
              </w:rPr>
              <w:t>-54 453 148,04</w:t>
            </w:r>
          </w:p>
        </w:tc>
        <w:tc>
          <w:tcPr>
            <w:tcW w:w="1701" w:type="dxa"/>
          </w:tcPr>
          <w:p w:rsidR="00F23D77" w:rsidRPr="00FF1AC7" w:rsidRDefault="00264AA4" w:rsidP="001A2463">
            <w:pPr>
              <w:spacing w:after="0" w:line="240" w:lineRule="auto"/>
              <w:jc w:val="right"/>
              <w:rPr>
                <w:rFonts w:cs="Times New Roman"/>
              </w:rPr>
            </w:pPr>
            <w:r w:rsidRPr="00FF1AC7">
              <w:rPr>
                <w:rFonts w:cs="Times New Roman"/>
              </w:rPr>
              <w:t>-53 969 963,97</w:t>
            </w:r>
          </w:p>
        </w:tc>
        <w:tc>
          <w:tcPr>
            <w:tcW w:w="1275" w:type="dxa"/>
          </w:tcPr>
          <w:p w:rsidR="00361360" w:rsidRPr="00FF1AC7" w:rsidRDefault="00BB5F81" w:rsidP="001A2463">
            <w:pPr>
              <w:spacing w:after="0" w:line="240" w:lineRule="auto"/>
              <w:jc w:val="right"/>
              <w:rPr>
                <w:rFonts w:cs="Times New Roman"/>
              </w:rPr>
            </w:pPr>
            <w:r w:rsidRPr="00FF1AC7">
              <w:rPr>
                <w:rFonts w:cs="Times New Roman"/>
              </w:rPr>
              <w:t>-</w:t>
            </w:r>
          </w:p>
        </w:tc>
      </w:tr>
    </w:tbl>
    <w:p w:rsidR="0013715B" w:rsidRDefault="0013715B" w:rsidP="00E96B67">
      <w:pPr>
        <w:spacing w:after="0" w:line="240" w:lineRule="auto"/>
        <w:rPr>
          <w:color w:val="00FF00"/>
        </w:rPr>
      </w:pPr>
    </w:p>
    <w:p w:rsidR="0013715B" w:rsidRPr="00361360" w:rsidRDefault="0013715B" w:rsidP="006503B9">
      <w:pPr>
        <w:pStyle w:val="Zarkazkladnhotextu"/>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P</w:t>
      </w:r>
      <w:r w:rsidRPr="00F54FB5">
        <w:rPr>
          <w:rFonts w:ascii="Times New Roman" w:hAnsi="Times New Roman" w:cs="Times New Roman"/>
          <w:sz w:val="24"/>
          <w:szCs w:val="24"/>
        </w:rPr>
        <w:t>ríjm</w:t>
      </w:r>
      <w:r>
        <w:rPr>
          <w:rFonts w:ascii="Times New Roman" w:hAnsi="Times New Roman" w:cs="Times New Roman"/>
          <w:sz w:val="24"/>
          <w:szCs w:val="24"/>
        </w:rPr>
        <w:t xml:space="preserve">y kapitoly MH SR </w:t>
      </w:r>
      <w:r w:rsidRPr="00F54FB5">
        <w:rPr>
          <w:rFonts w:ascii="Times New Roman" w:hAnsi="Times New Roman" w:cs="Times New Roman"/>
          <w:sz w:val="24"/>
          <w:szCs w:val="24"/>
        </w:rPr>
        <w:t xml:space="preserve"> bol</w:t>
      </w:r>
      <w:r>
        <w:rPr>
          <w:rFonts w:ascii="Times New Roman" w:hAnsi="Times New Roman" w:cs="Times New Roman"/>
          <w:sz w:val="24"/>
          <w:szCs w:val="24"/>
        </w:rPr>
        <w:t>i schválené</w:t>
      </w:r>
      <w:r w:rsidRPr="00F54FB5">
        <w:rPr>
          <w:rFonts w:ascii="Times New Roman" w:hAnsi="Times New Roman" w:cs="Times New Roman"/>
          <w:sz w:val="24"/>
          <w:szCs w:val="24"/>
        </w:rPr>
        <w:t xml:space="preserve"> zákonom č. </w:t>
      </w:r>
      <w:r w:rsidR="00400427">
        <w:rPr>
          <w:rFonts w:ascii="Times New Roman" w:hAnsi="Times New Roman" w:cs="Times New Roman"/>
          <w:sz w:val="24"/>
          <w:szCs w:val="24"/>
        </w:rPr>
        <w:t>385</w:t>
      </w:r>
      <w:r w:rsidRPr="00F54FB5">
        <w:rPr>
          <w:rFonts w:ascii="Times New Roman" w:hAnsi="Times New Roman" w:cs="Times New Roman"/>
          <w:sz w:val="24"/>
          <w:szCs w:val="24"/>
        </w:rPr>
        <w:t>/201</w:t>
      </w:r>
      <w:r w:rsidR="00400427">
        <w:rPr>
          <w:rFonts w:ascii="Times New Roman" w:hAnsi="Times New Roman" w:cs="Times New Roman"/>
          <w:sz w:val="24"/>
          <w:szCs w:val="24"/>
        </w:rPr>
        <w:t>4</w:t>
      </w:r>
      <w:r w:rsidRPr="00F54FB5">
        <w:rPr>
          <w:rFonts w:ascii="Times New Roman" w:hAnsi="Times New Roman" w:cs="Times New Roman"/>
          <w:sz w:val="24"/>
          <w:szCs w:val="24"/>
        </w:rPr>
        <w:t xml:space="preserve"> Z. z. o štátnom rozpočte na rok 201</w:t>
      </w:r>
      <w:r w:rsidR="00400427">
        <w:rPr>
          <w:rFonts w:ascii="Times New Roman" w:hAnsi="Times New Roman" w:cs="Times New Roman"/>
          <w:sz w:val="24"/>
          <w:szCs w:val="24"/>
        </w:rPr>
        <w:t>5</w:t>
      </w:r>
      <w:r w:rsidRPr="00F54FB5">
        <w:rPr>
          <w:rFonts w:ascii="Times New Roman" w:hAnsi="Times New Roman" w:cs="Times New Roman"/>
          <w:sz w:val="24"/>
          <w:szCs w:val="24"/>
        </w:rPr>
        <w:t xml:space="preserve"> v</w:t>
      </w:r>
      <w:r w:rsidR="00CD146A">
        <w:rPr>
          <w:rFonts w:ascii="Times New Roman" w:hAnsi="Times New Roman" w:cs="Times New Roman"/>
          <w:sz w:val="24"/>
          <w:szCs w:val="24"/>
        </w:rPr>
        <w:t xml:space="preserve"> </w:t>
      </w:r>
      <w:r w:rsidR="00DF6D1C">
        <w:rPr>
          <w:rFonts w:ascii="Times New Roman" w:hAnsi="Times New Roman" w:cs="Times New Roman"/>
          <w:sz w:val="24"/>
          <w:szCs w:val="24"/>
        </w:rPr>
        <w:t>sume</w:t>
      </w:r>
      <w:r>
        <w:rPr>
          <w:rFonts w:ascii="Times New Roman" w:hAnsi="Times New Roman" w:cs="Times New Roman"/>
          <w:sz w:val="24"/>
          <w:szCs w:val="24"/>
        </w:rPr>
        <w:t xml:space="preserve"> </w:t>
      </w:r>
      <w:r w:rsidR="00400427">
        <w:rPr>
          <w:rFonts w:ascii="Times New Roman" w:hAnsi="Times New Roman" w:cs="Times New Roman"/>
          <w:sz w:val="24"/>
          <w:szCs w:val="24"/>
        </w:rPr>
        <w:t>286 304 989,00</w:t>
      </w:r>
      <w:r w:rsidR="00F5545D">
        <w:rPr>
          <w:rFonts w:ascii="Times New Roman" w:hAnsi="Times New Roman" w:cs="Times New Roman"/>
          <w:sz w:val="24"/>
          <w:szCs w:val="24"/>
        </w:rPr>
        <w:t xml:space="preserve"> e</w:t>
      </w:r>
      <w:r w:rsidRPr="00F54FB5">
        <w:rPr>
          <w:rFonts w:ascii="Times New Roman" w:hAnsi="Times New Roman" w:cs="Times New Roman"/>
          <w:sz w:val="24"/>
          <w:szCs w:val="24"/>
        </w:rPr>
        <w:t xml:space="preserve">ur. Rozpočet  celkových príjmov kapitoly bol v dôsledku </w:t>
      </w:r>
      <w:r w:rsidR="00361360">
        <w:rPr>
          <w:rFonts w:ascii="Times New Roman" w:hAnsi="Times New Roman" w:cs="Times New Roman"/>
          <w:sz w:val="24"/>
          <w:szCs w:val="24"/>
        </w:rPr>
        <w:t xml:space="preserve">očakávaného </w:t>
      </w:r>
      <w:r w:rsidRPr="00F54FB5">
        <w:rPr>
          <w:rFonts w:ascii="Times New Roman" w:hAnsi="Times New Roman" w:cs="Times New Roman"/>
          <w:sz w:val="24"/>
          <w:szCs w:val="24"/>
        </w:rPr>
        <w:t xml:space="preserve">neplnenia príjmov z dividend </w:t>
      </w:r>
      <w:r>
        <w:rPr>
          <w:rFonts w:ascii="Times New Roman" w:hAnsi="Times New Roman" w:cs="Times New Roman"/>
          <w:sz w:val="24"/>
          <w:szCs w:val="24"/>
        </w:rPr>
        <w:t>a príjmov z </w:t>
      </w:r>
      <w:r w:rsidR="00361360">
        <w:rPr>
          <w:rFonts w:ascii="Times New Roman" w:hAnsi="Times New Roman" w:cs="Times New Roman"/>
          <w:sz w:val="24"/>
          <w:szCs w:val="24"/>
        </w:rPr>
        <w:t xml:space="preserve"> </w:t>
      </w:r>
      <w:r>
        <w:rPr>
          <w:rFonts w:ascii="Times New Roman" w:hAnsi="Times New Roman" w:cs="Times New Roman"/>
          <w:sz w:val="24"/>
          <w:szCs w:val="24"/>
        </w:rPr>
        <w:t xml:space="preserve">rozpisu EÚ </w:t>
      </w:r>
      <w:r w:rsidRPr="00F54FB5">
        <w:rPr>
          <w:rFonts w:ascii="Times New Roman" w:hAnsi="Times New Roman" w:cs="Times New Roman"/>
          <w:sz w:val="24"/>
          <w:szCs w:val="24"/>
        </w:rPr>
        <w:t xml:space="preserve">upravený na </w:t>
      </w:r>
      <w:r w:rsidR="00DF6D1C">
        <w:rPr>
          <w:rFonts w:ascii="Times New Roman" w:hAnsi="Times New Roman" w:cs="Times New Roman"/>
          <w:sz w:val="24"/>
          <w:szCs w:val="24"/>
        </w:rPr>
        <w:t>sumu 366 929 934,78</w:t>
      </w:r>
      <w:r w:rsidR="00F5545D">
        <w:rPr>
          <w:rFonts w:ascii="Times New Roman" w:hAnsi="Times New Roman" w:cs="Times New Roman"/>
          <w:sz w:val="24"/>
          <w:szCs w:val="24"/>
        </w:rPr>
        <w:t xml:space="preserve"> eu</w:t>
      </w:r>
      <w:r w:rsidRPr="00F54FB5">
        <w:rPr>
          <w:rFonts w:ascii="Times New Roman" w:hAnsi="Times New Roman" w:cs="Times New Roman"/>
          <w:sz w:val="24"/>
          <w:szCs w:val="24"/>
        </w:rPr>
        <w:t>r a skutočné príjmy kapitoly boli  dosiahnuté v</w:t>
      </w:r>
      <w:r w:rsidR="00CD146A">
        <w:rPr>
          <w:rFonts w:ascii="Times New Roman" w:hAnsi="Times New Roman" w:cs="Times New Roman"/>
          <w:sz w:val="24"/>
          <w:szCs w:val="24"/>
        </w:rPr>
        <w:t xml:space="preserve"> sume</w:t>
      </w:r>
      <w:r w:rsidRPr="00F54FB5">
        <w:rPr>
          <w:rFonts w:ascii="Times New Roman" w:hAnsi="Times New Roman" w:cs="Times New Roman"/>
          <w:sz w:val="24"/>
          <w:szCs w:val="24"/>
        </w:rPr>
        <w:t xml:space="preserve"> </w:t>
      </w:r>
      <w:r w:rsidR="00E42519">
        <w:rPr>
          <w:rFonts w:ascii="Times New Roman" w:hAnsi="Times New Roman" w:cs="Times New Roman"/>
          <w:sz w:val="24"/>
          <w:szCs w:val="24"/>
        </w:rPr>
        <w:t xml:space="preserve">     </w:t>
      </w:r>
      <w:r w:rsidR="00DF6D1C">
        <w:rPr>
          <w:sz w:val="24"/>
          <w:szCs w:val="24"/>
        </w:rPr>
        <w:t>369 085 004,57</w:t>
      </w:r>
      <w:r w:rsidR="00361360">
        <w:rPr>
          <w:sz w:val="24"/>
          <w:szCs w:val="24"/>
        </w:rPr>
        <w:t xml:space="preserve"> </w:t>
      </w:r>
      <w:r w:rsidR="00F5545D">
        <w:rPr>
          <w:rFonts w:ascii="Times New Roman" w:hAnsi="Times New Roman" w:cs="Times New Roman"/>
          <w:sz w:val="24"/>
          <w:szCs w:val="24"/>
        </w:rPr>
        <w:t>e</w:t>
      </w:r>
      <w:r w:rsidRPr="00F54FB5">
        <w:rPr>
          <w:rFonts w:ascii="Times New Roman" w:hAnsi="Times New Roman" w:cs="Times New Roman"/>
          <w:sz w:val="24"/>
          <w:szCs w:val="24"/>
        </w:rPr>
        <w:t xml:space="preserve">ur, t.j. </w:t>
      </w:r>
      <w:r w:rsidRPr="00361360">
        <w:rPr>
          <w:rFonts w:ascii="Times New Roman" w:hAnsi="Times New Roman" w:cs="Times New Roman"/>
          <w:sz w:val="24"/>
          <w:szCs w:val="24"/>
        </w:rPr>
        <w:t>plnenie na</w:t>
      </w:r>
      <w:r w:rsidR="00DF6D1C">
        <w:rPr>
          <w:rFonts w:ascii="Times New Roman" w:hAnsi="Times New Roman" w:cs="Times New Roman"/>
          <w:sz w:val="24"/>
          <w:szCs w:val="24"/>
        </w:rPr>
        <w:t xml:space="preserve"> 100,59</w:t>
      </w:r>
      <w:r w:rsidRPr="00361360">
        <w:rPr>
          <w:rFonts w:ascii="Times New Roman" w:hAnsi="Times New Roman" w:cs="Times New Roman"/>
          <w:sz w:val="24"/>
          <w:szCs w:val="24"/>
        </w:rPr>
        <w:t xml:space="preserve"> %. Príjmy z rozpočtu EÚ boli naplnené v</w:t>
      </w:r>
      <w:r w:rsidR="00CD146A">
        <w:rPr>
          <w:rFonts w:ascii="Times New Roman" w:hAnsi="Times New Roman" w:cs="Times New Roman"/>
          <w:sz w:val="24"/>
          <w:szCs w:val="24"/>
        </w:rPr>
        <w:t xml:space="preserve"> sume</w:t>
      </w:r>
      <w:r w:rsidRPr="00361360">
        <w:rPr>
          <w:rFonts w:ascii="Times New Roman" w:hAnsi="Times New Roman" w:cs="Times New Roman"/>
          <w:sz w:val="24"/>
          <w:szCs w:val="24"/>
        </w:rPr>
        <w:t xml:space="preserve"> </w:t>
      </w:r>
      <w:r w:rsidR="00DF6D1C">
        <w:rPr>
          <w:sz w:val="24"/>
          <w:szCs w:val="24"/>
        </w:rPr>
        <w:t>269 032 298,62</w:t>
      </w:r>
      <w:r w:rsidR="007063B2">
        <w:rPr>
          <w:sz w:val="24"/>
          <w:szCs w:val="24"/>
        </w:rPr>
        <w:t xml:space="preserve"> </w:t>
      </w:r>
      <w:r w:rsidR="00F5545D" w:rsidRPr="00361360">
        <w:rPr>
          <w:rFonts w:ascii="Times New Roman" w:hAnsi="Times New Roman" w:cs="Times New Roman"/>
          <w:sz w:val="24"/>
          <w:szCs w:val="24"/>
        </w:rPr>
        <w:t>e</w:t>
      </w:r>
      <w:r w:rsidRPr="00361360">
        <w:rPr>
          <w:rFonts w:ascii="Times New Roman" w:hAnsi="Times New Roman" w:cs="Times New Roman"/>
          <w:sz w:val="24"/>
          <w:szCs w:val="24"/>
        </w:rPr>
        <w:t xml:space="preserve">ur, t.j. plnenie na </w:t>
      </w:r>
      <w:r w:rsidR="00DF6D1C">
        <w:rPr>
          <w:rFonts w:ascii="Times New Roman" w:hAnsi="Times New Roman" w:cs="Times New Roman"/>
          <w:sz w:val="24"/>
          <w:szCs w:val="24"/>
        </w:rPr>
        <w:t>100,18</w:t>
      </w:r>
      <w:r w:rsidRPr="00361360">
        <w:rPr>
          <w:rFonts w:ascii="Times New Roman" w:hAnsi="Times New Roman" w:cs="Times New Roman"/>
          <w:sz w:val="24"/>
          <w:szCs w:val="24"/>
        </w:rPr>
        <w:t xml:space="preserve"> %. </w:t>
      </w:r>
    </w:p>
    <w:p w:rsidR="0013715B" w:rsidRPr="00F54FB5" w:rsidRDefault="0013715B"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13715B" w:rsidRPr="00361360" w:rsidRDefault="0013715B" w:rsidP="008A5E0F">
      <w:pPr>
        <w:pStyle w:val="Zarkazkladnhotextu"/>
        <w:spacing w:after="0" w:line="240" w:lineRule="auto"/>
        <w:ind w:left="0" w:firstLine="709"/>
        <w:jc w:val="both"/>
        <w:rPr>
          <w:rFonts w:ascii="Times New Roman" w:hAnsi="Times New Roman" w:cs="Times New Roman"/>
          <w:sz w:val="24"/>
          <w:szCs w:val="24"/>
        </w:rPr>
      </w:pPr>
      <w:r w:rsidRPr="00F54FB5">
        <w:rPr>
          <w:rFonts w:ascii="Times New Roman" w:hAnsi="Times New Roman" w:cs="Times New Roman"/>
          <w:sz w:val="24"/>
          <w:szCs w:val="24"/>
        </w:rPr>
        <w:t xml:space="preserve">Výdavky kapitoly boli zákonom č. </w:t>
      </w:r>
      <w:r w:rsidR="00400427">
        <w:rPr>
          <w:rFonts w:ascii="Times New Roman" w:hAnsi="Times New Roman" w:cs="Times New Roman"/>
          <w:sz w:val="24"/>
          <w:szCs w:val="24"/>
        </w:rPr>
        <w:t>385</w:t>
      </w:r>
      <w:r w:rsidR="00400427" w:rsidRPr="00F54FB5">
        <w:rPr>
          <w:rFonts w:ascii="Times New Roman" w:hAnsi="Times New Roman" w:cs="Times New Roman"/>
          <w:sz w:val="24"/>
          <w:szCs w:val="24"/>
        </w:rPr>
        <w:t>/201</w:t>
      </w:r>
      <w:r w:rsidR="00400427">
        <w:rPr>
          <w:rFonts w:ascii="Times New Roman" w:hAnsi="Times New Roman" w:cs="Times New Roman"/>
          <w:sz w:val="24"/>
          <w:szCs w:val="24"/>
        </w:rPr>
        <w:t>4</w:t>
      </w:r>
      <w:r w:rsidR="00400427" w:rsidRPr="00F54FB5">
        <w:rPr>
          <w:rFonts w:ascii="Times New Roman" w:hAnsi="Times New Roman" w:cs="Times New Roman"/>
          <w:sz w:val="24"/>
          <w:szCs w:val="24"/>
        </w:rPr>
        <w:t xml:space="preserve"> </w:t>
      </w:r>
      <w:r w:rsidRPr="00F54FB5">
        <w:rPr>
          <w:rFonts w:ascii="Times New Roman" w:hAnsi="Times New Roman" w:cs="Times New Roman"/>
          <w:sz w:val="24"/>
          <w:szCs w:val="24"/>
        </w:rPr>
        <w:t>Z. z. o štátnom rozpočte na rok 201</w:t>
      </w:r>
      <w:r w:rsidR="00400427">
        <w:rPr>
          <w:rFonts w:ascii="Times New Roman" w:hAnsi="Times New Roman" w:cs="Times New Roman"/>
          <w:sz w:val="24"/>
          <w:szCs w:val="24"/>
        </w:rPr>
        <w:t xml:space="preserve">5 </w:t>
      </w:r>
      <w:r w:rsidRPr="00F54FB5">
        <w:rPr>
          <w:rFonts w:ascii="Times New Roman" w:hAnsi="Times New Roman" w:cs="Times New Roman"/>
          <w:sz w:val="24"/>
          <w:szCs w:val="24"/>
        </w:rPr>
        <w:t xml:space="preserve">schválené </w:t>
      </w:r>
      <w:r w:rsidR="00CD146A" w:rsidRPr="00F54FB5">
        <w:rPr>
          <w:rFonts w:ascii="Times New Roman" w:hAnsi="Times New Roman" w:cs="Times New Roman"/>
          <w:sz w:val="24"/>
          <w:szCs w:val="24"/>
        </w:rPr>
        <w:t>v</w:t>
      </w:r>
      <w:r w:rsidR="00CD146A">
        <w:rPr>
          <w:rFonts w:ascii="Times New Roman" w:hAnsi="Times New Roman" w:cs="Times New Roman"/>
          <w:sz w:val="24"/>
          <w:szCs w:val="24"/>
        </w:rPr>
        <w:t xml:space="preserve"> </w:t>
      </w:r>
      <w:r w:rsidR="00DF6D1C">
        <w:rPr>
          <w:rFonts w:ascii="Times New Roman" w:hAnsi="Times New Roman" w:cs="Times New Roman"/>
          <w:sz w:val="24"/>
          <w:szCs w:val="24"/>
        </w:rPr>
        <w:t>sume</w:t>
      </w:r>
      <w:r w:rsidR="00CD146A">
        <w:rPr>
          <w:rFonts w:ascii="Times New Roman" w:hAnsi="Times New Roman" w:cs="Times New Roman"/>
          <w:sz w:val="24"/>
          <w:szCs w:val="24"/>
        </w:rPr>
        <w:t xml:space="preserve"> </w:t>
      </w:r>
      <w:r w:rsidR="00400427">
        <w:rPr>
          <w:sz w:val="24"/>
          <w:szCs w:val="24"/>
        </w:rPr>
        <w:t>298 270 138,00</w:t>
      </w:r>
      <w:r w:rsidR="00CC2ABC">
        <w:rPr>
          <w:sz w:val="24"/>
          <w:szCs w:val="24"/>
        </w:rPr>
        <w:t xml:space="preserve"> e</w:t>
      </w:r>
      <w:r w:rsidRPr="00F54FB5">
        <w:rPr>
          <w:rFonts w:ascii="Times New Roman" w:hAnsi="Times New Roman" w:cs="Times New Roman"/>
          <w:sz w:val="24"/>
          <w:szCs w:val="24"/>
        </w:rPr>
        <w:t xml:space="preserve">ur, ktoré </w:t>
      </w:r>
      <w:r w:rsidR="00400427">
        <w:rPr>
          <w:rFonts w:ascii="Times New Roman" w:hAnsi="Times New Roman" w:cs="Times New Roman"/>
          <w:sz w:val="24"/>
          <w:szCs w:val="24"/>
        </w:rPr>
        <w:t xml:space="preserve">boli </w:t>
      </w:r>
      <w:r w:rsidRPr="00F54FB5">
        <w:rPr>
          <w:rFonts w:ascii="Times New Roman" w:hAnsi="Times New Roman" w:cs="Times New Roman"/>
          <w:sz w:val="24"/>
          <w:szCs w:val="24"/>
        </w:rPr>
        <w:t>v priebehu roka 201</w:t>
      </w:r>
      <w:r w:rsidR="00400427">
        <w:rPr>
          <w:rFonts w:ascii="Times New Roman" w:hAnsi="Times New Roman" w:cs="Times New Roman"/>
          <w:sz w:val="24"/>
          <w:szCs w:val="24"/>
        </w:rPr>
        <w:t>5</w:t>
      </w:r>
      <w:r w:rsidRPr="00F54FB5">
        <w:rPr>
          <w:rFonts w:ascii="Times New Roman" w:hAnsi="Times New Roman" w:cs="Times New Roman"/>
          <w:sz w:val="24"/>
          <w:szCs w:val="24"/>
        </w:rPr>
        <w:t xml:space="preserve"> rozpočtovými opatreniami </w:t>
      </w:r>
      <w:r>
        <w:rPr>
          <w:rFonts w:ascii="Times New Roman" w:hAnsi="Times New Roman" w:cs="Times New Roman"/>
          <w:sz w:val="24"/>
          <w:szCs w:val="24"/>
        </w:rPr>
        <w:t xml:space="preserve"> MF SR </w:t>
      </w:r>
      <w:r w:rsidRPr="00361360">
        <w:rPr>
          <w:rFonts w:ascii="Times New Roman" w:hAnsi="Times New Roman" w:cs="Times New Roman"/>
          <w:sz w:val="24"/>
          <w:szCs w:val="24"/>
        </w:rPr>
        <w:t xml:space="preserve">upravené na </w:t>
      </w:r>
      <w:r w:rsidR="00DF6D1C">
        <w:rPr>
          <w:rFonts w:ascii="Times New Roman" w:hAnsi="Times New Roman" w:cs="Times New Roman"/>
          <w:sz w:val="24"/>
          <w:szCs w:val="24"/>
        </w:rPr>
        <w:t>sumu</w:t>
      </w:r>
      <w:r w:rsidR="00CD146A">
        <w:rPr>
          <w:rFonts w:ascii="Times New Roman" w:hAnsi="Times New Roman" w:cs="Times New Roman"/>
          <w:sz w:val="24"/>
          <w:szCs w:val="24"/>
        </w:rPr>
        <w:t xml:space="preserve"> </w:t>
      </w:r>
      <w:r w:rsidR="00D13511">
        <w:rPr>
          <w:sz w:val="24"/>
          <w:szCs w:val="24"/>
        </w:rPr>
        <w:t xml:space="preserve">441 217 548,62 </w:t>
      </w:r>
      <w:r w:rsidR="00CC2ABC" w:rsidRPr="00361360">
        <w:rPr>
          <w:sz w:val="24"/>
          <w:szCs w:val="24"/>
        </w:rPr>
        <w:t>e</w:t>
      </w:r>
      <w:r w:rsidRPr="00361360">
        <w:rPr>
          <w:rFonts w:ascii="Times New Roman" w:hAnsi="Times New Roman" w:cs="Times New Roman"/>
          <w:sz w:val="24"/>
          <w:szCs w:val="24"/>
        </w:rPr>
        <w:t>ur. Celkové čerpanie výdavkov kapitoly</w:t>
      </w:r>
      <w:r w:rsidR="00D13511">
        <w:rPr>
          <w:rFonts w:ascii="Times New Roman" w:hAnsi="Times New Roman" w:cs="Times New Roman"/>
          <w:sz w:val="24"/>
          <w:szCs w:val="24"/>
        </w:rPr>
        <w:t xml:space="preserve"> </w:t>
      </w:r>
      <w:r w:rsidRPr="00361360">
        <w:rPr>
          <w:rFonts w:ascii="Times New Roman" w:hAnsi="Times New Roman" w:cs="Times New Roman"/>
          <w:sz w:val="24"/>
          <w:szCs w:val="24"/>
        </w:rPr>
        <w:t>MH SR vrátane mimorozpočtov</w:t>
      </w:r>
      <w:r w:rsidR="00E00817">
        <w:rPr>
          <w:rFonts w:ascii="Times New Roman" w:hAnsi="Times New Roman" w:cs="Times New Roman"/>
          <w:sz w:val="24"/>
          <w:szCs w:val="24"/>
        </w:rPr>
        <w:t xml:space="preserve">ého </w:t>
      </w:r>
      <w:r w:rsidRPr="00361360">
        <w:rPr>
          <w:rFonts w:ascii="Times New Roman" w:hAnsi="Times New Roman" w:cs="Times New Roman"/>
          <w:sz w:val="24"/>
          <w:szCs w:val="24"/>
        </w:rPr>
        <w:t>zdroj</w:t>
      </w:r>
      <w:r w:rsidR="00E00817">
        <w:rPr>
          <w:rFonts w:ascii="Times New Roman" w:hAnsi="Times New Roman" w:cs="Times New Roman"/>
          <w:sz w:val="24"/>
          <w:szCs w:val="24"/>
        </w:rPr>
        <w:t>a</w:t>
      </w:r>
      <w:r w:rsidRPr="00361360">
        <w:rPr>
          <w:rFonts w:ascii="Times New Roman" w:hAnsi="Times New Roman" w:cs="Times New Roman"/>
          <w:sz w:val="24"/>
          <w:szCs w:val="24"/>
        </w:rPr>
        <w:t xml:space="preserve"> v roku 201</w:t>
      </w:r>
      <w:r w:rsidR="00CD146A">
        <w:rPr>
          <w:rFonts w:ascii="Times New Roman" w:hAnsi="Times New Roman" w:cs="Times New Roman"/>
          <w:sz w:val="24"/>
          <w:szCs w:val="24"/>
        </w:rPr>
        <w:t>5</w:t>
      </w:r>
      <w:r w:rsidRPr="00361360">
        <w:rPr>
          <w:rFonts w:ascii="Times New Roman" w:hAnsi="Times New Roman" w:cs="Times New Roman"/>
          <w:sz w:val="24"/>
          <w:szCs w:val="24"/>
        </w:rPr>
        <w:t xml:space="preserve"> bolo </w:t>
      </w:r>
      <w:r w:rsidR="00CD146A" w:rsidRPr="00F54FB5">
        <w:rPr>
          <w:rFonts w:ascii="Times New Roman" w:hAnsi="Times New Roman" w:cs="Times New Roman"/>
          <w:sz w:val="24"/>
          <w:szCs w:val="24"/>
        </w:rPr>
        <w:t>v</w:t>
      </w:r>
      <w:r w:rsidR="007F7CD9">
        <w:rPr>
          <w:rFonts w:ascii="Times New Roman" w:hAnsi="Times New Roman" w:cs="Times New Roman"/>
          <w:sz w:val="24"/>
          <w:szCs w:val="24"/>
        </w:rPr>
        <w:t> </w:t>
      </w:r>
      <w:r w:rsidR="00CD146A">
        <w:rPr>
          <w:rFonts w:ascii="Times New Roman" w:hAnsi="Times New Roman" w:cs="Times New Roman"/>
          <w:sz w:val="24"/>
          <w:szCs w:val="24"/>
        </w:rPr>
        <w:t>sume</w:t>
      </w:r>
      <w:r w:rsidR="007F7CD9">
        <w:rPr>
          <w:rFonts w:ascii="Times New Roman" w:hAnsi="Times New Roman" w:cs="Times New Roman"/>
          <w:sz w:val="24"/>
          <w:szCs w:val="24"/>
        </w:rPr>
        <w:t xml:space="preserve">     </w:t>
      </w:r>
      <w:r w:rsidR="00CD146A" w:rsidRPr="00F54FB5">
        <w:rPr>
          <w:rFonts w:ascii="Times New Roman" w:hAnsi="Times New Roman" w:cs="Times New Roman"/>
          <w:sz w:val="24"/>
          <w:szCs w:val="24"/>
        </w:rPr>
        <w:t xml:space="preserve"> </w:t>
      </w:r>
      <w:r w:rsidR="00D13511">
        <w:rPr>
          <w:sz w:val="24"/>
          <w:szCs w:val="24"/>
        </w:rPr>
        <w:t>441 077 675,37</w:t>
      </w:r>
      <w:r w:rsidR="00CD146A">
        <w:rPr>
          <w:sz w:val="24"/>
          <w:szCs w:val="24"/>
        </w:rPr>
        <w:t xml:space="preserve"> </w:t>
      </w:r>
      <w:r w:rsidR="00CC2ABC" w:rsidRPr="00361360">
        <w:rPr>
          <w:rFonts w:ascii="Times New Roman" w:hAnsi="Times New Roman" w:cs="Times New Roman"/>
          <w:sz w:val="24"/>
          <w:szCs w:val="24"/>
        </w:rPr>
        <w:t>e</w:t>
      </w:r>
      <w:r w:rsidRPr="00361360">
        <w:rPr>
          <w:rFonts w:ascii="Times New Roman" w:hAnsi="Times New Roman" w:cs="Times New Roman"/>
          <w:sz w:val="24"/>
          <w:szCs w:val="24"/>
        </w:rPr>
        <w:t xml:space="preserve">ur, t.j. </w:t>
      </w:r>
      <w:r w:rsidR="00D13511">
        <w:rPr>
          <w:rFonts w:ascii="Times New Roman" w:hAnsi="Times New Roman" w:cs="Times New Roman"/>
          <w:sz w:val="24"/>
          <w:szCs w:val="24"/>
        </w:rPr>
        <w:t>99,97</w:t>
      </w:r>
      <w:r w:rsidRPr="00361360">
        <w:rPr>
          <w:rFonts w:ascii="Times New Roman" w:hAnsi="Times New Roman" w:cs="Times New Roman"/>
          <w:sz w:val="24"/>
          <w:szCs w:val="24"/>
        </w:rPr>
        <w:t xml:space="preserve"> % z upraveného rozpočtu</w:t>
      </w:r>
      <w:r w:rsidR="00CD146A">
        <w:rPr>
          <w:rFonts w:ascii="Times New Roman" w:hAnsi="Times New Roman" w:cs="Times New Roman"/>
          <w:sz w:val="24"/>
          <w:szCs w:val="24"/>
        </w:rPr>
        <w:t xml:space="preserve"> k 31.12.2015</w:t>
      </w:r>
      <w:r w:rsidRPr="00361360">
        <w:rPr>
          <w:rFonts w:ascii="Times New Roman" w:hAnsi="Times New Roman" w:cs="Times New Roman"/>
          <w:sz w:val="24"/>
          <w:szCs w:val="24"/>
        </w:rPr>
        <w:t xml:space="preserve">. </w:t>
      </w:r>
    </w:p>
    <w:p w:rsidR="006E35A5" w:rsidRDefault="006E35A5"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720D44" w:rsidRDefault="00720D44"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E35CDA" w:rsidRPr="001A2463" w:rsidRDefault="00E35CDA" w:rsidP="008A5E0F">
      <w:pPr>
        <w:pStyle w:val="Nadpis3"/>
        <w:numPr>
          <w:ilvl w:val="2"/>
          <w:numId w:val="23"/>
        </w:numPr>
        <w:spacing w:before="0" w:line="240" w:lineRule="auto"/>
        <w:ind w:hanging="577"/>
        <w:jc w:val="both"/>
        <w:rPr>
          <w:rFonts w:ascii="Times New Roman" w:hAnsi="Times New Roman" w:cs="Times New Roman"/>
        </w:rPr>
      </w:pPr>
      <w:bookmarkStart w:id="5" w:name="_Toc415553094"/>
      <w:r>
        <w:rPr>
          <w:rFonts w:ascii="Times New Roman" w:hAnsi="Times New Roman" w:cs="Times New Roman"/>
        </w:rPr>
        <w:t>Zhodnotenie plnenia záväzných ukazovateľov rozpočtu kapitoly</w:t>
      </w:r>
      <w:bookmarkEnd w:id="5"/>
    </w:p>
    <w:p w:rsidR="00E35CDA" w:rsidRDefault="00E35CDA" w:rsidP="0013715B">
      <w:pPr>
        <w:pStyle w:val="Zarkazkladnhotextu"/>
        <w:tabs>
          <w:tab w:val="left" w:pos="540"/>
        </w:tabs>
        <w:spacing w:after="0" w:line="240" w:lineRule="auto"/>
        <w:ind w:left="0" w:firstLine="540"/>
        <w:jc w:val="both"/>
        <w:rPr>
          <w:rFonts w:ascii="Times New Roman" w:hAnsi="Times New Roman" w:cs="Times New Roman"/>
          <w:sz w:val="24"/>
          <w:szCs w:val="24"/>
        </w:rPr>
      </w:pPr>
    </w:p>
    <w:p w:rsidR="0093686C" w:rsidRDefault="0093686C" w:rsidP="008A5E0F">
      <w:pPr>
        <w:pStyle w:val="Zkladntext"/>
        <w:tabs>
          <w:tab w:val="left" w:pos="709"/>
          <w:tab w:val="left" w:pos="8820"/>
        </w:tabs>
        <w:spacing w:after="0" w:line="240" w:lineRule="auto"/>
        <w:rPr>
          <w:rFonts w:ascii="Times New Roman" w:hAnsi="Times New Roman" w:cs="Times New Roman"/>
          <w:sz w:val="24"/>
          <w:szCs w:val="24"/>
        </w:rPr>
      </w:pPr>
      <w:r>
        <w:rPr>
          <w:rFonts w:ascii="Times New Roman" w:hAnsi="Times New Roman" w:cs="Times New Roman"/>
          <w:sz w:val="24"/>
          <w:szCs w:val="24"/>
        </w:rPr>
        <w:tab/>
      </w:r>
      <w:r w:rsidRPr="0093686C">
        <w:rPr>
          <w:rFonts w:ascii="Times New Roman" w:hAnsi="Times New Roman" w:cs="Times New Roman"/>
          <w:sz w:val="24"/>
          <w:szCs w:val="24"/>
        </w:rPr>
        <w:t>Ministerstvo financií SR listom č. MF/02</w:t>
      </w:r>
      <w:r w:rsidR="00CD146A">
        <w:rPr>
          <w:rFonts w:ascii="Times New Roman" w:hAnsi="Times New Roman" w:cs="Times New Roman"/>
          <w:sz w:val="24"/>
          <w:szCs w:val="24"/>
        </w:rPr>
        <w:t>6958</w:t>
      </w:r>
      <w:r w:rsidR="00403EC6">
        <w:rPr>
          <w:rFonts w:ascii="Times New Roman" w:hAnsi="Times New Roman" w:cs="Times New Roman"/>
          <w:sz w:val="24"/>
          <w:szCs w:val="24"/>
        </w:rPr>
        <w:t>/</w:t>
      </w:r>
      <w:r w:rsidR="00CD146A">
        <w:rPr>
          <w:rFonts w:ascii="Times New Roman" w:hAnsi="Times New Roman" w:cs="Times New Roman"/>
          <w:sz w:val="24"/>
          <w:szCs w:val="24"/>
        </w:rPr>
        <w:t>2014-</w:t>
      </w:r>
      <w:r w:rsidRPr="0093686C">
        <w:rPr>
          <w:rFonts w:ascii="Times New Roman" w:hAnsi="Times New Roman" w:cs="Times New Roman"/>
          <w:sz w:val="24"/>
          <w:szCs w:val="24"/>
        </w:rPr>
        <w:t>441</w:t>
      </w:r>
      <w:r w:rsidR="0073249F">
        <w:rPr>
          <w:rFonts w:ascii="Times New Roman" w:hAnsi="Times New Roman" w:cs="Times New Roman"/>
          <w:sz w:val="24"/>
          <w:szCs w:val="24"/>
        </w:rPr>
        <w:t xml:space="preserve"> </w:t>
      </w:r>
      <w:r w:rsidR="00403EC6">
        <w:rPr>
          <w:rFonts w:ascii="Times New Roman" w:hAnsi="Times New Roman" w:cs="Times New Roman"/>
          <w:sz w:val="24"/>
          <w:szCs w:val="24"/>
        </w:rPr>
        <w:t>zo dňa 1</w:t>
      </w:r>
      <w:r w:rsidR="00CD146A">
        <w:rPr>
          <w:rFonts w:ascii="Times New Roman" w:hAnsi="Times New Roman" w:cs="Times New Roman"/>
          <w:sz w:val="24"/>
          <w:szCs w:val="24"/>
        </w:rPr>
        <w:t>9.</w:t>
      </w:r>
      <w:r w:rsidR="00403EC6">
        <w:rPr>
          <w:rFonts w:ascii="Times New Roman" w:hAnsi="Times New Roman" w:cs="Times New Roman"/>
          <w:sz w:val="24"/>
          <w:szCs w:val="24"/>
        </w:rPr>
        <w:t>12.201</w:t>
      </w:r>
      <w:r w:rsidR="00CD146A">
        <w:rPr>
          <w:rFonts w:ascii="Times New Roman" w:hAnsi="Times New Roman" w:cs="Times New Roman"/>
          <w:sz w:val="24"/>
          <w:szCs w:val="24"/>
        </w:rPr>
        <w:t>4</w:t>
      </w:r>
      <w:r w:rsidRPr="0093686C">
        <w:rPr>
          <w:rFonts w:ascii="Times New Roman" w:hAnsi="Times New Roman" w:cs="Times New Roman"/>
          <w:sz w:val="24"/>
          <w:szCs w:val="24"/>
        </w:rPr>
        <w:t xml:space="preserve"> rozpísalo Ministerstvu hospodárstva SR záväzné ukazovatele štátneho rozpočtu vrátane p</w:t>
      </w:r>
      <w:r w:rsidR="00403EC6">
        <w:rPr>
          <w:rFonts w:ascii="Times New Roman" w:hAnsi="Times New Roman" w:cs="Times New Roman"/>
          <w:sz w:val="24"/>
          <w:szCs w:val="24"/>
        </w:rPr>
        <w:t>rogramovej štruktúry na rok 201</w:t>
      </w:r>
      <w:r w:rsidR="00CD146A">
        <w:rPr>
          <w:rFonts w:ascii="Times New Roman" w:hAnsi="Times New Roman" w:cs="Times New Roman"/>
          <w:sz w:val="24"/>
          <w:szCs w:val="24"/>
        </w:rPr>
        <w:t>5</w:t>
      </w:r>
      <w:r w:rsidRPr="0093686C">
        <w:rPr>
          <w:rFonts w:ascii="Times New Roman" w:hAnsi="Times New Roman" w:cs="Times New Roman"/>
          <w:sz w:val="24"/>
          <w:szCs w:val="24"/>
        </w:rPr>
        <w:t xml:space="preserve"> tak, ako boli schválené v Národnej rade SR zák</w:t>
      </w:r>
      <w:r w:rsidR="00403EC6">
        <w:rPr>
          <w:rFonts w:ascii="Times New Roman" w:hAnsi="Times New Roman" w:cs="Times New Roman"/>
          <w:sz w:val="24"/>
          <w:szCs w:val="24"/>
        </w:rPr>
        <w:t xml:space="preserve">onom č. </w:t>
      </w:r>
      <w:r w:rsidR="00CD146A">
        <w:rPr>
          <w:rFonts w:ascii="Times New Roman" w:hAnsi="Times New Roman" w:cs="Times New Roman"/>
          <w:sz w:val="24"/>
          <w:szCs w:val="24"/>
        </w:rPr>
        <w:t>385</w:t>
      </w:r>
      <w:r w:rsidR="00CD146A" w:rsidRPr="00F54FB5">
        <w:rPr>
          <w:rFonts w:ascii="Times New Roman" w:hAnsi="Times New Roman" w:cs="Times New Roman"/>
          <w:sz w:val="24"/>
          <w:szCs w:val="24"/>
        </w:rPr>
        <w:t>/201</w:t>
      </w:r>
      <w:r w:rsidR="00CD146A">
        <w:rPr>
          <w:rFonts w:ascii="Times New Roman" w:hAnsi="Times New Roman" w:cs="Times New Roman"/>
          <w:sz w:val="24"/>
          <w:szCs w:val="24"/>
        </w:rPr>
        <w:t>4</w:t>
      </w:r>
      <w:r w:rsidR="00CD146A" w:rsidRPr="00F54FB5">
        <w:rPr>
          <w:rFonts w:ascii="Times New Roman" w:hAnsi="Times New Roman" w:cs="Times New Roman"/>
          <w:sz w:val="24"/>
          <w:szCs w:val="24"/>
        </w:rPr>
        <w:t xml:space="preserve"> </w:t>
      </w:r>
      <w:r w:rsidR="00403EC6">
        <w:rPr>
          <w:rFonts w:ascii="Times New Roman" w:hAnsi="Times New Roman" w:cs="Times New Roman"/>
          <w:sz w:val="24"/>
          <w:szCs w:val="24"/>
        </w:rPr>
        <w:t xml:space="preserve">Z. z. zo dňa </w:t>
      </w:r>
      <w:r w:rsidR="00CD146A">
        <w:rPr>
          <w:rFonts w:ascii="Times New Roman" w:hAnsi="Times New Roman" w:cs="Times New Roman"/>
          <w:sz w:val="24"/>
          <w:szCs w:val="24"/>
        </w:rPr>
        <w:t>4</w:t>
      </w:r>
      <w:r w:rsidRPr="0093686C">
        <w:rPr>
          <w:rFonts w:ascii="Times New Roman" w:hAnsi="Times New Roman" w:cs="Times New Roman"/>
          <w:sz w:val="24"/>
          <w:szCs w:val="24"/>
        </w:rPr>
        <w:t>.</w:t>
      </w:r>
      <w:r w:rsidR="00403EC6">
        <w:rPr>
          <w:rFonts w:ascii="Times New Roman" w:hAnsi="Times New Roman" w:cs="Times New Roman"/>
          <w:sz w:val="24"/>
          <w:szCs w:val="24"/>
        </w:rPr>
        <w:t xml:space="preserve"> </w:t>
      </w:r>
      <w:r w:rsidRPr="0093686C">
        <w:rPr>
          <w:rFonts w:ascii="Times New Roman" w:hAnsi="Times New Roman" w:cs="Times New Roman"/>
          <w:sz w:val="24"/>
          <w:szCs w:val="24"/>
        </w:rPr>
        <w:t>decembra 201</w:t>
      </w:r>
      <w:r w:rsidR="00CD146A">
        <w:rPr>
          <w:rFonts w:ascii="Times New Roman" w:hAnsi="Times New Roman" w:cs="Times New Roman"/>
          <w:sz w:val="24"/>
          <w:szCs w:val="24"/>
        </w:rPr>
        <w:t>4</w:t>
      </w:r>
      <w:r w:rsidRPr="0093686C">
        <w:rPr>
          <w:rFonts w:ascii="Times New Roman" w:hAnsi="Times New Roman" w:cs="Times New Roman"/>
          <w:sz w:val="24"/>
          <w:szCs w:val="24"/>
        </w:rPr>
        <w:t xml:space="preserve"> o štátnom rozpočte na rok 201</w:t>
      </w:r>
      <w:r w:rsidR="00CD146A">
        <w:rPr>
          <w:rFonts w:ascii="Times New Roman" w:hAnsi="Times New Roman" w:cs="Times New Roman"/>
          <w:sz w:val="24"/>
          <w:szCs w:val="24"/>
        </w:rPr>
        <w:t>5</w:t>
      </w:r>
      <w:r w:rsidRPr="0093686C">
        <w:rPr>
          <w:rFonts w:ascii="Times New Roman" w:hAnsi="Times New Roman" w:cs="Times New Roman"/>
          <w:sz w:val="24"/>
          <w:szCs w:val="24"/>
        </w:rPr>
        <w:t>.</w:t>
      </w:r>
    </w:p>
    <w:p w:rsidR="005D0B3F" w:rsidRPr="0093686C" w:rsidRDefault="005D0B3F" w:rsidP="005D0B3F">
      <w:pPr>
        <w:pStyle w:val="Zkladntext"/>
        <w:tabs>
          <w:tab w:val="left" w:pos="709"/>
        </w:tabs>
        <w:spacing w:after="0" w:line="240" w:lineRule="auto"/>
        <w:rPr>
          <w:rFonts w:ascii="Times New Roman" w:hAnsi="Times New Roman" w:cs="Times New Roman"/>
          <w:sz w:val="24"/>
          <w:szCs w:val="24"/>
        </w:rPr>
      </w:pPr>
    </w:p>
    <w:p w:rsidR="0012367D" w:rsidRPr="00EE4405" w:rsidRDefault="005D0B3F" w:rsidP="002E67E8">
      <w:pPr>
        <w:pStyle w:val="Zkladntext"/>
        <w:tabs>
          <w:tab w:val="left" w:pos="-5040"/>
        </w:tabs>
        <w:spacing w:after="0" w:line="20" w:lineRule="atLeast"/>
        <w:ind w:right="-286"/>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06DD1">
        <w:rPr>
          <w:rFonts w:ascii="Times New Roman" w:hAnsi="Times New Roman" w:cs="Times New Roman"/>
          <w:sz w:val="24"/>
          <w:szCs w:val="24"/>
        </w:rPr>
        <w:tab/>
      </w:r>
      <w:r w:rsidR="00106DD1">
        <w:rPr>
          <w:rFonts w:ascii="Times New Roman" w:hAnsi="Times New Roman" w:cs="Times New Roman"/>
          <w:sz w:val="24"/>
          <w:szCs w:val="24"/>
        </w:rPr>
        <w:tab/>
      </w:r>
      <w:r w:rsidR="00106DD1">
        <w:rPr>
          <w:rFonts w:ascii="Times New Roman" w:hAnsi="Times New Roman" w:cs="Times New Roman"/>
          <w:sz w:val="24"/>
          <w:szCs w:val="24"/>
        </w:rPr>
        <w:tab/>
      </w:r>
      <w:r w:rsidR="002E67E8">
        <w:rPr>
          <w:rFonts w:ascii="Times New Roman" w:hAnsi="Times New Roman" w:cs="Times New Roman"/>
          <w:sz w:val="24"/>
          <w:szCs w:val="24"/>
        </w:rPr>
        <w:t xml:space="preserve">            </w:t>
      </w:r>
      <w:r w:rsidR="0012367D">
        <w:rPr>
          <w:rFonts w:ascii="Times New Roman" w:hAnsi="Times New Roman" w:cs="Times New Roman"/>
          <w:sz w:val="24"/>
          <w:szCs w:val="24"/>
        </w:rPr>
        <w:t xml:space="preserve">v </w:t>
      </w:r>
      <w:r w:rsidR="00185936">
        <w:rPr>
          <w:rFonts w:ascii="Times New Roman" w:hAnsi="Times New Roman" w:cs="Times New Roman"/>
          <w:sz w:val="24"/>
          <w:szCs w:val="24"/>
        </w:rPr>
        <w:t>eur</w:t>
      </w:r>
      <w:r w:rsidR="005B508D">
        <w:rPr>
          <w:rFonts w:ascii="Times New Roman" w:hAnsi="Times New Roman" w:cs="Times New Roman"/>
          <w:sz w:val="24"/>
          <w:szCs w:val="24"/>
        </w:rPr>
        <w:t>ách</w:t>
      </w:r>
    </w:p>
    <w:tbl>
      <w:tblPr>
        <w:tblW w:w="9776" w:type="dxa"/>
        <w:tblInd w:w="-290"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CellMar>
          <w:left w:w="70" w:type="dxa"/>
          <w:right w:w="70" w:type="dxa"/>
        </w:tblCellMar>
        <w:tblLook w:val="0000" w:firstRow="0" w:lastRow="0" w:firstColumn="0" w:lastColumn="0" w:noHBand="0" w:noVBand="0"/>
      </w:tblPr>
      <w:tblGrid>
        <w:gridCol w:w="4613"/>
        <w:gridCol w:w="1418"/>
        <w:gridCol w:w="1417"/>
        <w:gridCol w:w="1532"/>
        <w:gridCol w:w="796"/>
      </w:tblGrid>
      <w:tr w:rsidR="00450DBB" w:rsidRPr="00FF1AC7" w:rsidTr="00E42519">
        <w:trPr>
          <w:trHeight w:val="255"/>
        </w:trPr>
        <w:tc>
          <w:tcPr>
            <w:tcW w:w="4613" w:type="dxa"/>
            <w:tcBorders>
              <w:top w:val="single" w:sz="4" w:space="0" w:color="auto"/>
              <w:left w:val="single" w:sz="4" w:space="0" w:color="auto"/>
              <w:bottom w:val="nil"/>
              <w:right w:val="single" w:sz="4" w:space="0" w:color="auto"/>
            </w:tcBorders>
            <w:noWrap/>
            <w:vAlign w:val="bottom"/>
          </w:tcPr>
          <w:p w:rsidR="00450DBB" w:rsidRPr="00FF1AC7" w:rsidRDefault="00450DBB"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 xml:space="preserve">              </w:t>
            </w:r>
            <w:proofErr w:type="spellStart"/>
            <w:r w:rsidRPr="00FF1AC7">
              <w:rPr>
                <w:rFonts w:ascii="Times New Roman" w:hAnsi="Times New Roman" w:cs="Times New Roman"/>
                <w:b/>
                <w:bCs/>
                <w:sz w:val="20"/>
                <w:szCs w:val="20"/>
                <w:lang w:eastAsia="sk-SK"/>
              </w:rPr>
              <w:t>ZÁVAZNÉ</w:t>
            </w:r>
            <w:proofErr w:type="spellEnd"/>
            <w:r w:rsidRPr="00FF1AC7">
              <w:rPr>
                <w:rFonts w:ascii="Times New Roman" w:hAnsi="Times New Roman" w:cs="Times New Roman"/>
                <w:b/>
                <w:bCs/>
                <w:sz w:val="20"/>
                <w:szCs w:val="20"/>
                <w:lang w:eastAsia="sk-SK"/>
              </w:rPr>
              <w:t xml:space="preserve">      UKAZOVATELE </w:t>
            </w:r>
          </w:p>
        </w:tc>
        <w:tc>
          <w:tcPr>
            <w:tcW w:w="1418" w:type="dxa"/>
            <w:tcBorders>
              <w:top w:val="single" w:sz="4" w:space="0" w:color="auto"/>
              <w:left w:val="single" w:sz="4" w:space="0" w:color="auto"/>
              <w:bottom w:val="nil"/>
              <w:right w:val="single" w:sz="4" w:space="0" w:color="auto"/>
            </w:tcBorders>
            <w:noWrap/>
            <w:vAlign w:val="bottom"/>
          </w:tcPr>
          <w:p w:rsidR="00450DBB" w:rsidRPr="00FF1AC7" w:rsidRDefault="00450DBB" w:rsidP="00CD146A">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Schválený</w:t>
            </w:r>
          </w:p>
        </w:tc>
        <w:tc>
          <w:tcPr>
            <w:tcW w:w="1417" w:type="dxa"/>
            <w:tcBorders>
              <w:top w:val="single" w:sz="4" w:space="0" w:color="auto"/>
              <w:left w:val="single" w:sz="4" w:space="0" w:color="auto"/>
              <w:bottom w:val="nil"/>
              <w:right w:val="single" w:sz="4"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Upravený</w:t>
            </w:r>
          </w:p>
        </w:tc>
        <w:tc>
          <w:tcPr>
            <w:tcW w:w="1532" w:type="dxa"/>
            <w:tcBorders>
              <w:top w:val="single" w:sz="4" w:space="0" w:color="auto"/>
              <w:left w:val="single" w:sz="4" w:space="0" w:color="auto"/>
              <w:bottom w:val="nil"/>
              <w:right w:val="single" w:sz="4"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Skutočnosť</w:t>
            </w:r>
          </w:p>
        </w:tc>
        <w:tc>
          <w:tcPr>
            <w:tcW w:w="796" w:type="dxa"/>
            <w:tcBorders>
              <w:top w:val="single" w:sz="4" w:space="0" w:color="auto"/>
              <w:left w:val="single" w:sz="4" w:space="0" w:color="auto"/>
              <w:bottom w:val="nil"/>
              <w:right w:val="single" w:sz="4" w:space="0" w:color="auto"/>
            </w:tcBorders>
            <w:noWrap/>
            <w:vAlign w:val="bottom"/>
          </w:tcPr>
          <w:p w:rsidR="00450DBB" w:rsidRPr="00FF1AC7" w:rsidRDefault="00C1608B" w:rsidP="00C1608B">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w:t>
            </w:r>
          </w:p>
        </w:tc>
      </w:tr>
      <w:tr w:rsidR="00450DBB" w:rsidRPr="00FF1AC7" w:rsidTr="00E42519">
        <w:trPr>
          <w:trHeight w:val="255"/>
        </w:trPr>
        <w:tc>
          <w:tcPr>
            <w:tcW w:w="4613" w:type="dxa"/>
            <w:tcBorders>
              <w:top w:val="nil"/>
              <w:left w:val="single" w:sz="4" w:space="0" w:color="auto"/>
              <w:bottom w:val="single" w:sz="4" w:space="0" w:color="auto"/>
              <w:right w:val="single" w:sz="4" w:space="0" w:color="auto"/>
            </w:tcBorders>
            <w:noWrap/>
            <w:vAlign w:val="bottom"/>
          </w:tcPr>
          <w:p w:rsidR="00450DBB" w:rsidRPr="00FF1AC7" w:rsidRDefault="00450DBB"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w:t>
            </w:r>
          </w:p>
        </w:tc>
        <w:tc>
          <w:tcPr>
            <w:tcW w:w="1418" w:type="dxa"/>
            <w:tcBorders>
              <w:top w:val="nil"/>
              <w:left w:val="single" w:sz="4" w:space="0" w:color="auto"/>
              <w:bottom w:val="single" w:sz="4" w:space="0" w:color="auto"/>
              <w:right w:val="single" w:sz="4" w:space="0" w:color="auto"/>
            </w:tcBorders>
            <w:noWrap/>
            <w:vAlign w:val="bottom"/>
          </w:tcPr>
          <w:p w:rsidR="00450DBB" w:rsidRPr="00FF1AC7" w:rsidRDefault="00361360" w:rsidP="00CD146A">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r</w:t>
            </w:r>
            <w:r w:rsidR="00450DBB" w:rsidRPr="00FF1AC7">
              <w:rPr>
                <w:rFonts w:ascii="Times New Roman" w:hAnsi="Times New Roman" w:cs="Times New Roman"/>
                <w:b/>
                <w:bCs/>
                <w:sz w:val="20"/>
                <w:szCs w:val="20"/>
                <w:lang w:eastAsia="sk-SK"/>
              </w:rPr>
              <w:t>ozpočet</w:t>
            </w:r>
            <w:r w:rsidRPr="00FF1AC7">
              <w:rPr>
                <w:rFonts w:ascii="Times New Roman" w:hAnsi="Times New Roman" w:cs="Times New Roman"/>
                <w:b/>
                <w:bCs/>
                <w:sz w:val="20"/>
                <w:szCs w:val="20"/>
                <w:lang w:eastAsia="sk-SK"/>
              </w:rPr>
              <w:t xml:space="preserve">   </w:t>
            </w:r>
            <w:r w:rsidR="00CD146A" w:rsidRPr="00FF1AC7">
              <w:rPr>
                <w:rFonts w:ascii="Times New Roman" w:hAnsi="Times New Roman" w:cs="Times New Roman"/>
                <w:b/>
                <w:bCs/>
                <w:sz w:val="20"/>
                <w:szCs w:val="20"/>
                <w:lang w:eastAsia="sk-SK"/>
              </w:rPr>
              <w:t xml:space="preserve">  </w:t>
            </w:r>
            <w:r w:rsidRPr="00FF1AC7">
              <w:rPr>
                <w:rFonts w:ascii="Times New Roman" w:hAnsi="Times New Roman" w:cs="Times New Roman"/>
                <w:b/>
                <w:bCs/>
                <w:sz w:val="20"/>
                <w:szCs w:val="20"/>
                <w:lang w:eastAsia="sk-SK"/>
              </w:rPr>
              <w:t>k 1.1.201</w:t>
            </w:r>
            <w:r w:rsidR="00400427" w:rsidRPr="00FF1AC7">
              <w:rPr>
                <w:rFonts w:ascii="Times New Roman" w:hAnsi="Times New Roman" w:cs="Times New Roman"/>
                <w:b/>
                <w:bCs/>
                <w:sz w:val="20"/>
                <w:szCs w:val="20"/>
                <w:lang w:eastAsia="sk-SK"/>
              </w:rPr>
              <w:t>5</w:t>
            </w:r>
          </w:p>
        </w:tc>
        <w:tc>
          <w:tcPr>
            <w:tcW w:w="1417" w:type="dxa"/>
            <w:tcBorders>
              <w:top w:val="nil"/>
              <w:left w:val="single" w:sz="4" w:space="0" w:color="auto"/>
              <w:bottom w:val="single" w:sz="4" w:space="0" w:color="auto"/>
              <w:right w:val="single" w:sz="4" w:space="0" w:color="auto"/>
            </w:tcBorders>
            <w:noWrap/>
            <w:vAlign w:val="bottom"/>
          </w:tcPr>
          <w:p w:rsidR="00450DBB" w:rsidRPr="00FF1AC7" w:rsidRDefault="00CD146A"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r</w:t>
            </w:r>
            <w:r w:rsidR="00450DBB" w:rsidRPr="00FF1AC7">
              <w:rPr>
                <w:rFonts w:ascii="Times New Roman" w:hAnsi="Times New Roman" w:cs="Times New Roman"/>
                <w:b/>
                <w:bCs/>
                <w:sz w:val="20"/>
                <w:szCs w:val="20"/>
                <w:lang w:eastAsia="sk-SK"/>
              </w:rPr>
              <w:t>ozpočet</w:t>
            </w:r>
          </w:p>
          <w:p w:rsidR="00CD146A" w:rsidRPr="00FF1AC7" w:rsidRDefault="00CD146A"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k 31.12.2015</w:t>
            </w:r>
          </w:p>
        </w:tc>
        <w:tc>
          <w:tcPr>
            <w:tcW w:w="1532" w:type="dxa"/>
            <w:tcBorders>
              <w:top w:val="nil"/>
              <w:left w:val="single" w:sz="4" w:space="0" w:color="auto"/>
              <w:bottom w:val="single" w:sz="4" w:space="0" w:color="auto"/>
              <w:right w:val="single" w:sz="4" w:space="0" w:color="auto"/>
            </w:tcBorders>
            <w:noWrap/>
            <w:vAlign w:val="bottom"/>
          </w:tcPr>
          <w:p w:rsidR="00450DBB" w:rsidRPr="00FF1AC7" w:rsidRDefault="00DF4829" w:rsidP="00FF1AC7">
            <w:pPr>
              <w:spacing w:after="0" w:line="240" w:lineRule="auto"/>
              <w:rPr>
                <w:rFonts w:ascii="Times New Roman" w:hAnsi="Times New Roman" w:cs="Times New Roman"/>
                <w:sz w:val="20"/>
                <w:szCs w:val="20"/>
                <w:lang w:eastAsia="sk-SK"/>
              </w:rPr>
            </w:pPr>
            <w:r w:rsidRPr="00FF1AC7">
              <w:rPr>
                <w:rFonts w:ascii="Times New Roman" w:hAnsi="Times New Roman" w:cs="Times New Roman"/>
                <w:b/>
                <w:sz w:val="20"/>
                <w:szCs w:val="20"/>
                <w:lang w:eastAsia="sk-SK"/>
              </w:rPr>
              <w:t>k</w:t>
            </w:r>
            <w:r w:rsidRPr="00FF1AC7">
              <w:rPr>
                <w:rFonts w:ascii="Times New Roman" w:hAnsi="Times New Roman" w:cs="Times New Roman"/>
                <w:b/>
                <w:bCs/>
                <w:sz w:val="20"/>
                <w:szCs w:val="20"/>
                <w:lang w:eastAsia="sk-SK"/>
              </w:rPr>
              <w:t> </w:t>
            </w:r>
            <w:r w:rsidR="00FF1AC7" w:rsidRPr="00FF1AC7">
              <w:rPr>
                <w:rFonts w:ascii="Times New Roman" w:hAnsi="Times New Roman" w:cs="Times New Roman"/>
                <w:b/>
                <w:bCs/>
                <w:sz w:val="20"/>
                <w:szCs w:val="20"/>
                <w:lang w:eastAsia="sk-SK"/>
              </w:rPr>
              <w:t xml:space="preserve"> </w:t>
            </w:r>
            <w:r w:rsidRPr="00FF1AC7">
              <w:rPr>
                <w:rFonts w:ascii="Times New Roman" w:hAnsi="Times New Roman" w:cs="Times New Roman"/>
                <w:b/>
                <w:bCs/>
                <w:sz w:val="20"/>
                <w:szCs w:val="20"/>
                <w:lang w:eastAsia="sk-SK"/>
              </w:rPr>
              <w:t>31.12.201</w:t>
            </w:r>
            <w:r w:rsidR="00400427" w:rsidRPr="00FF1AC7">
              <w:rPr>
                <w:rFonts w:ascii="Times New Roman" w:hAnsi="Times New Roman" w:cs="Times New Roman"/>
                <w:b/>
                <w:bCs/>
                <w:sz w:val="20"/>
                <w:szCs w:val="20"/>
                <w:lang w:eastAsia="sk-SK"/>
              </w:rPr>
              <w:t>5</w:t>
            </w:r>
          </w:p>
        </w:tc>
        <w:tc>
          <w:tcPr>
            <w:tcW w:w="796" w:type="dxa"/>
            <w:tcBorders>
              <w:top w:val="nil"/>
              <w:left w:val="single" w:sz="4" w:space="0" w:color="auto"/>
              <w:bottom w:val="single" w:sz="4" w:space="0" w:color="auto"/>
              <w:right w:val="single" w:sz="4"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proofErr w:type="spellStart"/>
            <w:r w:rsidRPr="00FF1AC7">
              <w:rPr>
                <w:rFonts w:ascii="Times New Roman" w:hAnsi="Times New Roman" w:cs="Times New Roman"/>
                <w:b/>
                <w:bCs/>
                <w:sz w:val="20"/>
                <w:szCs w:val="20"/>
                <w:lang w:eastAsia="sk-SK"/>
              </w:rPr>
              <w:t>stĺ</w:t>
            </w:r>
            <w:proofErr w:type="spellEnd"/>
            <w:r w:rsidRPr="00FF1AC7">
              <w:rPr>
                <w:rFonts w:ascii="Times New Roman" w:hAnsi="Times New Roman" w:cs="Times New Roman"/>
                <w:b/>
                <w:bCs/>
                <w:sz w:val="20"/>
                <w:szCs w:val="20"/>
                <w:lang w:eastAsia="sk-SK"/>
              </w:rPr>
              <w:t>. 3/2</w:t>
            </w:r>
            <w:r w:rsidR="001E7130" w:rsidRPr="00FF1AC7">
              <w:rPr>
                <w:rFonts w:ascii="Times New Roman" w:hAnsi="Times New Roman" w:cs="Times New Roman"/>
                <w:b/>
                <w:bCs/>
                <w:sz w:val="20"/>
                <w:szCs w:val="20"/>
                <w:lang w:eastAsia="sk-SK"/>
              </w:rPr>
              <w:t>*100</w:t>
            </w:r>
          </w:p>
        </w:tc>
      </w:tr>
      <w:tr w:rsidR="00D85756" w:rsidRPr="00FF1AC7" w:rsidTr="00E42519">
        <w:trPr>
          <w:trHeight w:val="255"/>
        </w:trPr>
        <w:tc>
          <w:tcPr>
            <w:tcW w:w="4613" w:type="dxa"/>
            <w:tcBorders>
              <w:top w:val="single" w:sz="4" w:space="0" w:color="auto"/>
              <w:right w:val="single" w:sz="8"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a</w:t>
            </w:r>
          </w:p>
        </w:tc>
        <w:tc>
          <w:tcPr>
            <w:tcW w:w="1418" w:type="dxa"/>
            <w:tcBorders>
              <w:top w:val="single" w:sz="4" w:space="0" w:color="auto"/>
              <w:right w:val="single" w:sz="8" w:space="0" w:color="auto"/>
            </w:tcBorders>
            <w:noWrap/>
            <w:vAlign w:val="bottom"/>
          </w:tcPr>
          <w:p w:rsidR="00450DBB" w:rsidRPr="00FF1AC7" w:rsidRDefault="00450DBB" w:rsidP="00BA6789">
            <w:pPr>
              <w:spacing w:after="0" w:line="240" w:lineRule="auto"/>
              <w:ind w:left="-250" w:firstLine="250"/>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1</w:t>
            </w:r>
          </w:p>
        </w:tc>
        <w:tc>
          <w:tcPr>
            <w:tcW w:w="1417" w:type="dxa"/>
            <w:tcBorders>
              <w:top w:val="single" w:sz="4" w:space="0" w:color="auto"/>
              <w:right w:val="single" w:sz="8"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2</w:t>
            </w:r>
          </w:p>
        </w:tc>
        <w:tc>
          <w:tcPr>
            <w:tcW w:w="1532" w:type="dxa"/>
            <w:tcBorders>
              <w:top w:val="single" w:sz="4" w:space="0" w:color="auto"/>
              <w:right w:val="single" w:sz="8" w:space="0" w:color="auto"/>
            </w:tcBorders>
            <w:noWrap/>
            <w:vAlign w:val="bottom"/>
          </w:tcPr>
          <w:p w:rsidR="00450DBB" w:rsidRPr="00FF1AC7" w:rsidRDefault="00450DBB" w:rsidP="003B2372">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w:t>
            </w:r>
          </w:p>
        </w:tc>
        <w:tc>
          <w:tcPr>
            <w:tcW w:w="796" w:type="dxa"/>
            <w:tcBorders>
              <w:top w:val="single" w:sz="4" w:space="0" w:color="auto"/>
            </w:tcBorders>
            <w:noWrap/>
            <w:vAlign w:val="bottom"/>
          </w:tcPr>
          <w:p w:rsidR="00450DBB" w:rsidRPr="00FF1AC7" w:rsidRDefault="00DF4829" w:rsidP="00DF4829">
            <w:pPr>
              <w:spacing w:after="0" w:line="240" w:lineRule="auto"/>
              <w:jc w:val="center"/>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4</w:t>
            </w:r>
          </w:p>
        </w:tc>
      </w:tr>
      <w:tr w:rsidR="00450DBB" w:rsidRPr="00FF1AC7" w:rsidTr="00E42519">
        <w:trPr>
          <w:trHeight w:val="255"/>
        </w:trPr>
        <w:tc>
          <w:tcPr>
            <w:tcW w:w="4613" w:type="dxa"/>
            <w:tcBorders>
              <w:top w:val="single" w:sz="4" w:space="0" w:color="auto"/>
              <w:right w:val="single" w:sz="8" w:space="0" w:color="auto"/>
            </w:tcBorders>
            <w:noWrap/>
            <w:vAlign w:val="bottom"/>
          </w:tcPr>
          <w:p w:rsidR="00450DBB" w:rsidRPr="00FF1AC7" w:rsidRDefault="00450DBB"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 xml:space="preserve">I. PRÍJMY KAPITOLY </w:t>
            </w:r>
          </w:p>
        </w:tc>
        <w:tc>
          <w:tcPr>
            <w:tcW w:w="1418" w:type="dxa"/>
            <w:tcBorders>
              <w:top w:val="single" w:sz="4" w:space="0" w:color="auto"/>
              <w:right w:val="single" w:sz="8" w:space="0" w:color="auto"/>
            </w:tcBorders>
            <w:noWrap/>
            <w:vAlign w:val="bottom"/>
          </w:tcPr>
          <w:p w:rsidR="00450DBB" w:rsidRPr="00FF1AC7" w:rsidRDefault="00400427" w:rsidP="007B5ACE">
            <w:pPr>
              <w:spacing w:after="0" w:line="240" w:lineRule="auto"/>
              <w:ind w:left="-250" w:firstLine="250"/>
              <w:jc w:val="right"/>
              <w:rPr>
                <w:rFonts w:ascii="Times New Roman" w:hAnsi="Times New Roman" w:cs="Times New Roman"/>
                <w:b/>
                <w:sz w:val="20"/>
                <w:szCs w:val="20"/>
                <w:lang w:eastAsia="sk-SK"/>
              </w:rPr>
            </w:pPr>
            <w:r w:rsidRPr="00FF1AC7">
              <w:rPr>
                <w:rFonts w:ascii="Times New Roman" w:hAnsi="Times New Roman" w:cs="Times New Roman"/>
                <w:b/>
                <w:sz w:val="20"/>
                <w:szCs w:val="20"/>
                <w:lang w:eastAsia="sk-SK"/>
              </w:rPr>
              <w:t>286 304 989,00</w:t>
            </w:r>
          </w:p>
        </w:tc>
        <w:tc>
          <w:tcPr>
            <w:tcW w:w="1417" w:type="dxa"/>
            <w:tcBorders>
              <w:top w:val="single" w:sz="4" w:space="0" w:color="auto"/>
              <w:right w:val="single" w:sz="8" w:space="0" w:color="auto"/>
            </w:tcBorders>
            <w:noWrap/>
            <w:vAlign w:val="bottom"/>
          </w:tcPr>
          <w:p w:rsidR="00450DBB" w:rsidRPr="00FF1AC7" w:rsidRDefault="004531E4" w:rsidP="00C1608B">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366 929 934,78</w:t>
            </w:r>
          </w:p>
        </w:tc>
        <w:tc>
          <w:tcPr>
            <w:tcW w:w="1532" w:type="dxa"/>
            <w:tcBorders>
              <w:top w:val="single" w:sz="4" w:space="0" w:color="auto"/>
              <w:right w:val="single" w:sz="8" w:space="0" w:color="auto"/>
            </w:tcBorders>
            <w:noWrap/>
            <w:vAlign w:val="bottom"/>
          </w:tcPr>
          <w:p w:rsidR="00450DBB" w:rsidRPr="00FF1AC7" w:rsidRDefault="004531E4" w:rsidP="00277D3C">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369 085 004,57</w:t>
            </w:r>
          </w:p>
        </w:tc>
        <w:tc>
          <w:tcPr>
            <w:tcW w:w="796" w:type="dxa"/>
            <w:tcBorders>
              <w:top w:val="single" w:sz="4" w:space="0" w:color="auto"/>
            </w:tcBorders>
            <w:noWrap/>
            <w:vAlign w:val="bottom"/>
          </w:tcPr>
          <w:p w:rsidR="00450DBB" w:rsidRPr="00FF1AC7" w:rsidRDefault="008D6029" w:rsidP="00277D3C">
            <w:pPr>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100,59</w:t>
            </w:r>
          </w:p>
        </w:tc>
      </w:tr>
      <w:tr w:rsidR="00450DBB" w:rsidRPr="00FF1AC7" w:rsidTr="00E42519">
        <w:trPr>
          <w:trHeight w:val="255"/>
        </w:trPr>
        <w:tc>
          <w:tcPr>
            <w:tcW w:w="4613" w:type="dxa"/>
            <w:tcBorders>
              <w:top w:val="single" w:sz="4" w:space="0" w:color="auto"/>
              <w:right w:val="single" w:sz="8" w:space="0" w:color="auto"/>
            </w:tcBorders>
            <w:noWrap/>
            <w:vAlign w:val="bottom"/>
          </w:tcPr>
          <w:p w:rsidR="00450DBB" w:rsidRPr="00FF1AC7" w:rsidRDefault="002573D4" w:rsidP="006203F4">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A. Z</w:t>
            </w:r>
            <w:r w:rsidR="00A80601" w:rsidRPr="00FF1AC7">
              <w:rPr>
                <w:rFonts w:ascii="Times New Roman" w:hAnsi="Times New Roman" w:cs="Times New Roman"/>
                <w:sz w:val="20"/>
                <w:szCs w:val="20"/>
                <w:lang w:eastAsia="sk-SK"/>
              </w:rPr>
              <w:t xml:space="preserve">áväzný ukazovateľ </w:t>
            </w:r>
          </w:p>
        </w:tc>
        <w:tc>
          <w:tcPr>
            <w:tcW w:w="1418" w:type="dxa"/>
            <w:tcBorders>
              <w:top w:val="single" w:sz="4" w:space="0" w:color="auto"/>
              <w:right w:val="single" w:sz="8" w:space="0" w:color="auto"/>
            </w:tcBorders>
            <w:noWrap/>
            <w:vAlign w:val="bottom"/>
          </w:tcPr>
          <w:p w:rsidR="00450DBB" w:rsidRPr="00FF1AC7" w:rsidRDefault="0040042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116 174 960,00</w:t>
            </w:r>
          </w:p>
        </w:tc>
        <w:tc>
          <w:tcPr>
            <w:tcW w:w="1417" w:type="dxa"/>
            <w:tcBorders>
              <w:top w:val="single" w:sz="4" w:space="0" w:color="auto"/>
              <w:right w:val="single" w:sz="8" w:space="0" w:color="auto"/>
            </w:tcBorders>
            <w:noWrap/>
            <w:vAlign w:val="bottom"/>
          </w:tcPr>
          <w:p w:rsidR="00450DBB" w:rsidRPr="00FF1AC7" w:rsidRDefault="00205E94"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98 378 846,73</w:t>
            </w:r>
          </w:p>
        </w:tc>
        <w:tc>
          <w:tcPr>
            <w:tcW w:w="1532" w:type="dxa"/>
            <w:tcBorders>
              <w:top w:val="single" w:sz="4" w:space="0" w:color="auto"/>
              <w:right w:val="single" w:sz="8" w:space="0" w:color="auto"/>
            </w:tcBorders>
            <w:noWrap/>
            <w:vAlign w:val="bottom"/>
          </w:tcPr>
          <w:p w:rsidR="00450DBB" w:rsidRPr="00FF1AC7" w:rsidRDefault="00205E94" w:rsidP="0040570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100 052 193,05</w:t>
            </w:r>
          </w:p>
        </w:tc>
        <w:tc>
          <w:tcPr>
            <w:tcW w:w="796" w:type="dxa"/>
            <w:tcBorders>
              <w:top w:val="single" w:sz="4" w:space="0" w:color="auto"/>
            </w:tcBorders>
            <w:noWrap/>
            <w:vAlign w:val="bottom"/>
          </w:tcPr>
          <w:p w:rsidR="00450DBB" w:rsidRPr="00FF1AC7" w:rsidRDefault="008D6029" w:rsidP="006B700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101,70</w:t>
            </w:r>
          </w:p>
        </w:tc>
      </w:tr>
      <w:tr w:rsidR="008B2456" w:rsidRPr="00FF1AC7" w:rsidTr="00E42519">
        <w:trPr>
          <w:trHeight w:val="255"/>
        </w:trPr>
        <w:tc>
          <w:tcPr>
            <w:tcW w:w="4613" w:type="dxa"/>
            <w:tcBorders>
              <w:top w:val="single" w:sz="4" w:space="0" w:color="auto"/>
              <w:right w:val="single" w:sz="8" w:space="0" w:color="auto"/>
            </w:tcBorders>
            <w:noWrap/>
            <w:vAlign w:val="bottom"/>
          </w:tcPr>
          <w:p w:rsidR="008B2456" w:rsidRPr="00FF1AC7" w:rsidRDefault="008B2456" w:rsidP="00780C47">
            <w:pPr>
              <w:spacing w:after="0" w:line="240" w:lineRule="auto"/>
              <w:ind w:left="432"/>
              <w:rPr>
                <w:rFonts w:ascii="Times New Roman" w:hAnsi="Times New Roman" w:cs="Times New Roman"/>
                <w:sz w:val="20"/>
                <w:szCs w:val="20"/>
                <w:lang w:eastAsia="sk-SK"/>
              </w:rPr>
            </w:pPr>
            <w:r w:rsidRPr="00FF1AC7">
              <w:rPr>
                <w:rFonts w:ascii="Times New Roman" w:hAnsi="Times New Roman" w:cs="Times New Roman"/>
                <w:sz w:val="20"/>
                <w:szCs w:val="20"/>
                <w:lang w:eastAsia="sk-SK"/>
              </w:rPr>
              <w:t>z toho: - kód zdroja 111</w:t>
            </w:r>
          </w:p>
        </w:tc>
        <w:tc>
          <w:tcPr>
            <w:tcW w:w="1418" w:type="dxa"/>
            <w:tcBorders>
              <w:top w:val="single" w:sz="4" w:space="0" w:color="auto"/>
              <w:right w:val="single" w:sz="8" w:space="0" w:color="auto"/>
            </w:tcBorders>
            <w:noWrap/>
            <w:vAlign w:val="bottom"/>
          </w:tcPr>
          <w:p w:rsidR="008B2456" w:rsidRPr="00FF1AC7" w:rsidRDefault="008B2456" w:rsidP="0040042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116 174 960,00</w:t>
            </w:r>
          </w:p>
        </w:tc>
        <w:tc>
          <w:tcPr>
            <w:tcW w:w="1417" w:type="dxa"/>
            <w:tcBorders>
              <w:top w:val="single" w:sz="4" w:space="0" w:color="auto"/>
              <w:right w:val="single" w:sz="8" w:space="0" w:color="auto"/>
            </w:tcBorders>
            <w:noWrap/>
            <w:vAlign w:val="bottom"/>
          </w:tcPr>
          <w:p w:rsidR="008B2456" w:rsidRPr="00FF1AC7" w:rsidRDefault="008B2456" w:rsidP="00CE0F8C">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98 378 846,73</w:t>
            </w:r>
          </w:p>
        </w:tc>
        <w:tc>
          <w:tcPr>
            <w:tcW w:w="1532" w:type="dxa"/>
            <w:tcBorders>
              <w:top w:val="single" w:sz="4" w:space="0" w:color="auto"/>
              <w:right w:val="single" w:sz="8" w:space="0" w:color="auto"/>
            </w:tcBorders>
            <w:noWrap/>
            <w:vAlign w:val="bottom"/>
          </w:tcPr>
          <w:p w:rsidR="008B2456" w:rsidRPr="00FF1AC7" w:rsidRDefault="008B2456" w:rsidP="00CE0F8C">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100 018 081,</w:t>
            </w:r>
            <w:r w:rsidR="00205E94" w:rsidRPr="00FF1AC7">
              <w:rPr>
                <w:rFonts w:ascii="Times New Roman" w:hAnsi="Times New Roman" w:cs="Times New Roman"/>
                <w:sz w:val="20"/>
                <w:szCs w:val="20"/>
                <w:lang w:eastAsia="sk-SK"/>
              </w:rPr>
              <w:t>6</w:t>
            </w:r>
            <w:r w:rsidRPr="00FF1AC7">
              <w:rPr>
                <w:rFonts w:ascii="Times New Roman" w:hAnsi="Times New Roman" w:cs="Times New Roman"/>
                <w:sz w:val="20"/>
                <w:szCs w:val="20"/>
                <w:lang w:eastAsia="sk-SK"/>
              </w:rPr>
              <w:t>5</w:t>
            </w:r>
          </w:p>
        </w:tc>
        <w:tc>
          <w:tcPr>
            <w:tcW w:w="796" w:type="dxa"/>
            <w:tcBorders>
              <w:top w:val="single" w:sz="4" w:space="0" w:color="auto"/>
            </w:tcBorders>
            <w:noWrap/>
            <w:vAlign w:val="bottom"/>
          </w:tcPr>
          <w:p w:rsidR="008B2456" w:rsidRPr="00FF1AC7" w:rsidRDefault="008D6029" w:rsidP="0040570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101,67</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A80601">
            <w:pPr>
              <w:numPr>
                <w:ilvl w:val="0"/>
                <w:numId w:val="10"/>
              </w:numPr>
              <w:spacing w:after="0" w:line="240" w:lineRule="auto"/>
              <w:ind w:left="1141" w:hanging="142"/>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kód zdroja </w:t>
            </w:r>
            <w:proofErr w:type="spellStart"/>
            <w:r w:rsidRPr="00FF1AC7">
              <w:rPr>
                <w:rFonts w:ascii="Times New Roman" w:hAnsi="Times New Roman" w:cs="Times New Roman"/>
                <w:sz w:val="20"/>
                <w:szCs w:val="20"/>
                <w:lang w:eastAsia="sk-SK"/>
              </w:rPr>
              <w:t>131D+131E</w:t>
            </w:r>
            <w:proofErr w:type="spellEnd"/>
          </w:p>
        </w:tc>
        <w:tc>
          <w:tcPr>
            <w:tcW w:w="1418" w:type="dxa"/>
            <w:tcBorders>
              <w:top w:val="single" w:sz="4" w:space="0" w:color="auto"/>
              <w:right w:val="single" w:sz="8" w:space="0" w:color="auto"/>
            </w:tcBorders>
            <w:noWrap/>
            <w:vAlign w:val="bottom"/>
          </w:tcPr>
          <w:p w:rsidR="00400427" w:rsidRPr="00FF1AC7" w:rsidRDefault="00400427" w:rsidP="00405704">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right w:val="single" w:sz="8" w:space="0" w:color="auto"/>
            </w:tcBorders>
            <w:noWrap/>
            <w:vAlign w:val="bottom"/>
          </w:tcPr>
          <w:p w:rsidR="00400427" w:rsidRPr="00FF1AC7" w:rsidRDefault="008B2456" w:rsidP="0040570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right w:val="single" w:sz="8" w:space="0" w:color="auto"/>
            </w:tcBorders>
            <w:noWrap/>
            <w:vAlign w:val="bottom"/>
          </w:tcPr>
          <w:p w:rsidR="00400427" w:rsidRPr="00FF1AC7" w:rsidRDefault="008B2456" w:rsidP="0040570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34 111,40</w:t>
            </w:r>
          </w:p>
        </w:tc>
        <w:tc>
          <w:tcPr>
            <w:tcW w:w="796" w:type="dxa"/>
            <w:tcBorders>
              <w:top w:val="single" w:sz="4" w:space="0" w:color="auto"/>
            </w:tcBorders>
            <w:noWrap/>
            <w:vAlign w:val="bottom"/>
          </w:tcPr>
          <w:p w:rsidR="00400427" w:rsidRPr="00FF1AC7" w:rsidRDefault="008D6029" w:rsidP="0040570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2573D4">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B. </w:t>
            </w:r>
            <w:r w:rsidR="002573D4" w:rsidRPr="00FF1AC7">
              <w:rPr>
                <w:rFonts w:ascii="Times New Roman" w:hAnsi="Times New Roman" w:cs="Times New Roman"/>
                <w:sz w:val="20"/>
                <w:szCs w:val="20"/>
                <w:lang w:eastAsia="sk-SK"/>
              </w:rPr>
              <w:t>P</w:t>
            </w:r>
            <w:r w:rsidRPr="00FF1AC7">
              <w:rPr>
                <w:rFonts w:ascii="Times New Roman" w:hAnsi="Times New Roman" w:cs="Times New Roman"/>
                <w:sz w:val="20"/>
                <w:szCs w:val="20"/>
                <w:lang w:eastAsia="sk-SK"/>
              </w:rPr>
              <w:t>rostriedky EÚ</w:t>
            </w:r>
          </w:p>
        </w:tc>
        <w:tc>
          <w:tcPr>
            <w:tcW w:w="1418" w:type="dxa"/>
            <w:tcBorders>
              <w:top w:val="single" w:sz="4" w:space="0" w:color="auto"/>
              <w:right w:val="single" w:sz="8"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170 130 029,00</w:t>
            </w:r>
          </w:p>
        </w:tc>
        <w:tc>
          <w:tcPr>
            <w:tcW w:w="1417" w:type="dxa"/>
            <w:tcBorders>
              <w:top w:val="single" w:sz="4" w:space="0" w:color="auto"/>
              <w:right w:val="single" w:sz="8" w:space="0" w:color="auto"/>
            </w:tcBorders>
            <w:noWrap/>
            <w:vAlign w:val="bottom"/>
          </w:tcPr>
          <w:p w:rsidR="00400427" w:rsidRPr="00FF1AC7" w:rsidRDefault="008D6029" w:rsidP="00C47885">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268 551 088,05</w:t>
            </w:r>
          </w:p>
        </w:tc>
        <w:tc>
          <w:tcPr>
            <w:tcW w:w="1532" w:type="dxa"/>
            <w:tcBorders>
              <w:top w:val="single" w:sz="4" w:space="0" w:color="auto"/>
              <w:right w:val="single" w:sz="8" w:space="0" w:color="auto"/>
            </w:tcBorders>
            <w:noWrap/>
            <w:vAlign w:val="bottom"/>
          </w:tcPr>
          <w:p w:rsidR="00400427" w:rsidRPr="00FF1AC7" w:rsidRDefault="008D6029" w:rsidP="002573D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26</w:t>
            </w:r>
            <w:r w:rsidR="002573D4" w:rsidRPr="00FF1AC7">
              <w:rPr>
                <w:rFonts w:ascii="Times New Roman" w:hAnsi="Times New Roman" w:cs="Times New Roman"/>
                <w:sz w:val="20"/>
                <w:szCs w:val="20"/>
                <w:lang w:eastAsia="sk-SK"/>
              </w:rPr>
              <w:t>8 845 759,19</w:t>
            </w:r>
          </w:p>
        </w:tc>
        <w:tc>
          <w:tcPr>
            <w:tcW w:w="796" w:type="dxa"/>
            <w:tcBorders>
              <w:top w:val="single" w:sz="4" w:space="0" w:color="auto"/>
            </w:tcBorders>
            <w:noWrap/>
            <w:vAlign w:val="bottom"/>
          </w:tcPr>
          <w:p w:rsidR="00400427" w:rsidRPr="00FF1AC7" w:rsidRDefault="008D6029" w:rsidP="008A19A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100,1</w:t>
            </w:r>
            <w:r w:rsidR="008A19A2" w:rsidRPr="00FF1AC7">
              <w:rPr>
                <w:rFonts w:ascii="Times New Roman" w:hAnsi="Times New Roman" w:cs="Times New Roman"/>
                <w:sz w:val="20"/>
                <w:szCs w:val="20"/>
                <w:lang w:eastAsia="sk-SK"/>
              </w:rPr>
              <w:t>1</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780C47" w:rsidP="0006199B">
            <w:pPr>
              <w:spacing w:after="0" w:line="240" w:lineRule="auto"/>
              <w:ind w:left="432"/>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z toho:</w:t>
            </w:r>
            <w:r w:rsidR="0006199B" w:rsidRPr="00FF1AC7">
              <w:rPr>
                <w:rFonts w:ascii="Times New Roman" w:hAnsi="Times New Roman" w:cs="Times New Roman"/>
                <w:sz w:val="20"/>
                <w:szCs w:val="20"/>
                <w:lang w:eastAsia="sk-SK"/>
              </w:rPr>
              <w:t xml:space="preserve"> - </w:t>
            </w:r>
            <w:r w:rsidR="00400427" w:rsidRPr="00FF1AC7">
              <w:rPr>
                <w:rFonts w:ascii="Times New Roman" w:hAnsi="Times New Roman" w:cs="Times New Roman"/>
                <w:sz w:val="20"/>
                <w:szCs w:val="20"/>
                <w:lang w:eastAsia="sk-SK"/>
              </w:rPr>
              <w:t>kód zdroja 11S1</w:t>
            </w:r>
          </w:p>
        </w:tc>
        <w:tc>
          <w:tcPr>
            <w:tcW w:w="1418" w:type="dxa"/>
            <w:tcBorders>
              <w:top w:val="single" w:sz="4" w:space="0" w:color="auto"/>
              <w:right w:val="single" w:sz="8" w:space="0" w:color="auto"/>
            </w:tcBorders>
            <w:noWrap/>
            <w:vAlign w:val="bottom"/>
          </w:tcPr>
          <w:p w:rsidR="00400427" w:rsidRPr="00FF1AC7" w:rsidRDefault="008B2456" w:rsidP="006D7528">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109 980 029,00</w:t>
            </w:r>
          </w:p>
        </w:tc>
        <w:tc>
          <w:tcPr>
            <w:tcW w:w="1417" w:type="dxa"/>
            <w:tcBorders>
              <w:top w:val="single" w:sz="4" w:space="0" w:color="auto"/>
              <w:right w:val="single" w:sz="8" w:space="0" w:color="auto"/>
            </w:tcBorders>
            <w:noWrap/>
            <w:vAlign w:val="bottom"/>
          </w:tcPr>
          <w:p w:rsidR="00400427" w:rsidRPr="00FF1AC7" w:rsidRDefault="008B2456" w:rsidP="006D7528">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20 210 624,17</w:t>
            </w:r>
          </w:p>
        </w:tc>
        <w:tc>
          <w:tcPr>
            <w:tcW w:w="1532" w:type="dxa"/>
            <w:tcBorders>
              <w:top w:val="single" w:sz="4" w:space="0" w:color="auto"/>
              <w:right w:val="single" w:sz="8" w:space="0" w:color="auto"/>
            </w:tcBorders>
            <w:noWrap/>
            <w:vAlign w:val="bottom"/>
          </w:tcPr>
          <w:p w:rsidR="00400427" w:rsidRPr="00FF1AC7" w:rsidRDefault="008B2456" w:rsidP="006D7528">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20 210 624,17</w:t>
            </w:r>
          </w:p>
        </w:tc>
        <w:tc>
          <w:tcPr>
            <w:tcW w:w="796" w:type="dxa"/>
            <w:tcBorders>
              <w:top w:val="single" w:sz="4" w:space="0" w:color="auto"/>
            </w:tcBorders>
            <w:noWrap/>
            <w:vAlign w:val="bottom"/>
          </w:tcPr>
          <w:p w:rsidR="00400427" w:rsidRPr="00FF1AC7" w:rsidRDefault="008B2456" w:rsidP="008D6029">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100,00</w:t>
            </w:r>
          </w:p>
        </w:tc>
      </w:tr>
      <w:tr w:rsidR="00035616" w:rsidRPr="00FF1AC7" w:rsidTr="00E42519">
        <w:trPr>
          <w:trHeight w:val="255"/>
        </w:trPr>
        <w:tc>
          <w:tcPr>
            <w:tcW w:w="4613" w:type="dxa"/>
            <w:tcBorders>
              <w:top w:val="single" w:sz="4" w:space="0" w:color="auto"/>
              <w:right w:val="single" w:sz="8" w:space="0" w:color="auto"/>
            </w:tcBorders>
            <w:noWrap/>
            <w:vAlign w:val="bottom"/>
          </w:tcPr>
          <w:p w:rsidR="002C0520" w:rsidRPr="00FF1AC7" w:rsidRDefault="002C0520" w:rsidP="008F65AB">
            <w:pPr>
              <w:spacing w:after="0" w:line="240" w:lineRule="auto"/>
              <w:ind w:left="574" w:hanging="42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 kód zdroja 13S1</w:t>
            </w:r>
          </w:p>
        </w:tc>
        <w:tc>
          <w:tcPr>
            <w:tcW w:w="1418" w:type="dxa"/>
            <w:tcBorders>
              <w:top w:val="single" w:sz="4" w:space="0" w:color="auto"/>
              <w:right w:val="single" w:sz="8" w:space="0" w:color="auto"/>
            </w:tcBorders>
            <w:noWrap/>
            <w:vAlign w:val="bottom"/>
          </w:tcPr>
          <w:p w:rsidR="002C0520" w:rsidRPr="00FF1AC7" w:rsidRDefault="002C0520"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right w:val="single" w:sz="8" w:space="0" w:color="auto"/>
            </w:tcBorders>
            <w:noWrap/>
            <w:vAlign w:val="bottom"/>
          </w:tcPr>
          <w:p w:rsidR="002C0520" w:rsidRPr="00FF1AC7" w:rsidRDefault="002C0520" w:rsidP="002C052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248 340 463,88</w:t>
            </w:r>
          </w:p>
        </w:tc>
        <w:tc>
          <w:tcPr>
            <w:tcW w:w="1532" w:type="dxa"/>
            <w:tcBorders>
              <w:top w:val="single" w:sz="4" w:space="0" w:color="auto"/>
              <w:right w:val="single" w:sz="8" w:space="0" w:color="auto"/>
            </w:tcBorders>
            <w:noWrap/>
            <w:vAlign w:val="bottom"/>
          </w:tcPr>
          <w:p w:rsidR="002C0520" w:rsidRPr="00FF1AC7" w:rsidRDefault="002C0520"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248 635 135,02</w:t>
            </w:r>
          </w:p>
        </w:tc>
        <w:tc>
          <w:tcPr>
            <w:tcW w:w="796" w:type="dxa"/>
            <w:tcBorders>
              <w:top w:val="single" w:sz="4" w:space="0" w:color="auto"/>
            </w:tcBorders>
            <w:noWrap/>
            <w:vAlign w:val="bottom"/>
          </w:tcPr>
          <w:p w:rsidR="002C0520" w:rsidRPr="00FF1AC7" w:rsidRDefault="008D6029"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100,19</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06199B" w:rsidP="00DB4179">
            <w:pPr>
              <w:spacing w:after="0" w:line="240" w:lineRule="auto"/>
              <w:ind w:left="574" w:hanging="42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w:t>
            </w:r>
            <w:r w:rsidR="00400427" w:rsidRPr="00FF1AC7">
              <w:rPr>
                <w:rFonts w:ascii="Times New Roman" w:hAnsi="Times New Roman" w:cs="Times New Roman"/>
                <w:sz w:val="20"/>
                <w:szCs w:val="20"/>
                <w:lang w:eastAsia="sk-SK"/>
              </w:rPr>
              <w:t xml:space="preserve"> - kód zdroja 1</w:t>
            </w:r>
            <w:r w:rsidR="002C0520" w:rsidRPr="00FF1AC7">
              <w:rPr>
                <w:rFonts w:ascii="Times New Roman" w:hAnsi="Times New Roman" w:cs="Times New Roman"/>
                <w:sz w:val="20"/>
                <w:szCs w:val="20"/>
                <w:lang w:eastAsia="sk-SK"/>
              </w:rPr>
              <w:t>AA</w:t>
            </w:r>
            <w:r w:rsidR="00400427" w:rsidRPr="00FF1AC7">
              <w:rPr>
                <w:rFonts w:ascii="Times New Roman" w:hAnsi="Times New Roman" w:cs="Times New Roman"/>
                <w:sz w:val="20"/>
                <w:szCs w:val="20"/>
                <w:lang w:eastAsia="sk-SK"/>
              </w:rPr>
              <w:t>1</w:t>
            </w:r>
          </w:p>
        </w:tc>
        <w:tc>
          <w:tcPr>
            <w:tcW w:w="1418" w:type="dxa"/>
            <w:tcBorders>
              <w:top w:val="single" w:sz="4" w:space="0" w:color="auto"/>
              <w:right w:val="single" w:sz="8" w:space="0" w:color="auto"/>
            </w:tcBorders>
            <w:noWrap/>
            <w:vAlign w:val="bottom"/>
          </w:tcPr>
          <w:p w:rsidR="00400427" w:rsidRPr="00FF1AC7" w:rsidRDefault="00DB4179" w:rsidP="002C052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60 150 000,00</w:t>
            </w:r>
          </w:p>
        </w:tc>
        <w:tc>
          <w:tcPr>
            <w:tcW w:w="1417" w:type="dxa"/>
            <w:tcBorders>
              <w:top w:val="single" w:sz="4" w:space="0" w:color="auto"/>
              <w:right w:val="single" w:sz="8" w:space="0" w:color="auto"/>
            </w:tcBorders>
            <w:noWrap/>
            <w:vAlign w:val="bottom"/>
          </w:tcPr>
          <w:p w:rsidR="00400427" w:rsidRPr="00FF1AC7" w:rsidRDefault="002C0520" w:rsidP="002C052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right w:val="single" w:sz="8" w:space="0" w:color="auto"/>
            </w:tcBorders>
            <w:noWrap/>
            <w:vAlign w:val="bottom"/>
          </w:tcPr>
          <w:p w:rsidR="00400427" w:rsidRPr="00FF1AC7" w:rsidRDefault="002C0520" w:rsidP="006B700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796" w:type="dxa"/>
            <w:tcBorders>
              <w:top w:val="single" w:sz="4" w:space="0" w:color="auto"/>
            </w:tcBorders>
            <w:noWrap/>
            <w:vAlign w:val="bottom"/>
          </w:tcPr>
          <w:p w:rsidR="00400427" w:rsidRPr="00FF1AC7" w:rsidRDefault="008D6029" w:rsidP="006B700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r>
      <w:tr w:rsidR="002573D4" w:rsidRPr="00FF1AC7" w:rsidTr="00E42519">
        <w:trPr>
          <w:trHeight w:val="255"/>
        </w:trPr>
        <w:tc>
          <w:tcPr>
            <w:tcW w:w="4613" w:type="dxa"/>
            <w:tcBorders>
              <w:top w:val="single" w:sz="4" w:space="0" w:color="auto"/>
              <w:right w:val="single" w:sz="8" w:space="0" w:color="auto"/>
            </w:tcBorders>
            <w:noWrap/>
            <w:vAlign w:val="bottom"/>
          </w:tcPr>
          <w:p w:rsidR="002573D4" w:rsidRPr="00FF1AC7" w:rsidRDefault="002573D4" w:rsidP="002C0520">
            <w:pPr>
              <w:spacing w:after="0" w:line="240" w:lineRule="auto"/>
              <w:ind w:left="574" w:hanging="426"/>
              <w:rPr>
                <w:rFonts w:ascii="Times New Roman" w:hAnsi="Times New Roman" w:cs="Times New Roman"/>
                <w:sz w:val="20"/>
                <w:szCs w:val="20"/>
                <w:lang w:eastAsia="sk-SK"/>
              </w:rPr>
            </w:pPr>
            <w:r w:rsidRPr="00FF1AC7">
              <w:rPr>
                <w:rFonts w:ascii="Times New Roman" w:hAnsi="Times New Roman" w:cs="Times New Roman"/>
                <w:sz w:val="20"/>
                <w:szCs w:val="20"/>
                <w:lang w:eastAsia="sk-SK"/>
              </w:rPr>
              <w:t>C. Prostriedky na spolufinancovanie</w:t>
            </w:r>
          </w:p>
        </w:tc>
        <w:tc>
          <w:tcPr>
            <w:tcW w:w="1418" w:type="dxa"/>
            <w:tcBorders>
              <w:top w:val="single" w:sz="4" w:space="0" w:color="auto"/>
              <w:right w:val="single" w:sz="8" w:space="0" w:color="auto"/>
            </w:tcBorders>
            <w:noWrap/>
            <w:vAlign w:val="bottom"/>
          </w:tcPr>
          <w:p w:rsidR="002573D4" w:rsidRPr="00FF1AC7" w:rsidRDefault="002573D4"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right w:val="single" w:sz="8" w:space="0" w:color="auto"/>
            </w:tcBorders>
            <w:noWrap/>
            <w:vAlign w:val="bottom"/>
          </w:tcPr>
          <w:p w:rsidR="002573D4" w:rsidRPr="00FF1AC7" w:rsidRDefault="002573D4" w:rsidP="008F65AB">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right w:val="single" w:sz="8" w:space="0" w:color="auto"/>
            </w:tcBorders>
            <w:noWrap/>
            <w:vAlign w:val="bottom"/>
          </w:tcPr>
          <w:p w:rsidR="002573D4" w:rsidRPr="00FF1AC7" w:rsidRDefault="002573D4"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186 539,43</w:t>
            </w:r>
          </w:p>
        </w:tc>
        <w:tc>
          <w:tcPr>
            <w:tcW w:w="796" w:type="dxa"/>
            <w:tcBorders>
              <w:top w:val="single" w:sz="4" w:space="0" w:color="auto"/>
            </w:tcBorders>
            <w:noWrap/>
            <w:vAlign w:val="bottom"/>
          </w:tcPr>
          <w:p w:rsidR="002573D4" w:rsidRPr="00FF1AC7" w:rsidRDefault="008A19A2" w:rsidP="008D6029">
            <w:pPr>
              <w:spacing w:after="0" w:line="240" w:lineRule="auto"/>
              <w:jc w:val="center"/>
              <w:rPr>
                <w:rFonts w:ascii="Times New Roman" w:hAnsi="Times New Roman" w:cs="Times New Roman"/>
                <w:sz w:val="20"/>
                <w:szCs w:val="20"/>
                <w:lang w:eastAsia="sk-SK"/>
              </w:rPr>
            </w:pPr>
            <w:r w:rsidRPr="00FF1AC7">
              <w:rPr>
                <w:rFonts w:ascii="Times New Roman" w:hAnsi="Times New Roman" w:cs="Times New Roman"/>
                <w:sz w:val="20"/>
                <w:szCs w:val="20"/>
                <w:lang w:eastAsia="sk-SK"/>
              </w:rPr>
              <w:t>-</w:t>
            </w:r>
          </w:p>
        </w:tc>
      </w:tr>
      <w:tr w:rsidR="00035616" w:rsidRPr="00FF1AC7" w:rsidTr="00E42519">
        <w:trPr>
          <w:trHeight w:val="255"/>
        </w:trPr>
        <w:tc>
          <w:tcPr>
            <w:tcW w:w="4613" w:type="dxa"/>
            <w:tcBorders>
              <w:top w:val="single" w:sz="4" w:space="0" w:color="auto"/>
              <w:right w:val="single" w:sz="8" w:space="0" w:color="auto"/>
            </w:tcBorders>
            <w:noWrap/>
            <w:vAlign w:val="bottom"/>
          </w:tcPr>
          <w:p w:rsidR="002C0520" w:rsidRPr="00FF1AC7" w:rsidRDefault="002C0520" w:rsidP="002C0520">
            <w:pPr>
              <w:spacing w:after="0" w:line="240" w:lineRule="auto"/>
              <w:ind w:left="574" w:hanging="42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 kód zdroja 1352</w:t>
            </w:r>
          </w:p>
        </w:tc>
        <w:tc>
          <w:tcPr>
            <w:tcW w:w="1418" w:type="dxa"/>
            <w:tcBorders>
              <w:top w:val="single" w:sz="4" w:space="0" w:color="auto"/>
              <w:right w:val="single" w:sz="8" w:space="0" w:color="auto"/>
            </w:tcBorders>
            <w:noWrap/>
            <w:vAlign w:val="bottom"/>
          </w:tcPr>
          <w:p w:rsidR="002C0520" w:rsidRPr="00FF1AC7" w:rsidRDefault="002C0520"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right w:val="single" w:sz="8" w:space="0" w:color="auto"/>
            </w:tcBorders>
            <w:noWrap/>
            <w:vAlign w:val="bottom"/>
          </w:tcPr>
          <w:p w:rsidR="002C0520" w:rsidRPr="00FF1AC7" w:rsidRDefault="002C0520" w:rsidP="008F65AB">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right w:val="single" w:sz="8" w:space="0" w:color="auto"/>
            </w:tcBorders>
            <w:noWrap/>
            <w:vAlign w:val="bottom"/>
          </w:tcPr>
          <w:p w:rsidR="002C0520" w:rsidRPr="00FF1AC7" w:rsidRDefault="002C0520"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72 571,57</w:t>
            </w:r>
          </w:p>
        </w:tc>
        <w:tc>
          <w:tcPr>
            <w:tcW w:w="796" w:type="dxa"/>
            <w:tcBorders>
              <w:top w:val="single" w:sz="4" w:space="0" w:color="auto"/>
            </w:tcBorders>
            <w:noWrap/>
            <w:vAlign w:val="bottom"/>
          </w:tcPr>
          <w:p w:rsidR="002C0520" w:rsidRPr="00FF1AC7" w:rsidRDefault="008D6029" w:rsidP="008D6029">
            <w:pPr>
              <w:spacing w:after="0" w:line="240" w:lineRule="auto"/>
              <w:jc w:val="center"/>
              <w:rPr>
                <w:rFonts w:ascii="Times New Roman" w:hAnsi="Times New Roman" w:cs="Times New Roman"/>
                <w:sz w:val="20"/>
                <w:szCs w:val="20"/>
                <w:lang w:eastAsia="sk-SK"/>
              </w:rPr>
            </w:pPr>
            <w:r w:rsidRPr="00FF1AC7">
              <w:rPr>
                <w:rFonts w:ascii="Times New Roman" w:hAnsi="Times New Roman" w:cs="Times New Roman"/>
                <w:sz w:val="20"/>
                <w:szCs w:val="20"/>
                <w:lang w:eastAsia="sk-SK"/>
              </w:rPr>
              <w:t>-</w:t>
            </w:r>
          </w:p>
        </w:tc>
      </w:tr>
      <w:tr w:rsidR="00035616" w:rsidRPr="00FF1AC7" w:rsidTr="00E42519">
        <w:trPr>
          <w:trHeight w:val="255"/>
        </w:trPr>
        <w:tc>
          <w:tcPr>
            <w:tcW w:w="4613" w:type="dxa"/>
            <w:tcBorders>
              <w:top w:val="single" w:sz="4" w:space="0" w:color="auto"/>
              <w:right w:val="single" w:sz="8" w:space="0" w:color="auto"/>
            </w:tcBorders>
            <w:noWrap/>
            <w:vAlign w:val="bottom"/>
          </w:tcPr>
          <w:p w:rsidR="002C0520" w:rsidRPr="00FF1AC7" w:rsidRDefault="002C0520" w:rsidP="002C0520">
            <w:pPr>
              <w:spacing w:after="0" w:line="240" w:lineRule="auto"/>
              <w:ind w:left="574" w:hanging="42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 kód zdroja 13S2</w:t>
            </w:r>
          </w:p>
        </w:tc>
        <w:tc>
          <w:tcPr>
            <w:tcW w:w="1418" w:type="dxa"/>
            <w:tcBorders>
              <w:top w:val="single" w:sz="4" w:space="0" w:color="auto"/>
              <w:right w:val="single" w:sz="8" w:space="0" w:color="auto"/>
            </w:tcBorders>
            <w:noWrap/>
            <w:vAlign w:val="bottom"/>
          </w:tcPr>
          <w:p w:rsidR="002C0520" w:rsidRPr="00FF1AC7" w:rsidRDefault="002C0520"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right w:val="single" w:sz="8" w:space="0" w:color="auto"/>
            </w:tcBorders>
            <w:noWrap/>
            <w:vAlign w:val="bottom"/>
          </w:tcPr>
          <w:p w:rsidR="002C0520" w:rsidRPr="00FF1AC7" w:rsidRDefault="002C0520" w:rsidP="008F65AB">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right w:val="single" w:sz="8" w:space="0" w:color="auto"/>
            </w:tcBorders>
            <w:noWrap/>
            <w:vAlign w:val="bottom"/>
          </w:tcPr>
          <w:p w:rsidR="002C0520" w:rsidRPr="00FF1AC7" w:rsidRDefault="002C0520" w:rsidP="008F65A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113 967,86</w:t>
            </w:r>
          </w:p>
        </w:tc>
        <w:tc>
          <w:tcPr>
            <w:tcW w:w="796" w:type="dxa"/>
            <w:tcBorders>
              <w:top w:val="single" w:sz="4" w:space="0" w:color="auto"/>
            </w:tcBorders>
            <w:noWrap/>
            <w:vAlign w:val="bottom"/>
          </w:tcPr>
          <w:p w:rsidR="002C0520" w:rsidRPr="00FF1AC7" w:rsidRDefault="008D6029" w:rsidP="008D6029">
            <w:pPr>
              <w:spacing w:after="0" w:line="240" w:lineRule="auto"/>
              <w:jc w:val="center"/>
              <w:rPr>
                <w:rFonts w:ascii="Times New Roman" w:hAnsi="Times New Roman" w:cs="Times New Roman"/>
                <w:sz w:val="20"/>
                <w:szCs w:val="20"/>
                <w:lang w:eastAsia="sk-SK"/>
              </w:rPr>
            </w:pPr>
            <w:r w:rsidRPr="00FF1AC7">
              <w:rPr>
                <w:rFonts w:ascii="Times New Roman" w:hAnsi="Times New Roman" w:cs="Times New Roman"/>
                <w:sz w:val="20"/>
                <w:szCs w:val="20"/>
                <w:lang w:eastAsia="sk-SK"/>
              </w:rPr>
              <w:t>-</w:t>
            </w:r>
          </w:p>
        </w:tc>
      </w:tr>
      <w:tr w:rsidR="002573D4" w:rsidRPr="00FF1AC7" w:rsidTr="00E42519">
        <w:trPr>
          <w:trHeight w:val="255"/>
        </w:trPr>
        <w:tc>
          <w:tcPr>
            <w:tcW w:w="4613" w:type="dxa"/>
            <w:tcBorders>
              <w:top w:val="single" w:sz="4" w:space="0" w:color="auto"/>
              <w:bottom w:val="single" w:sz="8" w:space="0" w:color="auto"/>
              <w:right w:val="single" w:sz="8" w:space="0" w:color="auto"/>
            </w:tcBorders>
            <w:noWrap/>
            <w:vAlign w:val="bottom"/>
          </w:tcPr>
          <w:p w:rsidR="00400427" w:rsidRPr="00FF1AC7" w:rsidRDefault="00400427" w:rsidP="008A19A2">
            <w:pPr>
              <w:spacing w:after="0" w:line="240" w:lineRule="auto"/>
              <w:ind w:left="6" w:firstLine="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w:t>
            </w:r>
            <w:r w:rsidR="008A19A2" w:rsidRPr="00FF1AC7">
              <w:rPr>
                <w:rFonts w:ascii="Times New Roman" w:hAnsi="Times New Roman" w:cs="Times New Roman"/>
                <w:sz w:val="20"/>
                <w:szCs w:val="20"/>
                <w:lang w:eastAsia="sk-SK"/>
              </w:rPr>
              <w:t>D</w:t>
            </w:r>
            <w:r w:rsidRPr="00FF1AC7">
              <w:rPr>
                <w:rFonts w:ascii="Times New Roman" w:hAnsi="Times New Roman" w:cs="Times New Roman"/>
                <w:sz w:val="20"/>
                <w:szCs w:val="20"/>
                <w:lang w:eastAsia="sk-SK"/>
              </w:rPr>
              <w:t xml:space="preserve">. </w:t>
            </w:r>
            <w:r w:rsidR="008A19A2" w:rsidRPr="00FF1AC7">
              <w:rPr>
                <w:rFonts w:ascii="Times New Roman" w:hAnsi="Times New Roman" w:cs="Times New Roman"/>
                <w:sz w:val="20"/>
                <w:szCs w:val="20"/>
                <w:lang w:eastAsia="sk-SK"/>
              </w:rPr>
              <w:t>M</w:t>
            </w:r>
            <w:r w:rsidRPr="00FF1AC7">
              <w:rPr>
                <w:rFonts w:ascii="Times New Roman" w:hAnsi="Times New Roman" w:cs="Times New Roman"/>
                <w:sz w:val="20"/>
                <w:szCs w:val="20"/>
                <w:lang w:eastAsia="sk-SK"/>
              </w:rPr>
              <w:t>imorozpočtový zdroj (72c)</w:t>
            </w:r>
          </w:p>
        </w:tc>
        <w:tc>
          <w:tcPr>
            <w:tcW w:w="1418" w:type="dxa"/>
            <w:tcBorders>
              <w:top w:val="single" w:sz="4" w:space="0" w:color="auto"/>
              <w:bottom w:val="single" w:sz="8" w:space="0" w:color="auto"/>
              <w:right w:val="single" w:sz="8" w:space="0" w:color="auto"/>
            </w:tcBorders>
            <w:noWrap/>
            <w:vAlign w:val="bottom"/>
          </w:tcPr>
          <w:p w:rsidR="00400427" w:rsidRPr="00FF1AC7" w:rsidRDefault="00400427" w:rsidP="006B700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bottom w:val="single" w:sz="8" w:space="0" w:color="auto"/>
              <w:right w:val="single" w:sz="8" w:space="0" w:color="auto"/>
            </w:tcBorders>
            <w:noWrap/>
            <w:vAlign w:val="bottom"/>
          </w:tcPr>
          <w:p w:rsidR="00400427" w:rsidRPr="00FF1AC7" w:rsidRDefault="008B2456" w:rsidP="006B700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bottom w:val="single" w:sz="8" w:space="0" w:color="auto"/>
              <w:right w:val="single" w:sz="8" w:space="0" w:color="auto"/>
            </w:tcBorders>
            <w:noWrap/>
            <w:vAlign w:val="bottom"/>
          </w:tcPr>
          <w:p w:rsidR="00400427" w:rsidRPr="00FF1AC7" w:rsidRDefault="008B2456" w:rsidP="006B700B">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512,90</w:t>
            </w:r>
          </w:p>
        </w:tc>
        <w:tc>
          <w:tcPr>
            <w:tcW w:w="796" w:type="dxa"/>
            <w:tcBorders>
              <w:top w:val="single" w:sz="4" w:space="0" w:color="auto"/>
              <w:bottom w:val="single" w:sz="8" w:space="0" w:color="auto"/>
            </w:tcBorders>
            <w:noWrap/>
            <w:vAlign w:val="bottom"/>
          </w:tcPr>
          <w:p w:rsidR="00400427" w:rsidRPr="00FF1AC7" w:rsidRDefault="00222161" w:rsidP="00222161">
            <w:pPr>
              <w:spacing w:after="0" w:line="240" w:lineRule="auto"/>
              <w:jc w:val="center"/>
              <w:rPr>
                <w:rFonts w:ascii="Times New Roman" w:hAnsi="Times New Roman" w:cs="Times New Roman"/>
                <w:sz w:val="20"/>
                <w:szCs w:val="20"/>
                <w:lang w:eastAsia="sk-SK"/>
              </w:rPr>
            </w:pPr>
            <w:r w:rsidRPr="00FF1AC7">
              <w:rPr>
                <w:rFonts w:ascii="Times New Roman" w:hAnsi="Times New Roman" w:cs="Times New Roman"/>
                <w:sz w:val="20"/>
                <w:szCs w:val="20"/>
                <w:lang w:eastAsia="sk-SK"/>
              </w:rPr>
              <w:t>-</w:t>
            </w:r>
          </w:p>
        </w:tc>
      </w:tr>
      <w:tr w:rsidR="00035616" w:rsidRPr="00FF1AC7" w:rsidTr="00E42519">
        <w:trPr>
          <w:trHeight w:val="458"/>
        </w:trPr>
        <w:tc>
          <w:tcPr>
            <w:tcW w:w="4613" w:type="dxa"/>
            <w:tcBorders>
              <w:top w:val="single" w:sz="8" w:space="0" w:color="auto"/>
              <w:bottom w:val="single" w:sz="4" w:space="0" w:color="auto"/>
              <w:right w:val="single" w:sz="4" w:space="0" w:color="auto"/>
            </w:tcBorders>
            <w:noWrap/>
            <w:vAlign w:val="bottom"/>
          </w:tcPr>
          <w:p w:rsidR="00400427" w:rsidRPr="00FF1AC7" w:rsidRDefault="00400427" w:rsidP="00C23DE8">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II. VÝDAVKY KAPITOLY  CELKOM  (</w:t>
            </w:r>
            <w:proofErr w:type="spellStart"/>
            <w:r w:rsidRPr="00FF1AC7">
              <w:rPr>
                <w:rFonts w:ascii="Times New Roman" w:hAnsi="Times New Roman" w:cs="Times New Roman"/>
                <w:b/>
                <w:bCs/>
                <w:sz w:val="20"/>
                <w:szCs w:val="20"/>
                <w:lang w:eastAsia="sk-SK"/>
              </w:rPr>
              <w:t>A+B</w:t>
            </w:r>
            <w:r w:rsidR="00C23DE8" w:rsidRPr="00FF1AC7">
              <w:rPr>
                <w:rFonts w:ascii="Times New Roman" w:hAnsi="Times New Roman" w:cs="Times New Roman"/>
                <w:b/>
                <w:bCs/>
                <w:sz w:val="20"/>
                <w:szCs w:val="20"/>
                <w:lang w:eastAsia="sk-SK"/>
              </w:rPr>
              <w:t>+C+D</w:t>
            </w:r>
            <w:proofErr w:type="spellEnd"/>
            <w:r w:rsidRPr="00FF1AC7">
              <w:rPr>
                <w:rFonts w:ascii="Times New Roman" w:hAnsi="Times New Roman" w:cs="Times New Roman"/>
                <w:b/>
                <w:bCs/>
                <w:sz w:val="20"/>
                <w:szCs w:val="20"/>
                <w:lang w:eastAsia="sk-SK"/>
              </w:rPr>
              <w:t>)</w:t>
            </w:r>
          </w:p>
        </w:tc>
        <w:tc>
          <w:tcPr>
            <w:tcW w:w="1418" w:type="dxa"/>
            <w:tcBorders>
              <w:top w:val="single" w:sz="8" w:space="0" w:color="auto"/>
              <w:left w:val="single" w:sz="4" w:space="0" w:color="auto"/>
              <w:bottom w:val="single" w:sz="4" w:space="0" w:color="auto"/>
              <w:right w:val="single" w:sz="4"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298 270 138,00</w:t>
            </w:r>
          </w:p>
        </w:tc>
        <w:tc>
          <w:tcPr>
            <w:tcW w:w="1417" w:type="dxa"/>
            <w:tcBorders>
              <w:top w:val="single" w:sz="8" w:space="0" w:color="auto"/>
              <w:left w:val="single" w:sz="4" w:space="0" w:color="auto"/>
              <w:bottom w:val="single" w:sz="4" w:space="0" w:color="auto"/>
              <w:right w:val="single" w:sz="4" w:space="0" w:color="auto"/>
            </w:tcBorders>
            <w:noWrap/>
            <w:vAlign w:val="bottom"/>
          </w:tcPr>
          <w:p w:rsidR="00400427" w:rsidRPr="00FF1AC7" w:rsidRDefault="00DB4179" w:rsidP="003B2372">
            <w:pPr>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441 217 548,62</w:t>
            </w:r>
          </w:p>
        </w:tc>
        <w:tc>
          <w:tcPr>
            <w:tcW w:w="1532" w:type="dxa"/>
            <w:tcBorders>
              <w:top w:val="single" w:sz="8" w:space="0" w:color="auto"/>
              <w:left w:val="single" w:sz="4" w:space="0" w:color="auto"/>
              <w:bottom w:val="single" w:sz="4" w:space="0" w:color="auto"/>
              <w:right w:val="single" w:sz="8" w:space="0" w:color="auto"/>
            </w:tcBorders>
            <w:noWrap/>
            <w:vAlign w:val="bottom"/>
          </w:tcPr>
          <w:p w:rsidR="00400427" w:rsidRPr="00FF1AC7" w:rsidRDefault="00DB4179" w:rsidP="006359F7">
            <w:pPr>
              <w:spacing w:after="0" w:line="240" w:lineRule="auto"/>
              <w:jc w:val="right"/>
              <w:rPr>
                <w:rFonts w:ascii="Times New Roman" w:hAnsi="Times New Roman" w:cs="Times New Roman"/>
                <w:b/>
                <w:sz w:val="20"/>
                <w:szCs w:val="20"/>
                <w:lang w:eastAsia="sk-SK"/>
              </w:rPr>
            </w:pPr>
            <w:r w:rsidRPr="00FF1AC7">
              <w:rPr>
                <w:rFonts w:ascii="Times New Roman" w:hAnsi="Times New Roman" w:cs="Times New Roman"/>
                <w:b/>
                <w:sz w:val="20"/>
                <w:szCs w:val="20"/>
                <w:lang w:eastAsia="sk-SK"/>
              </w:rPr>
              <w:t>441 077 675,37</w:t>
            </w:r>
          </w:p>
        </w:tc>
        <w:tc>
          <w:tcPr>
            <w:tcW w:w="796" w:type="dxa"/>
            <w:tcBorders>
              <w:top w:val="single" w:sz="8" w:space="0" w:color="auto"/>
              <w:bottom w:val="single" w:sz="4" w:space="0" w:color="auto"/>
            </w:tcBorders>
            <w:noWrap/>
            <w:vAlign w:val="bottom"/>
          </w:tcPr>
          <w:p w:rsidR="00400427" w:rsidRPr="00FF1AC7" w:rsidRDefault="00DF6E86" w:rsidP="006359F7">
            <w:pPr>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99,97</w:t>
            </w:r>
          </w:p>
        </w:tc>
      </w:tr>
      <w:tr w:rsidR="00035616" w:rsidRPr="00FF1AC7" w:rsidTr="00E42519">
        <w:trPr>
          <w:trHeight w:val="255"/>
        </w:trPr>
        <w:tc>
          <w:tcPr>
            <w:tcW w:w="4613" w:type="dxa"/>
            <w:tcBorders>
              <w:top w:val="single" w:sz="4" w:space="0" w:color="auto"/>
              <w:left w:val="single" w:sz="4" w:space="0" w:color="auto"/>
              <w:bottom w:val="nil"/>
              <w:right w:val="single" w:sz="4" w:space="0" w:color="auto"/>
            </w:tcBorders>
            <w:noWrap/>
            <w:vAlign w:val="bottom"/>
          </w:tcPr>
          <w:p w:rsidR="003073F7" w:rsidRPr="00FF1AC7" w:rsidRDefault="00EB6302" w:rsidP="008A19A2">
            <w:pPr>
              <w:numPr>
                <w:ilvl w:val="1"/>
                <w:numId w:val="7"/>
              </w:numPr>
              <w:spacing w:after="0" w:line="240" w:lineRule="auto"/>
              <w:ind w:left="290" w:firstLine="0"/>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Prostriedky</w:t>
            </w:r>
            <w:r w:rsidR="003073F7" w:rsidRPr="00FF1AC7">
              <w:rPr>
                <w:rFonts w:ascii="Times New Roman" w:hAnsi="Times New Roman" w:cs="Times New Roman"/>
                <w:bCs/>
                <w:sz w:val="20"/>
                <w:szCs w:val="20"/>
                <w:lang w:eastAsia="sk-SK"/>
              </w:rPr>
              <w:t xml:space="preserve"> ŠR </w:t>
            </w:r>
          </w:p>
        </w:tc>
        <w:tc>
          <w:tcPr>
            <w:tcW w:w="1418" w:type="dxa"/>
            <w:tcBorders>
              <w:top w:val="single" w:sz="4" w:space="0" w:color="auto"/>
              <w:left w:val="single" w:sz="4" w:space="0" w:color="auto"/>
              <w:bottom w:val="nil"/>
              <w:right w:val="single" w:sz="4" w:space="0" w:color="auto"/>
            </w:tcBorders>
            <w:noWrap/>
            <w:vAlign w:val="bottom"/>
          </w:tcPr>
          <w:p w:rsidR="003073F7" w:rsidRPr="00FF1AC7" w:rsidRDefault="003073F7" w:rsidP="003073F7">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105 730 671,00</w:t>
            </w:r>
          </w:p>
        </w:tc>
        <w:tc>
          <w:tcPr>
            <w:tcW w:w="1417" w:type="dxa"/>
            <w:tcBorders>
              <w:top w:val="single" w:sz="4" w:space="0" w:color="auto"/>
              <w:left w:val="single" w:sz="4" w:space="0" w:color="auto"/>
              <w:bottom w:val="nil"/>
              <w:right w:val="single" w:sz="4" w:space="0" w:color="auto"/>
            </w:tcBorders>
            <w:noWrap/>
            <w:vAlign w:val="bottom"/>
          </w:tcPr>
          <w:p w:rsidR="003073F7" w:rsidRPr="00FF1AC7" w:rsidRDefault="003073F7" w:rsidP="008F65AB">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118 213 312,53 </w:t>
            </w:r>
          </w:p>
        </w:tc>
        <w:tc>
          <w:tcPr>
            <w:tcW w:w="1532" w:type="dxa"/>
            <w:tcBorders>
              <w:top w:val="single" w:sz="4" w:space="0" w:color="auto"/>
              <w:left w:val="single" w:sz="4" w:space="0" w:color="auto"/>
              <w:bottom w:val="nil"/>
              <w:right w:val="single" w:sz="4" w:space="0" w:color="auto"/>
            </w:tcBorders>
            <w:noWrap/>
            <w:vAlign w:val="bottom"/>
          </w:tcPr>
          <w:p w:rsidR="003073F7" w:rsidRPr="00FF1AC7" w:rsidRDefault="003073F7" w:rsidP="003073F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118 074 900,88 </w:t>
            </w:r>
          </w:p>
        </w:tc>
        <w:tc>
          <w:tcPr>
            <w:tcW w:w="796" w:type="dxa"/>
            <w:tcBorders>
              <w:top w:val="single" w:sz="4" w:space="0" w:color="auto"/>
              <w:left w:val="single" w:sz="4" w:space="0" w:color="auto"/>
              <w:bottom w:val="nil"/>
              <w:right w:val="single" w:sz="4" w:space="0" w:color="auto"/>
            </w:tcBorders>
            <w:noWrap/>
            <w:vAlign w:val="bottom"/>
          </w:tcPr>
          <w:p w:rsidR="003073F7" w:rsidRPr="00FF1AC7" w:rsidRDefault="003073F7" w:rsidP="00A668F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99,89</w:t>
            </w:r>
          </w:p>
        </w:tc>
      </w:tr>
      <w:tr w:rsidR="00035616" w:rsidRPr="00FF1AC7" w:rsidTr="00E42519">
        <w:trPr>
          <w:trHeight w:val="255"/>
        </w:trPr>
        <w:tc>
          <w:tcPr>
            <w:tcW w:w="4613" w:type="dxa"/>
            <w:tcBorders>
              <w:top w:val="nil"/>
              <w:left w:val="single" w:sz="4" w:space="0" w:color="auto"/>
              <w:bottom w:val="single" w:sz="4" w:space="0" w:color="auto"/>
              <w:right w:val="single" w:sz="4" w:space="0" w:color="auto"/>
            </w:tcBorders>
            <w:noWrap/>
            <w:vAlign w:val="bottom"/>
          </w:tcPr>
          <w:p w:rsidR="00C23DE8" w:rsidRPr="00FF1AC7" w:rsidRDefault="008A19A2" w:rsidP="008A19A2">
            <w:pPr>
              <w:spacing w:after="0" w:line="240" w:lineRule="auto"/>
              <w:ind w:left="290"/>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 xml:space="preserve">         </w:t>
            </w:r>
            <w:r w:rsidR="00C23DE8" w:rsidRPr="00FF1AC7">
              <w:rPr>
                <w:rFonts w:ascii="Times New Roman" w:hAnsi="Times New Roman" w:cs="Times New Roman"/>
                <w:bCs/>
                <w:sz w:val="20"/>
                <w:szCs w:val="20"/>
                <w:lang w:eastAsia="sk-SK"/>
              </w:rPr>
              <w:t>z toho:</w:t>
            </w:r>
          </w:p>
          <w:p w:rsidR="00C23DE8" w:rsidRPr="00FF1AC7" w:rsidRDefault="00C23DE8" w:rsidP="00C23DE8">
            <w:pPr>
              <w:spacing w:after="0" w:line="240" w:lineRule="auto"/>
              <w:ind w:left="1141"/>
              <w:rPr>
                <w:rFonts w:ascii="Times New Roman" w:hAnsi="Times New Roman" w:cs="Times New Roman"/>
                <w:b/>
                <w:bCs/>
                <w:sz w:val="20"/>
                <w:szCs w:val="20"/>
                <w:lang w:eastAsia="sk-SK"/>
              </w:rPr>
            </w:pPr>
            <w:r w:rsidRPr="00FF1AC7">
              <w:rPr>
                <w:rFonts w:ascii="Times New Roman" w:hAnsi="Times New Roman" w:cs="Times New Roman"/>
                <w:sz w:val="20"/>
                <w:szCs w:val="20"/>
                <w:lang w:eastAsia="sk-SK"/>
              </w:rPr>
              <w:t xml:space="preserve">prostriedky štátneho rozpočtu ( kód zdroja        </w:t>
            </w:r>
            <w:proofErr w:type="spellStart"/>
            <w:r w:rsidRPr="00FF1AC7">
              <w:rPr>
                <w:rFonts w:ascii="Times New Roman" w:hAnsi="Times New Roman" w:cs="Times New Roman"/>
                <w:sz w:val="20"/>
                <w:szCs w:val="20"/>
                <w:lang w:eastAsia="sk-SK"/>
              </w:rPr>
              <w:t>131D+131E</w:t>
            </w:r>
            <w:proofErr w:type="spellEnd"/>
            <w:r w:rsidRPr="00FF1AC7">
              <w:rPr>
                <w:rFonts w:ascii="Times New Roman" w:hAnsi="Times New Roman" w:cs="Times New Roman"/>
                <w:sz w:val="20"/>
                <w:szCs w:val="20"/>
                <w:lang w:eastAsia="sk-SK"/>
              </w:rPr>
              <w:t>)</w:t>
            </w:r>
          </w:p>
        </w:tc>
        <w:tc>
          <w:tcPr>
            <w:tcW w:w="1418" w:type="dxa"/>
            <w:tcBorders>
              <w:top w:val="nil"/>
              <w:left w:val="single" w:sz="4" w:space="0" w:color="auto"/>
              <w:bottom w:val="single" w:sz="4" w:space="0" w:color="auto"/>
              <w:right w:val="single" w:sz="4" w:space="0" w:color="auto"/>
            </w:tcBorders>
            <w:noWrap/>
            <w:vAlign w:val="bottom"/>
          </w:tcPr>
          <w:p w:rsidR="00C23DE8" w:rsidRPr="00FF1AC7" w:rsidRDefault="00C23DE8" w:rsidP="003073F7">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nil"/>
              <w:left w:val="single" w:sz="4" w:space="0" w:color="auto"/>
              <w:bottom w:val="single" w:sz="4" w:space="0" w:color="auto"/>
              <w:right w:val="single" w:sz="4" w:space="0" w:color="auto"/>
            </w:tcBorders>
            <w:noWrap/>
            <w:vAlign w:val="bottom"/>
          </w:tcPr>
          <w:p w:rsidR="00C23DE8" w:rsidRPr="00FF1AC7" w:rsidRDefault="00C23DE8" w:rsidP="008F65AB">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12 813 591,13</w:t>
            </w:r>
          </w:p>
        </w:tc>
        <w:tc>
          <w:tcPr>
            <w:tcW w:w="1532" w:type="dxa"/>
            <w:tcBorders>
              <w:top w:val="nil"/>
              <w:left w:val="single" w:sz="4" w:space="0" w:color="auto"/>
              <w:bottom w:val="single" w:sz="4" w:space="0" w:color="auto"/>
              <w:right w:val="single" w:sz="4" w:space="0" w:color="auto"/>
            </w:tcBorders>
            <w:noWrap/>
            <w:vAlign w:val="bottom"/>
          </w:tcPr>
          <w:p w:rsidR="00C23DE8" w:rsidRPr="00FF1AC7" w:rsidRDefault="00C23DE8" w:rsidP="008F65AB">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12 813 527,92</w:t>
            </w:r>
          </w:p>
        </w:tc>
        <w:tc>
          <w:tcPr>
            <w:tcW w:w="796" w:type="dxa"/>
            <w:tcBorders>
              <w:top w:val="nil"/>
              <w:left w:val="single" w:sz="4" w:space="0" w:color="auto"/>
              <w:bottom w:val="single" w:sz="4" w:space="0" w:color="auto"/>
              <w:right w:val="single" w:sz="4" w:space="0" w:color="auto"/>
            </w:tcBorders>
            <w:noWrap/>
            <w:vAlign w:val="bottom"/>
          </w:tcPr>
          <w:p w:rsidR="00C23DE8" w:rsidRPr="00FF1AC7" w:rsidRDefault="003073F7" w:rsidP="00A668F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99,99</w:t>
            </w:r>
          </w:p>
        </w:tc>
      </w:tr>
      <w:tr w:rsidR="00792253" w:rsidRPr="00FF1AC7" w:rsidTr="00E42519">
        <w:trPr>
          <w:trHeight w:val="255"/>
        </w:trPr>
        <w:tc>
          <w:tcPr>
            <w:tcW w:w="4613" w:type="dxa"/>
            <w:tcBorders>
              <w:top w:val="single" w:sz="4" w:space="0" w:color="auto"/>
              <w:bottom w:val="single" w:sz="4" w:space="0" w:color="auto"/>
              <w:right w:val="single" w:sz="4" w:space="0" w:color="auto"/>
            </w:tcBorders>
            <w:noWrap/>
            <w:vAlign w:val="bottom"/>
          </w:tcPr>
          <w:p w:rsidR="00400427" w:rsidRPr="00FF1AC7" w:rsidRDefault="008A19A2" w:rsidP="00EB6302">
            <w:pPr>
              <w:spacing w:after="0" w:line="240" w:lineRule="auto"/>
              <w:ind w:left="290" w:hanging="290"/>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w:t>
            </w:r>
            <w:r w:rsidR="00C23DE8" w:rsidRPr="00FF1AC7">
              <w:rPr>
                <w:rFonts w:ascii="Times New Roman" w:hAnsi="Times New Roman" w:cs="Times New Roman"/>
                <w:sz w:val="20"/>
                <w:szCs w:val="20"/>
                <w:lang w:eastAsia="sk-SK"/>
              </w:rPr>
              <w:t>B.</w:t>
            </w:r>
            <w:r w:rsidR="00400427" w:rsidRPr="00FF1AC7">
              <w:rPr>
                <w:rFonts w:ascii="Times New Roman" w:hAnsi="Times New Roman" w:cs="Times New Roman"/>
                <w:sz w:val="20"/>
                <w:szCs w:val="20"/>
                <w:lang w:eastAsia="sk-SK"/>
              </w:rPr>
              <w:t xml:space="preserve"> </w:t>
            </w:r>
            <w:r w:rsidR="00EB6302" w:rsidRPr="00FF1AC7">
              <w:rPr>
                <w:rFonts w:ascii="Times New Roman" w:hAnsi="Times New Roman" w:cs="Times New Roman"/>
                <w:sz w:val="20"/>
                <w:szCs w:val="20"/>
                <w:lang w:eastAsia="sk-SK"/>
              </w:rPr>
              <w:t>P</w:t>
            </w:r>
            <w:r w:rsidR="00400427" w:rsidRPr="00FF1AC7">
              <w:rPr>
                <w:rFonts w:ascii="Times New Roman" w:hAnsi="Times New Roman" w:cs="Times New Roman"/>
                <w:sz w:val="20"/>
                <w:szCs w:val="20"/>
                <w:lang w:eastAsia="sk-SK"/>
              </w:rPr>
              <w:t>rostriedky na spolufinancovanie</w:t>
            </w:r>
            <w:r w:rsidR="009072DA" w:rsidRPr="00FF1AC7">
              <w:rPr>
                <w:rFonts w:ascii="Times New Roman" w:hAnsi="Times New Roman" w:cs="Times New Roman"/>
                <w:sz w:val="20"/>
                <w:szCs w:val="20"/>
                <w:lang w:eastAsia="sk-SK"/>
              </w:rPr>
              <w:t xml:space="preserve"> (kód zdroja 11B5, </w:t>
            </w:r>
            <w:r w:rsidR="00400427" w:rsidRPr="00FF1AC7">
              <w:rPr>
                <w:rFonts w:ascii="Times New Roman" w:hAnsi="Times New Roman" w:cs="Times New Roman"/>
                <w:sz w:val="20"/>
                <w:szCs w:val="20"/>
                <w:lang w:eastAsia="sk-SK"/>
              </w:rPr>
              <w:t>11S2</w:t>
            </w:r>
            <w:r w:rsidR="009072DA" w:rsidRPr="00FF1AC7">
              <w:rPr>
                <w:rFonts w:ascii="Times New Roman" w:hAnsi="Times New Roman" w:cs="Times New Roman"/>
                <w:sz w:val="20"/>
                <w:szCs w:val="20"/>
                <w:lang w:eastAsia="sk-SK"/>
              </w:rPr>
              <w:t>, 11S3, 11U2, 13S2, 13S3, 1AA2, 1AJ2</w:t>
            </w:r>
            <w:r w:rsidR="00400427" w:rsidRPr="00FF1AC7">
              <w:rPr>
                <w:rFonts w:ascii="Times New Roman" w:hAnsi="Times New Roman" w:cs="Times New Roman"/>
                <w:sz w:val="20"/>
                <w:szCs w:val="20"/>
                <w:lang w:eastAsia="sk-SK"/>
              </w:rPr>
              <w:t>)</w:t>
            </w:r>
          </w:p>
        </w:tc>
        <w:tc>
          <w:tcPr>
            <w:tcW w:w="1418"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40042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22 409 438,00</w:t>
            </w:r>
          </w:p>
        </w:tc>
        <w:tc>
          <w:tcPr>
            <w:tcW w:w="1417"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9072DA" w:rsidP="009072DA">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47 876 557,54</w:t>
            </w:r>
          </w:p>
        </w:tc>
        <w:tc>
          <w:tcPr>
            <w:tcW w:w="1532"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9072DA" w:rsidP="009072DA">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47 874 583,04</w:t>
            </w:r>
          </w:p>
        </w:tc>
        <w:tc>
          <w:tcPr>
            <w:tcW w:w="796" w:type="dxa"/>
            <w:tcBorders>
              <w:top w:val="single" w:sz="4" w:space="0" w:color="auto"/>
              <w:left w:val="single" w:sz="4" w:space="0" w:color="auto"/>
              <w:bottom w:val="single" w:sz="4" w:space="0" w:color="auto"/>
            </w:tcBorders>
            <w:noWrap/>
            <w:vAlign w:val="bottom"/>
          </w:tcPr>
          <w:p w:rsidR="00400427" w:rsidRPr="00FF1AC7" w:rsidRDefault="003073F7" w:rsidP="00C278AE">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99,99</w:t>
            </w:r>
          </w:p>
        </w:tc>
      </w:tr>
      <w:tr w:rsidR="00400427" w:rsidRPr="00FF1AC7" w:rsidTr="00E42519">
        <w:trPr>
          <w:trHeight w:val="255"/>
        </w:trPr>
        <w:tc>
          <w:tcPr>
            <w:tcW w:w="4613" w:type="dxa"/>
            <w:tcBorders>
              <w:top w:val="single" w:sz="4" w:space="0" w:color="auto"/>
              <w:left w:val="single" w:sz="4" w:space="0" w:color="auto"/>
              <w:bottom w:val="nil"/>
              <w:right w:val="single" w:sz="4" w:space="0" w:color="auto"/>
            </w:tcBorders>
            <w:noWrap/>
            <w:vAlign w:val="bottom"/>
          </w:tcPr>
          <w:p w:rsidR="00400427" w:rsidRPr="00FF1AC7" w:rsidRDefault="008A19A2" w:rsidP="00EB6302">
            <w:pPr>
              <w:spacing w:after="0" w:line="240" w:lineRule="auto"/>
              <w:ind w:firstLine="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w:t>
            </w:r>
            <w:r w:rsidR="00C23DE8" w:rsidRPr="00FF1AC7">
              <w:rPr>
                <w:rFonts w:ascii="Times New Roman" w:hAnsi="Times New Roman" w:cs="Times New Roman"/>
                <w:sz w:val="20"/>
                <w:szCs w:val="20"/>
                <w:lang w:eastAsia="sk-SK"/>
              </w:rPr>
              <w:t>C.</w:t>
            </w:r>
            <w:r w:rsidR="00400427" w:rsidRPr="00FF1AC7">
              <w:rPr>
                <w:rFonts w:ascii="Times New Roman" w:hAnsi="Times New Roman" w:cs="Times New Roman"/>
                <w:sz w:val="20"/>
                <w:szCs w:val="20"/>
                <w:lang w:eastAsia="sk-SK"/>
              </w:rPr>
              <w:t xml:space="preserve"> </w:t>
            </w:r>
            <w:r w:rsidR="00EB6302" w:rsidRPr="00FF1AC7">
              <w:rPr>
                <w:rFonts w:ascii="Times New Roman" w:hAnsi="Times New Roman" w:cs="Times New Roman"/>
                <w:sz w:val="20"/>
                <w:szCs w:val="20"/>
                <w:lang w:eastAsia="sk-SK"/>
              </w:rPr>
              <w:t>M</w:t>
            </w:r>
            <w:r w:rsidR="00400427" w:rsidRPr="00FF1AC7">
              <w:rPr>
                <w:rFonts w:ascii="Times New Roman" w:hAnsi="Times New Roman" w:cs="Times New Roman"/>
                <w:sz w:val="20"/>
                <w:szCs w:val="20"/>
                <w:lang w:eastAsia="sk-SK"/>
              </w:rPr>
              <w:t xml:space="preserve">imorozpočtové zdroje (72c) </w:t>
            </w:r>
          </w:p>
        </w:tc>
        <w:tc>
          <w:tcPr>
            <w:tcW w:w="1418" w:type="dxa"/>
            <w:tcBorders>
              <w:top w:val="single" w:sz="4" w:space="0" w:color="auto"/>
              <w:left w:val="single" w:sz="4" w:space="0" w:color="auto"/>
              <w:bottom w:val="nil"/>
              <w:right w:val="single" w:sz="4"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417" w:type="dxa"/>
            <w:tcBorders>
              <w:top w:val="single" w:sz="4" w:space="0" w:color="auto"/>
              <w:left w:val="single" w:sz="4" w:space="0" w:color="auto"/>
              <w:bottom w:val="nil"/>
              <w:right w:val="single" w:sz="4" w:space="0" w:color="auto"/>
            </w:tcBorders>
            <w:noWrap/>
            <w:vAlign w:val="bottom"/>
          </w:tcPr>
          <w:p w:rsidR="00400427" w:rsidRPr="00FF1AC7" w:rsidRDefault="009072DA" w:rsidP="00815984">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left w:val="single" w:sz="4" w:space="0" w:color="auto"/>
              <w:bottom w:val="nil"/>
              <w:right w:val="single" w:sz="4" w:space="0" w:color="auto"/>
            </w:tcBorders>
            <w:noWrap/>
            <w:vAlign w:val="bottom"/>
          </w:tcPr>
          <w:p w:rsidR="00400427" w:rsidRPr="00FF1AC7" w:rsidRDefault="009072DA" w:rsidP="008D165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512,90</w:t>
            </w:r>
          </w:p>
        </w:tc>
        <w:tc>
          <w:tcPr>
            <w:tcW w:w="796" w:type="dxa"/>
            <w:tcBorders>
              <w:top w:val="single" w:sz="4" w:space="0" w:color="auto"/>
              <w:left w:val="single" w:sz="4" w:space="0" w:color="auto"/>
              <w:bottom w:val="nil"/>
              <w:right w:val="single" w:sz="4" w:space="0" w:color="auto"/>
            </w:tcBorders>
            <w:noWrap/>
            <w:vAlign w:val="bottom"/>
          </w:tcPr>
          <w:p w:rsidR="00400427" w:rsidRPr="00FF1AC7" w:rsidRDefault="003073F7" w:rsidP="008D165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w:t>
            </w:r>
          </w:p>
        </w:tc>
      </w:tr>
      <w:tr w:rsidR="00035616" w:rsidRPr="00FF1AC7" w:rsidTr="00E42519">
        <w:trPr>
          <w:trHeight w:val="255"/>
        </w:trPr>
        <w:tc>
          <w:tcPr>
            <w:tcW w:w="4613" w:type="dxa"/>
            <w:tcBorders>
              <w:top w:val="single" w:sz="4" w:space="0" w:color="auto"/>
              <w:bottom w:val="single" w:sz="4" w:space="0" w:color="auto"/>
              <w:right w:val="single" w:sz="4" w:space="0" w:color="auto"/>
            </w:tcBorders>
            <w:noWrap/>
            <w:vAlign w:val="bottom"/>
          </w:tcPr>
          <w:p w:rsidR="00EB6302" w:rsidRPr="00FF1AC7" w:rsidRDefault="008A19A2" w:rsidP="008F65AB">
            <w:pPr>
              <w:spacing w:after="0" w:line="240" w:lineRule="auto"/>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 xml:space="preserve">     </w:t>
            </w:r>
            <w:r w:rsidR="00EB6302" w:rsidRPr="00FF1AC7">
              <w:rPr>
                <w:rFonts w:ascii="Times New Roman" w:hAnsi="Times New Roman" w:cs="Times New Roman"/>
                <w:bCs/>
                <w:sz w:val="20"/>
                <w:szCs w:val="20"/>
                <w:lang w:eastAsia="sk-SK"/>
              </w:rPr>
              <w:t xml:space="preserve">D. Prostriedky EÚ (zdroj </w:t>
            </w:r>
            <w:proofErr w:type="spellStart"/>
            <w:r w:rsidR="00EB6302" w:rsidRPr="00FF1AC7">
              <w:rPr>
                <w:rFonts w:ascii="Times New Roman" w:hAnsi="Times New Roman" w:cs="Times New Roman"/>
                <w:bCs/>
                <w:sz w:val="20"/>
                <w:szCs w:val="20"/>
                <w:lang w:eastAsia="sk-SK"/>
              </w:rPr>
              <w:t>11S1+13S1</w:t>
            </w:r>
            <w:proofErr w:type="spellEnd"/>
            <w:r w:rsidR="00EB6302" w:rsidRPr="00FF1AC7">
              <w:rPr>
                <w:rFonts w:ascii="Times New Roman" w:hAnsi="Times New Roman" w:cs="Times New Roman"/>
                <w:bCs/>
                <w:sz w:val="20"/>
                <w:szCs w:val="20"/>
                <w:lang w:eastAsia="sk-SK"/>
              </w:rPr>
              <w:t>)</w:t>
            </w:r>
          </w:p>
        </w:tc>
        <w:tc>
          <w:tcPr>
            <w:tcW w:w="1418" w:type="dxa"/>
            <w:tcBorders>
              <w:top w:val="single" w:sz="4" w:space="0" w:color="auto"/>
              <w:left w:val="single" w:sz="4" w:space="0" w:color="auto"/>
              <w:bottom w:val="single" w:sz="4" w:space="0" w:color="auto"/>
              <w:right w:val="single" w:sz="4" w:space="0" w:color="auto"/>
            </w:tcBorders>
            <w:noWrap/>
            <w:vAlign w:val="bottom"/>
          </w:tcPr>
          <w:p w:rsidR="00EB6302" w:rsidRPr="00FF1AC7" w:rsidRDefault="00EB6302" w:rsidP="008F65AB">
            <w:pPr>
              <w:spacing w:after="0" w:line="240" w:lineRule="auto"/>
              <w:ind w:left="-250" w:firstLine="250"/>
              <w:jc w:val="right"/>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170 130 029,00</w:t>
            </w:r>
          </w:p>
        </w:tc>
        <w:tc>
          <w:tcPr>
            <w:tcW w:w="1417" w:type="dxa"/>
            <w:tcBorders>
              <w:top w:val="single" w:sz="4" w:space="0" w:color="auto"/>
              <w:left w:val="single" w:sz="4" w:space="0" w:color="auto"/>
              <w:bottom w:val="single" w:sz="4" w:space="0" w:color="auto"/>
              <w:right w:val="single" w:sz="4" w:space="0" w:color="auto"/>
            </w:tcBorders>
            <w:noWrap/>
            <w:vAlign w:val="bottom"/>
          </w:tcPr>
          <w:p w:rsidR="00EB6302" w:rsidRPr="00FF1AC7" w:rsidRDefault="00EB6302" w:rsidP="008F65AB">
            <w:pPr>
              <w:spacing w:after="0" w:line="240" w:lineRule="auto"/>
              <w:jc w:val="right"/>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 xml:space="preserve">275 127 678,55 </w:t>
            </w:r>
          </w:p>
        </w:tc>
        <w:tc>
          <w:tcPr>
            <w:tcW w:w="1532" w:type="dxa"/>
            <w:tcBorders>
              <w:top w:val="single" w:sz="4" w:space="0" w:color="auto"/>
              <w:left w:val="single" w:sz="4" w:space="0" w:color="auto"/>
              <w:bottom w:val="single" w:sz="4" w:space="0" w:color="auto"/>
              <w:right w:val="single" w:sz="4" w:space="0" w:color="auto"/>
            </w:tcBorders>
            <w:noWrap/>
            <w:vAlign w:val="bottom"/>
          </w:tcPr>
          <w:p w:rsidR="00EB6302" w:rsidRPr="00FF1AC7" w:rsidRDefault="00EB6302" w:rsidP="008F65AB">
            <w:pPr>
              <w:spacing w:after="0" w:line="240" w:lineRule="auto"/>
              <w:jc w:val="right"/>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 xml:space="preserve">275 127 678,55 </w:t>
            </w:r>
          </w:p>
        </w:tc>
        <w:tc>
          <w:tcPr>
            <w:tcW w:w="796" w:type="dxa"/>
            <w:tcBorders>
              <w:top w:val="single" w:sz="4" w:space="0" w:color="auto"/>
              <w:left w:val="single" w:sz="4" w:space="0" w:color="auto"/>
              <w:bottom w:val="single" w:sz="4" w:space="0" w:color="auto"/>
            </w:tcBorders>
            <w:noWrap/>
            <w:vAlign w:val="bottom"/>
          </w:tcPr>
          <w:p w:rsidR="00EB6302" w:rsidRPr="00FF1AC7" w:rsidRDefault="00EB6302" w:rsidP="008F65AB">
            <w:pPr>
              <w:spacing w:after="0" w:line="240" w:lineRule="auto"/>
              <w:jc w:val="right"/>
              <w:rPr>
                <w:rFonts w:ascii="Times New Roman" w:hAnsi="Times New Roman" w:cs="Times New Roman"/>
                <w:bCs/>
                <w:sz w:val="20"/>
                <w:szCs w:val="20"/>
                <w:lang w:eastAsia="sk-SK"/>
              </w:rPr>
            </w:pPr>
            <w:r w:rsidRPr="00FF1AC7">
              <w:rPr>
                <w:rFonts w:ascii="Times New Roman" w:hAnsi="Times New Roman" w:cs="Times New Roman"/>
                <w:bCs/>
                <w:sz w:val="20"/>
                <w:szCs w:val="20"/>
                <w:lang w:eastAsia="sk-SK"/>
              </w:rPr>
              <w:t>100,00</w:t>
            </w:r>
          </w:p>
        </w:tc>
      </w:tr>
      <w:tr w:rsidR="00400427" w:rsidRPr="00FF1AC7" w:rsidTr="00E42519">
        <w:trPr>
          <w:trHeight w:val="172"/>
        </w:trPr>
        <w:tc>
          <w:tcPr>
            <w:tcW w:w="4613" w:type="dxa"/>
            <w:tcBorders>
              <w:top w:val="single" w:sz="4" w:space="0" w:color="auto"/>
              <w:left w:val="single" w:sz="4" w:space="0" w:color="auto"/>
              <w:bottom w:val="nil"/>
              <w:right w:val="single" w:sz="4" w:space="0" w:color="auto"/>
            </w:tcBorders>
            <w:noWrap/>
            <w:vAlign w:val="bottom"/>
          </w:tcPr>
          <w:p w:rsidR="00400427" w:rsidRPr="00FF1AC7" w:rsidRDefault="00400427" w:rsidP="0044789B">
            <w:pPr>
              <w:spacing w:after="0" w:line="240" w:lineRule="auto"/>
              <w:ind w:left="574" w:hanging="426"/>
              <w:rPr>
                <w:rFonts w:ascii="Times New Roman" w:hAnsi="Times New Roman" w:cs="Times New Roman"/>
                <w:sz w:val="20"/>
                <w:szCs w:val="20"/>
                <w:lang w:eastAsia="sk-SK"/>
              </w:rPr>
            </w:pPr>
          </w:p>
        </w:tc>
        <w:tc>
          <w:tcPr>
            <w:tcW w:w="1418" w:type="dxa"/>
            <w:tcBorders>
              <w:top w:val="single" w:sz="4" w:space="0" w:color="auto"/>
              <w:left w:val="single" w:sz="4" w:space="0" w:color="auto"/>
              <w:bottom w:val="nil"/>
              <w:right w:val="single" w:sz="4"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sz w:val="20"/>
                <w:szCs w:val="20"/>
                <w:lang w:eastAsia="sk-SK"/>
              </w:rPr>
            </w:pPr>
          </w:p>
        </w:tc>
        <w:tc>
          <w:tcPr>
            <w:tcW w:w="1417" w:type="dxa"/>
            <w:tcBorders>
              <w:top w:val="single" w:sz="4" w:space="0" w:color="auto"/>
              <w:left w:val="single" w:sz="4" w:space="0" w:color="auto"/>
              <w:bottom w:val="nil"/>
              <w:right w:val="single" w:sz="4" w:space="0" w:color="auto"/>
            </w:tcBorders>
            <w:noWrap/>
            <w:vAlign w:val="bottom"/>
          </w:tcPr>
          <w:p w:rsidR="00400427" w:rsidRPr="00FF1AC7" w:rsidRDefault="00400427" w:rsidP="00815984">
            <w:pPr>
              <w:spacing w:after="0" w:line="240" w:lineRule="auto"/>
              <w:jc w:val="right"/>
              <w:rPr>
                <w:rFonts w:ascii="Times New Roman" w:hAnsi="Times New Roman" w:cs="Times New Roman"/>
                <w:sz w:val="20"/>
                <w:szCs w:val="20"/>
                <w:lang w:eastAsia="sk-SK"/>
              </w:rPr>
            </w:pPr>
          </w:p>
        </w:tc>
        <w:tc>
          <w:tcPr>
            <w:tcW w:w="1532" w:type="dxa"/>
            <w:tcBorders>
              <w:top w:val="single" w:sz="4" w:space="0" w:color="auto"/>
              <w:left w:val="single" w:sz="4" w:space="0" w:color="auto"/>
              <w:bottom w:val="nil"/>
              <w:right w:val="single" w:sz="4" w:space="0" w:color="auto"/>
            </w:tcBorders>
            <w:noWrap/>
            <w:vAlign w:val="bottom"/>
          </w:tcPr>
          <w:p w:rsidR="00400427" w:rsidRPr="00FF1AC7" w:rsidRDefault="00400427" w:rsidP="00D73A89">
            <w:pPr>
              <w:autoSpaceDE w:val="0"/>
              <w:autoSpaceDN w:val="0"/>
              <w:adjustRightInd w:val="0"/>
              <w:spacing w:after="0" w:line="240" w:lineRule="auto"/>
              <w:jc w:val="right"/>
              <w:rPr>
                <w:rFonts w:ascii="Times New Roman" w:hAnsi="Times New Roman" w:cs="Times New Roman"/>
                <w:sz w:val="20"/>
                <w:szCs w:val="20"/>
                <w:lang w:eastAsia="sk-SK"/>
              </w:rPr>
            </w:pPr>
          </w:p>
        </w:tc>
        <w:tc>
          <w:tcPr>
            <w:tcW w:w="796" w:type="dxa"/>
            <w:tcBorders>
              <w:top w:val="single" w:sz="4" w:space="0" w:color="auto"/>
              <w:left w:val="single" w:sz="4" w:space="0" w:color="auto"/>
              <w:bottom w:val="nil"/>
              <w:right w:val="single" w:sz="4" w:space="0" w:color="auto"/>
            </w:tcBorders>
            <w:noWrap/>
            <w:vAlign w:val="bottom"/>
          </w:tcPr>
          <w:p w:rsidR="00400427" w:rsidRPr="00FF1AC7" w:rsidRDefault="00400427" w:rsidP="008D1650">
            <w:pPr>
              <w:spacing w:after="0" w:line="240" w:lineRule="auto"/>
              <w:jc w:val="right"/>
              <w:rPr>
                <w:rFonts w:ascii="Times New Roman" w:hAnsi="Times New Roman" w:cs="Times New Roman"/>
                <w:sz w:val="20"/>
                <w:szCs w:val="20"/>
                <w:lang w:eastAsia="sk-SK"/>
              </w:rPr>
            </w:pPr>
          </w:p>
        </w:tc>
      </w:tr>
      <w:tr w:rsidR="00400427" w:rsidRPr="00FF1AC7" w:rsidTr="00E42519">
        <w:trPr>
          <w:trHeight w:val="255"/>
        </w:trPr>
        <w:tc>
          <w:tcPr>
            <w:tcW w:w="4613" w:type="dxa"/>
            <w:tcBorders>
              <w:top w:val="single" w:sz="4" w:space="0" w:color="auto"/>
              <w:left w:val="single" w:sz="4" w:space="0" w:color="auto"/>
              <w:bottom w:val="nil"/>
              <w:right w:val="single" w:sz="4" w:space="0" w:color="auto"/>
            </w:tcBorders>
            <w:noWrap/>
            <w:vAlign w:val="bottom"/>
          </w:tcPr>
          <w:p w:rsidR="00400427" w:rsidRPr="00FF1AC7" w:rsidRDefault="00400427" w:rsidP="0044789B">
            <w:pPr>
              <w:spacing w:after="0" w:line="240" w:lineRule="auto"/>
              <w:ind w:left="574" w:hanging="426"/>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mzdy, platy, služobné príjmy a ostatné os .vyrovnania </w:t>
            </w:r>
          </w:p>
          <w:p w:rsidR="00400427" w:rsidRPr="00FF1AC7" w:rsidRDefault="00400427" w:rsidP="0044789B">
            <w:pPr>
              <w:spacing w:after="0" w:line="240" w:lineRule="auto"/>
              <w:ind w:left="148" w:firstLine="148"/>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(610),(kód zdroja 111)</w:t>
            </w:r>
          </w:p>
        </w:tc>
        <w:tc>
          <w:tcPr>
            <w:tcW w:w="1418" w:type="dxa"/>
            <w:tcBorders>
              <w:top w:val="single" w:sz="4" w:space="0" w:color="auto"/>
              <w:left w:val="single" w:sz="4" w:space="0" w:color="auto"/>
              <w:bottom w:val="nil"/>
              <w:right w:val="single" w:sz="4" w:space="0" w:color="auto"/>
            </w:tcBorders>
            <w:noWrap/>
            <w:vAlign w:val="bottom"/>
          </w:tcPr>
          <w:p w:rsidR="00400427" w:rsidRPr="00FF1AC7" w:rsidRDefault="00400427" w:rsidP="00E208E1">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 </w:t>
            </w:r>
            <w:r w:rsidR="00E208E1" w:rsidRPr="00FF1AC7">
              <w:rPr>
                <w:rFonts w:ascii="Times New Roman" w:hAnsi="Times New Roman" w:cs="Times New Roman"/>
                <w:sz w:val="20"/>
                <w:szCs w:val="20"/>
                <w:lang w:eastAsia="sk-SK"/>
              </w:rPr>
              <w:t>8 622 641,00</w:t>
            </w:r>
          </w:p>
        </w:tc>
        <w:tc>
          <w:tcPr>
            <w:tcW w:w="1417" w:type="dxa"/>
            <w:tcBorders>
              <w:top w:val="single" w:sz="4" w:space="0" w:color="auto"/>
              <w:left w:val="single" w:sz="4" w:space="0" w:color="auto"/>
              <w:bottom w:val="nil"/>
              <w:right w:val="single" w:sz="4" w:space="0" w:color="auto"/>
            </w:tcBorders>
            <w:noWrap/>
            <w:vAlign w:val="bottom"/>
          </w:tcPr>
          <w:p w:rsidR="00400427" w:rsidRPr="001D55EE" w:rsidRDefault="001D55EE" w:rsidP="001D55EE">
            <w:pPr>
              <w:autoSpaceDE w:val="0"/>
              <w:autoSpaceDN w:val="0"/>
              <w:adjustRightInd w:val="0"/>
              <w:spacing w:after="0" w:line="240" w:lineRule="auto"/>
              <w:jc w:val="right"/>
              <w:rPr>
                <w:rFonts w:ascii="Times New Roman" w:hAnsi="Times New Roman" w:cs="Times New Roman"/>
                <w:sz w:val="20"/>
                <w:szCs w:val="20"/>
                <w:lang w:eastAsia="sk-SK"/>
              </w:rPr>
            </w:pPr>
            <w:r w:rsidRPr="001D55EE">
              <w:rPr>
                <w:rFonts w:ascii="Times New Roman" w:hAnsi="Times New Roman" w:cs="Times New Roman"/>
                <w:sz w:val="20"/>
                <w:szCs w:val="20"/>
                <w:lang w:eastAsia="sk-SK"/>
              </w:rPr>
              <w:t>9 453 295,00</w:t>
            </w:r>
          </w:p>
        </w:tc>
        <w:tc>
          <w:tcPr>
            <w:tcW w:w="1532" w:type="dxa"/>
            <w:tcBorders>
              <w:top w:val="single" w:sz="4" w:space="0" w:color="auto"/>
              <w:left w:val="single" w:sz="4" w:space="0" w:color="auto"/>
              <w:bottom w:val="nil"/>
              <w:right w:val="single" w:sz="4" w:space="0" w:color="auto"/>
            </w:tcBorders>
            <w:noWrap/>
            <w:vAlign w:val="bottom"/>
          </w:tcPr>
          <w:p w:rsidR="00400427" w:rsidRPr="001D55EE" w:rsidRDefault="001D55EE" w:rsidP="001D55EE">
            <w:pPr>
              <w:autoSpaceDE w:val="0"/>
              <w:autoSpaceDN w:val="0"/>
              <w:adjustRightInd w:val="0"/>
              <w:spacing w:after="0" w:line="240" w:lineRule="auto"/>
              <w:jc w:val="right"/>
              <w:rPr>
                <w:rFonts w:ascii="Times New Roman" w:hAnsi="Times New Roman" w:cs="Times New Roman"/>
                <w:sz w:val="20"/>
                <w:szCs w:val="20"/>
                <w:lang w:eastAsia="sk-SK"/>
              </w:rPr>
            </w:pPr>
            <w:r w:rsidRPr="001D55EE">
              <w:rPr>
                <w:rFonts w:ascii="Times New Roman" w:hAnsi="Times New Roman" w:cs="Times New Roman"/>
                <w:sz w:val="20"/>
                <w:szCs w:val="20"/>
                <w:lang w:eastAsia="sk-SK"/>
              </w:rPr>
              <w:t>9 449 157,10</w:t>
            </w:r>
          </w:p>
        </w:tc>
        <w:tc>
          <w:tcPr>
            <w:tcW w:w="796" w:type="dxa"/>
            <w:tcBorders>
              <w:top w:val="single" w:sz="4" w:space="0" w:color="auto"/>
              <w:left w:val="single" w:sz="4" w:space="0" w:color="auto"/>
              <w:bottom w:val="nil"/>
              <w:right w:val="single" w:sz="4" w:space="0" w:color="auto"/>
            </w:tcBorders>
            <w:noWrap/>
            <w:vAlign w:val="bottom"/>
          </w:tcPr>
          <w:p w:rsidR="00400427" w:rsidRPr="00FF1AC7" w:rsidRDefault="00253346" w:rsidP="008D165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99,97</w:t>
            </w:r>
          </w:p>
        </w:tc>
      </w:tr>
      <w:tr w:rsidR="00400427" w:rsidRPr="00FF1AC7" w:rsidTr="00E42519">
        <w:trPr>
          <w:trHeight w:val="255"/>
        </w:trPr>
        <w:tc>
          <w:tcPr>
            <w:tcW w:w="4613" w:type="dxa"/>
            <w:tcBorders>
              <w:top w:val="single" w:sz="4" w:space="0" w:color="auto"/>
              <w:bottom w:val="single" w:sz="8" w:space="0" w:color="auto"/>
              <w:right w:val="single" w:sz="8" w:space="0" w:color="auto"/>
            </w:tcBorders>
            <w:noWrap/>
            <w:vAlign w:val="bottom"/>
          </w:tcPr>
          <w:p w:rsidR="00400427" w:rsidRPr="00FF1AC7" w:rsidRDefault="00400427" w:rsidP="00ED04F6">
            <w:pPr>
              <w:spacing w:after="0" w:line="240" w:lineRule="auto"/>
              <w:ind w:left="574" w:hanging="574"/>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z toho : mzdy, platy, služobné príjmy a ostatné </w:t>
            </w:r>
            <w:r w:rsidR="00ED04F6" w:rsidRPr="00FF1AC7">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osobné vyrovnania aparátu  ústredného orgánu</w:t>
            </w:r>
          </w:p>
        </w:tc>
        <w:tc>
          <w:tcPr>
            <w:tcW w:w="1418" w:type="dxa"/>
            <w:tcBorders>
              <w:top w:val="single" w:sz="4" w:space="0" w:color="auto"/>
              <w:right w:val="single" w:sz="8" w:space="0" w:color="auto"/>
            </w:tcBorders>
            <w:noWrap/>
            <w:vAlign w:val="bottom"/>
          </w:tcPr>
          <w:p w:rsidR="00400427" w:rsidRPr="00FF1AC7" w:rsidRDefault="00E208E1" w:rsidP="00E208E1">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4 662 177</w:t>
            </w:r>
            <w:r w:rsidR="00400427" w:rsidRPr="00FF1AC7">
              <w:rPr>
                <w:rFonts w:ascii="Times New Roman" w:hAnsi="Times New Roman" w:cs="Times New Roman"/>
                <w:sz w:val="20"/>
                <w:szCs w:val="20"/>
                <w:lang w:eastAsia="sk-SK"/>
              </w:rPr>
              <w:t>,00</w:t>
            </w:r>
          </w:p>
        </w:tc>
        <w:tc>
          <w:tcPr>
            <w:tcW w:w="1417" w:type="dxa"/>
            <w:tcBorders>
              <w:top w:val="single" w:sz="4" w:space="0" w:color="auto"/>
              <w:bottom w:val="single" w:sz="8" w:space="0" w:color="auto"/>
              <w:right w:val="single" w:sz="8" w:space="0" w:color="auto"/>
            </w:tcBorders>
            <w:noWrap/>
            <w:vAlign w:val="bottom"/>
          </w:tcPr>
          <w:p w:rsidR="00400427" w:rsidRPr="00FF1AC7" w:rsidRDefault="00253346" w:rsidP="00FF1AC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5</w:t>
            </w:r>
            <w:r w:rsidR="00FF1AC7">
              <w:rPr>
                <w:rFonts w:ascii="Times New Roman" w:hAnsi="Times New Roman" w:cs="Times New Roman"/>
                <w:sz w:val="20"/>
                <w:szCs w:val="20"/>
                <w:lang w:eastAsia="sk-SK"/>
              </w:rPr>
              <w:t> 405 445,00</w:t>
            </w:r>
          </w:p>
        </w:tc>
        <w:tc>
          <w:tcPr>
            <w:tcW w:w="1532" w:type="dxa"/>
            <w:tcBorders>
              <w:top w:val="single" w:sz="4" w:space="0" w:color="auto"/>
              <w:right w:val="single" w:sz="8" w:space="0" w:color="auto"/>
            </w:tcBorders>
            <w:noWrap/>
            <w:vAlign w:val="bottom"/>
          </w:tcPr>
          <w:p w:rsidR="00400427" w:rsidRPr="00FF1AC7" w:rsidRDefault="00253346" w:rsidP="00FF1AC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5</w:t>
            </w:r>
            <w:r w:rsidR="00FF1AC7">
              <w:rPr>
                <w:rFonts w:ascii="Times New Roman" w:hAnsi="Times New Roman" w:cs="Times New Roman"/>
                <w:sz w:val="20"/>
                <w:szCs w:val="20"/>
                <w:lang w:eastAsia="sk-SK"/>
              </w:rPr>
              <w:t> 401 356,77</w:t>
            </w:r>
          </w:p>
        </w:tc>
        <w:tc>
          <w:tcPr>
            <w:tcW w:w="796" w:type="dxa"/>
            <w:tcBorders>
              <w:top w:val="single" w:sz="4" w:space="0" w:color="auto"/>
              <w:bottom w:val="single" w:sz="8" w:space="0" w:color="auto"/>
            </w:tcBorders>
            <w:noWrap/>
            <w:vAlign w:val="bottom"/>
          </w:tcPr>
          <w:p w:rsidR="00400427" w:rsidRPr="00FF1AC7" w:rsidRDefault="00253346" w:rsidP="00F976ED">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99,9</w:t>
            </w:r>
            <w:r w:rsidR="00F976ED">
              <w:rPr>
                <w:rFonts w:ascii="Times New Roman" w:hAnsi="Times New Roman" w:cs="Times New Roman"/>
                <w:sz w:val="20"/>
                <w:szCs w:val="20"/>
                <w:lang w:eastAsia="sk-SK"/>
              </w:rPr>
              <w:t>3</w:t>
            </w:r>
          </w:p>
        </w:tc>
      </w:tr>
      <w:tr w:rsidR="00400427" w:rsidRPr="00FF1AC7" w:rsidTr="00E42519">
        <w:trPr>
          <w:trHeight w:val="255"/>
        </w:trPr>
        <w:tc>
          <w:tcPr>
            <w:tcW w:w="4613" w:type="dxa"/>
            <w:tcBorders>
              <w:top w:val="single" w:sz="8" w:space="0" w:color="auto"/>
              <w:bottom w:val="nil"/>
              <w:right w:val="single" w:sz="4"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Počet zamestnancov rozpočtových organizácií </w:t>
            </w:r>
          </w:p>
        </w:tc>
        <w:tc>
          <w:tcPr>
            <w:tcW w:w="1418" w:type="dxa"/>
            <w:tcBorders>
              <w:top w:val="single" w:sz="4" w:space="0" w:color="auto"/>
              <w:left w:val="single" w:sz="4" w:space="0" w:color="auto"/>
              <w:bottom w:val="nil"/>
              <w:right w:val="single" w:sz="4"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 </w:t>
            </w:r>
          </w:p>
        </w:tc>
        <w:tc>
          <w:tcPr>
            <w:tcW w:w="1417" w:type="dxa"/>
            <w:tcBorders>
              <w:top w:val="single" w:sz="8" w:space="0" w:color="auto"/>
              <w:left w:val="single" w:sz="4" w:space="0" w:color="auto"/>
              <w:bottom w:val="nil"/>
              <w:right w:val="single" w:sz="4"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p>
        </w:tc>
        <w:tc>
          <w:tcPr>
            <w:tcW w:w="1532" w:type="dxa"/>
            <w:tcBorders>
              <w:top w:val="single" w:sz="4" w:space="0" w:color="auto"/>
              <w:left w:val="single" w:sz="4" w:space="0" w:color="auto"/>
              <w:bottom w:val="nil"/>
              <w:right w:val="single" w:sz="4"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p>
        </w:tc>
        <w:tc>
          <w:tcPr>
            <w:tcW w:w="796" w:type="dxa"/>
            <w:tcBorders>
              <w:top w:val="single" w:sz="8" w:space="0" w:color="auto"/>
              <w:left w:val="single" w:sz="4" w:space="0" w:color="auto"/>
              <w:bottom w:val="nil"/>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p>
        </w:tc>
      </w:tr>
      <w:tr w:rsidR="00400427" w:rsidRPr="00FF1AC7" w:rsidTr="00E42519">
        <w:trPr>
          <w:trHeight w:val="255"/>
        </w:trPr>
        <w:tc>
          <w:tcPr>
            <w:tcW w:w="4613" w:type="dxa"/>
            <w:tcBorders>
              <w:top w:val="nil"/>
              <w:left w:val="single" w:sz="4" w:space="0" w:color="auto"/>
              <w:bottom w:val="nil"/>
              <w:right w:val="single" w:sz="4" w:space="0" w:color="auto"/>
            </w:tcBorders>
            <w:noWrap/>
            <w:vAlign w:val="bottom"/>
          </w:tcPr>
          <w:p w:rsidR="00400427" w:rsidRPr="00FF1AC7" w:rsidRDefault="00400427" w:rsidP="00BC1913">
            <w:pPr>
              <w:spacing w:after="0" w:line="240" w:lineRule="auto"/>
              <w:ind w:left="574" w:hanging="574"/>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podľa prílohy č. 1 k uzneseniu vlády SR č. </w:t>
            </w:r>
            <w:r w:rsidR="00BC1913">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5</w:t>
            </w:r>
            <w:r w:rsidR="00E208E1" w:rsidRPr="00FF1AC7">
              <w:rPr>
                <w:rFonts w:ascii="Times New Roman" w:hAnsi="Times New Roman" w:cs="Times New Roman"/>
                <w:sz w:val="20"/>
                <w:szCs w:val="20"/>
                <w:lang w:eastAsia="sk-SK"/>
              </w:rPr>
              <w:t>08</w:t>
            </w:r>
            <w:r w:rsidRPr="00FF1AC7">
              <w:rPr>
                <w:rFonts w:ascii="Times New Roman" w:hAnsi="Times New Roman" w:cs="Times New Roman"/>
                <w:sz w:val="20"/>
                <w:szCs w:val="20"/>
                <w:lang w:eastAsia="sk-SK"/>
              </w:rPr>
              <w:t>/201</w:t>
            </w:r>
            <w:r w:rsidR="00E208E1" w:rsidRPr="00FF1AC7">
              <w:rPr>
                <w:rFonts w:ascii="Times New Roman" w:hAnsi="Times New Roman" w:cs="Times New Roman"/>
                <w:sz w:val="20"/>
                <w:szCs w:val="20"/>
                <w:lang w:eastAsia="sk-SK"/>
              </w:rPr>
              <w:t>4</w:t>
            </w:r>
          </w:p>
        </w:tc>
        <w:tc>
          <w:tcPr>
            <w:tcW w:w="1418" w:type="dxa"/>
            <w:tcBorders>
              <w:top w:val="nil"/>
              <w:left w:val="single" w:sz="4" w:space="0" w:color="auto"/>
              <w:bottom w:val="nil"/>
              <w:right w:val="single" w:sz="4" w:space="0" w:color="auto"/>
            </w:tcBorders>
            <w:noWrap/>
            <w:vAlign w:val="bottom"/>
          </w:tcPr>
          <w:p w:rsidR="00400427" w:rsidRPr="00FF1AC7" w:rsidRDefault="00400427" w:rsidP="00E208E1">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79</w:t>
            </w:r>
            <w:r w:rsidR="00E208E1" w:rsidRPr="00FF1AC7">
              <w:rPr>
                <w:rFonts w:ascii="Times New Roman" w:hAnsi="Times New Roman" w:cs="Times New Roman"/>
                <w:sz w:val="20"/>
                <w:szCs w:val="20"/>
                <w:lang w:eastAsia="sk-SK"/>
              </w:rPr>
              <w:t>8</w:t>
            </w:r>
            <w:r w:rsidRPr="00FF1AC7">
              <w:rPr>
                <w:rFonts w:ascii="Times New Roman" w:hAnsi="Times New Roman" w:cs="Times New Roman"/>
                <w:sz w:val="20"/>
                <w:szCs w:val="20"/>
                <w:lang w:eastAsia="sk-SK"/>
              </w:rPr>
              <w:t>,00</w:t>
            </w:r>
          </w:p>
        </w:tc>
        <w:tc>
          <w:tcPr>
            <w:tcW w:w="1417" w:type="dxa"/>
            <w:tcBorders>
              <w:top w:val="nil"/>
              <w:left w:val="single" w:sz="4" w:space="0" w:color="auto"/>
              <w:bottom w:val="nil"/>
              <w:right w:val="single" w:sz="4" w:space="0" w:color="auto"/>
            </w:tcBorders>
            <w:noWrap/>
            <w:vAlign w:val="bottom"/>
          </w:tcPr>
          <w:p w:rsidR="00400427" w:rsidRPr="00FF1AC7" w:rsidRDefault="005A5B94" w:rsidP="00895C5A">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802</w:t>
            </w:r>
          </w:p>
        </w:tc>
        <w:tc>
          <w:tcPr>
            <w:tcW w:w="1532" w:type="dxa"/>
            <w:tcBorders>
              <w:top w:val="nil"/>
              <w:left w:val="single" w:sz="4" w:space="0" w:color="auto"/>
              <w:bottom w:val="nil"/>
              <w:right w:val="single" w:sz="4" w:space="0" w:color="auto"/>
            </w:tcBorders>
            <w:noWrap/>
            <w:vAlign w:val="bottom"/>
          </w:tcPr>
          <w:p w:rsidR="00400427" w:rsidRPr="00FF1AC7" w:rsidRDefault="005A5B94" w:rsidP="00792253">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77</w:t>
            </w:r>
            <w:r w:rsidR="00792253" w:rsidRPr="00FF1AC7">
              <w:rPr>
                <w:rFonts w:ascii="Times New Roman" w:hAnsi="Times New Roman" w:cs="Times New Roman"/>
                <w:sz w:val="20"/>
                <w:szCs w:val="20"/>
                <w:lang w:eastAsia="sk-SK"/>
              </w:rPr>
              <w:t>4</w:t>
            </w:r>
          </w:p>
        </w:tc>
        <w:tc>
          <w:tcPr>
            <w:tcW w:w="796" w:type="dxa"/>
            <w:tcBorders>
              <w:top w:val="nil"/>
              <w:left w:val="single" w:sz="4" w:space="0" w:color="auto"/>
              <w:bottom w:val="nil"/>
              <w:right w:val="single" w:sz="4" w:space="0" w:color="auto"/>
            </w:tcBorders>
            <w:noWrap/>
            <w:vAlign w:val="bottom"/>
          </w:tcPr>
          <w:p w:rsidR="00603058" w:rsidRPr="00FF1AC7" w:rsidRDefault="00603058" w:rsidP="00792253">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w:t>
            </w:r>
            <w:r w:rsidR="00792253" w:rsidRPr="00FF1AC7">
              <w:rPr>
                <w:rFonts w:ascii="Times New Roman" w:hAnsi="Times New Roman" w:cs="Times New Roman"/>
                <w:sz w:val="20"/>
                <w:szCs w:val="20"/>
                <w:lang w:eastAsia="sk-SK"/>
              </w:rPr>
              <w:t>6,51</w:t>
            </w:r>
          </w:p>
        </w:tc>
      </w:tr>
      <w:tr w:rsidR="00400427" w:rsidRPr="00FF1AC7" w:rsidTr="00E42519">
        <w:trPr>
          <w:trHeight w:val="255"/>
        </w:trPr>
        <w:tc>
          <w:tcPr>
            <w:tcW w:w="4613" w:type="dxa"/>
            <w:tcBorders>
              <w:top w:val="nil"/>
              <w:bottom w:val="single" w:sz="8" w:space="0" w:color="auto"/>
              <w:right w:val="single" w:sz="4"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z toho : aparát ústredného orgánu</w:t>
            </w:r>
          </w:p>
        </w:tc>
        <w:tc>
          <w:tcPr>
            <w:tcW w:w="1418" w:type="dxa"/>
            <w:tcBorders>
              <w:top w:val="nil"/>
              <w:left w:val="single" w:sz="4" w:space="0" w:color="auto"/>
              <w:right w:val="single" w:sz="4" w:space="0" w:color="auto"/>
            </w:tcBorders>
            <w:noWrap/>
            <w:vAlign w:val="bottom"/>
          </w:tcPr>
          <w:p w:rsidR="00400427" w:rsidRPr="00FF1AC7" w:rsidRDefault="00400427" w:rsidP="00E208E1">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w:t>
            </w:r>
            <w:r w:rsidR="00E208E1" w:rsidRPr="00FF1AC7">
              <w:rPr>
                <w:rFonts w:ascii="Times New Roman" w:hAnsi="Times New Roman" w:cs="Times New Roman"/>
                <w:sz w:val="20"/>
                <w:szCs w:val="20"/>
                <w:lang w:eastAsia="sk-SK"/>
              </w:rPr>
              <w:t>23</w:t>
            </w:r>
            <w:r w:rsidRPr="00FF1AC7">
              <w:rPr>
                <w:rFonts w:ascii="Times New Roman" w:hAnsi="Times New Roman" w:cs="Times New Roman"/>
                <w:sz w:val="20"/>
                <w:szCs w:val="20"/>
                <w:lang w:eastAsia="sk-SK"/>
              </w:rPr>
              <w:t>,00</w:t>
            </w:r>
          </w:p>
        </w:tc>
        <w:tc>
          <w:tcPr>
            <w:tcW w:w="1417" w:type="dxa"/>
            <w:tcBorders>
              <w:top w:val="nil"/>
              <w:left w:val="single" w:sz="4" w:space="0" w:color="auto"/>
              <w:bottom w:val="single" w:sz="8" w:space="0" w:color="auto"/>
              <w:right w:val="single" w:sz="4" w:space="0" w:color="auto"/>
            </w:tcBorders>
            <w:noWrap/>
            <w:vAlign w:val="bottom"/>
          </w:tcPr>
          <w:p w:rsidR="00400427" w:rsidRPr="00FF1AC7" w:rsidRDefault="005A5B94" w:rsidP="00895C5A">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427</w:t>
            </w:r>
          </w:p>
        </w:tc>
        <w:tc>
          <w:tcPr>
            <w:tcW w:w="1532" w:type="dxa"/>
            <w:tcBorders>
              <w:top w:val="nil"/>
              <w:left w:val="single" w:sz="4" w:space="0" w:color="auto"/>
              <w:right w:val="single" w:sz="4" w:space="0" w:color="auto"/>
            </w:tcBorders>
            <w:noWrap/>
            <w:vAlign w:val="bottom"/>
          </w:tcPr>
          <w:p w:rsidR="00400427" w:rsidRPr="00FF1AC7" w:rsidRDefault="005A5B94" w:rsidP="00895C5A">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409</w:t>
            </w:r>
          </w:p>
        </w:tc>
        <w:tc>
          <w:tcPr>
            <w:tcW w:w="796" w:type="dxa"/>
            <w:tcBorders>
              <w:top w:val="nil"/>
              <w:left w:val="single" w:sz="4" w:space="0" w:color="auto"/>
              <w:bottom w:val="single" w:sz="8" w:space="0" w:color="auto"/>
            </w:tcBorders>
            <w:noWrap/>
            <w:vAlign w:val="bottom"/>
          </w:tcPr>
          <w:p w:rsidR="00400427" w:rsidRPr="00FF1AC7" w:rsidRDefault="00603058"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95,78</w:t>
            </w:r>
          </w:p>
        </w:tc>
      </w:tr>
      <w:tr w:rsidR="00400427" w:rsidRPr="00FF1AC7" w:rsidTr="00E42519">
        <w:trPr>
          <w:trHeight w:val="255"/>
        </w:trPr>
        <w:tc>
          <w:tcPr>
            <w:tcW w:w="4613" w:type="dxa"/>
            <w:tcBorders>
              <w:top w:val="single" w:sz="8" w:space="0" w:color="auto"/>
              <w:bottom w:val="nil"/>
              <w:right w:val="single" w:sz="4" w:space="0" w:color="auto"/>
            </w:tcBorders>
            <w:noWrap/>
            <w:vAlign w:val="bottom"/>
          </w:tcPr>
          <w:p w:rsidR="00400427" w:rsidRPr="00FF1AC7" w:rsidRDefault="00400427" w:rsidP="00C41A95">
            <w:pPr>
              <w:numPr>
                <w:ilvl w:val="0"/>
                <w:numId w:val="10"/>
              </w:num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kapitálové výdavky (700) (bez prostriedkov </w:t>
            </w:r>
            <w:r w:rsidR="00025900">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na spolufinancovanie)</w:t>
            </w:r>
          </w:p>
        </w:tc>
        <w:tc>
          <w:tcPr>
            <w:tcW w:w="1418" w:type="dxa"/>
            <w:tcBorders>
              <w:top w:val="single" w:sz="4" w:space="0" w:color="auto"/>
              <w:left w:val="single" w:sz="4" w:space="0" w:color="auto"/>
              <w:bottom w:val="nil"/>
              <w:right w:val="single" w:sz="4" w:space="0" w:color="auto"/>
            </w:tcBorders>
            <w:noWrap/>
            <w:vAlign w:val="bottom"/>
          </w:tcPr>
          <w:p w:rsidR="00400427" w:rsidRPr="00FF1AC7" w:rsidRDefault="00E208E1" w:rsidP="00E208E1">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2 021 375</w:t>
            </w:r>
            <w:r w:rsidR="00400427" w:rsidRPr="00FF1AC7">
              <w:rPr>
                <w:rFonts w:ascii="Times New Roman" w:hAnsi="Times New Roman" w:cs="Times New Roman"/>
                <w:sz w:val="20"/>
                <w:szCs w:val="20"/>
                <w:lang w:eastAsia="sk-SK"/>
              </w:rPr>
              <w:t>,00</w:t>
            </w:r>
          </w:p>
        </w:tc>
        <w:tc>
          <w:tcPr>
            <w:tcW w:w="1417" w:type="dxa"/>
            <w:tcBorders>
              <w:top w:val="single" w:sz="8" w:space="0" w:color="auto"/>
              <w:left w:val="single" w:sz="4" w:space="0" w:color="auto"/>
              <w:bottom w:val="nil"/>
              <w:right w:val="single" w:sz="4" w:space="0" w:color="auto"/>
            </w:tcBorders>
            <w:noWrap/>
            <w:vAlign w:val="bottom"/>
          </w:tcPr>
          <w:p w:rsidR="00400427" w:rsidRPr="00FF1AC7" w:rsidRDefault="00025900" w:rsidP="00700C09">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14 541 756,26</w:t>
            </w:r>
          </w:p>
        </w:tc>
        <w:tc>
          <w:tcPr>
            <w:tcW w:w="1532" w:type="dxa"/>
            <w:tcBorders>
              <w:top w:val="single" w:sz="4" w:space="0" w:color="auto"/>
              <w:left w:val="single" w:sz="4" w:space="0" w:color="auto"/>
              <w:bottom w:val="nil"/>
              <w:right w:val="single" w:sz="4" w:space="0" w:color="auto"/>
            </w:tcBorders>
            <w:noWrap/>
            <w:vAlign w:val="bottom"/>
          </w:tcPr>
          <w:p w:rsidR="00400427" w:rsidRPr="00FF1AC7" w:rsidRDefault="00025900" w:rsidP="00D73A89">
            <w:pPr>
              <w:autoSpaceDE w:val="0"/>
              <w:autoSpaceDN w:val="0"/>
              <w:adjustRightInd w:val="0"/>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14 541 162,13</w:t>
            </w:r>
          </w:p>
        </w:tc>
        <w:tc>
          <w:tcPr>
            <w:tcW w:w="796" w:type="dxa"/>
            <w:tcBorders>
              <w:top w:val="single" w:sz="8" w:space="0" w:color="auto"/>
              <w:left w:val="single" w:sz="4" w:space="0" w:color="auto"/>
              <w:bottom w:val="nil"/>
            </w:tcBorders>
            <w:noWrap/>
            <w:vAlign w:val="bottom"/>
          </w:tcPr>
          <w:p w:rsidR="00400427" w:rsidRPr="00FF1AC7" w:rsidRDefault="00025900" w:rsidP="00F07752">
            <w:pPr>
              <w:spacing w:after="0" w:line="240" w:lineRule="auto"/>
              <w:jc w:val="right"/>
              <w:rPr>
                <w:rFonts w:ascii="Times New Roman" w:hAnsi="Times New Roman" w:cs="Times New Roman"/>
                <w:sz w:val="20"/>
                <w:szCs w:val="20"/>
                <w:lang w:eastAsia="sk-SK"/>
              </w:rPr>
            </w:pPr>
            <w:r>
              <w:rPr>
                <w:rFonts w:ascii="Times New Roman" w:hAnsi="Times New Roman" w:cs="Times New Roman"/>
                <w:sz w:val="20"/>
                <w:szCs w:val="20"/>
                <w:lang w:eastAsia="sk-SK"/>
              </w:rPr>
              <w:t>99,99</w:t>
            </w:r>
          </w:p>
        </w:tc>
      </w:tr>
      <w:tr w:rsidR="00400427" w:rsidRPr="00FF1AC7" w:rsidTr="00E42519">
        <w:trPr>
          <w:trHeight w:val="255"/>
        </w:trPr>
        <w:tc>
          <w:tcPr>
            <w:tcW w:w="4613" w:type="dxa"/>
            <w:tcBorders>
              <w:top w:val="nil"/>
              <w:left w:val="single" w:sz="4" w:space="0" w:color="auto"/>
              <w:bottom w:val="single" w:sz="4" w:space="0" w:color="auto"/>
              <w:right w:val="single" w:sz="4"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            z toho : kód zdroja 111</w:t>
            </w:r>
          </w:p>
        </w:tc>
        <w:tc>
          <w:tcPr>
            <w:tcW w:w="1418" w:type="dxa"/>
            <w:tcBorders>
              <w:top w:val="nil"/>
              <w:left w:val="single" w:sz="4" w:space="0" w:color="auto"/>
              <w:bottom w:val="single" w:sz="4" w:space="0" w:color="auto"/>
              <w:right w:val="single" w:sz="4" w:space="0" w:color="auto"/>
            </w:tcBorders>
            <w:noWrap/>
            <w:vAlign w:val="bottom"/>
          </w:tcPr>
          <w:p w:rsidR="00400427" w:rsidRPr="00FF1AC7" w:rsidRDefault="00E208E1" w:rsidP="00E208E1">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2 021 375</w:t>
            </w:r>
            <w:r w:rsidR="00400427" w:rsidRPr="00FF1AC7">
              <w:rPr>
                <w:rFonts w:ascii="Times New Roman" w:hAnsi="Times New Roman" w:cs="Times New Roman"/>
                <w:sz w:val="20"/>
                <w:szCs w:val="20"/>
                <w:lang w:eastAsia="sk-SK"/>
              </w:rPr>
              <w:t>,00</w:t>
            </w:r>
          </w:p>
        </w:tc>
        <w:tc>
          <w:tcPr>
            <w:tcW w:w="1417" w:type="dxa"/>
            <w:tcBorders>
              <w:top w:val="nil"/>
              <w:left w:val="single" w:sz="4" w:space="0" w:color="auto"/>
              <w:bottom w:val="single" w:sz="4" w:space="0" w:color="auto"/>
              <w:right w:val="single" w:sz="4" w:space="0" w:color="auto"/>
            </w:tcBorders>
            <w:noWrap/>
            <w:vAlign w:val="bottom"/>
          </w:tcPr>
          <w:p w:rsidR="00400427" w:rsidRPr="00FF1AC7" w:rsidRDefault="00253346" w:rsidP="005A5B94">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3 676 098,87</w:t>
            </w:r>
          </w:p>
        </w:tc>
        <w:tc>
          <w:tcPr>
            <w:tcW w:w="1532" w:type="dxa"/>
            <w:tcBorders>
              <w:top w:val="nil"/>
              <w:left w:val="single" w:sz="4" w:space="0" w:color="auto"/>
              <w:bottom w:val="single" w:sz="4" w:space="0" w:color="auto"/>
              <w:right w:val="single" w:sz="4" w:space="0" w:color="auto"/>
            </w:tcBorders>
            <w:noWrap/>
            <w:vAlign w:val="bottom"/>
          </w:tcPr>
          <w:p w:rsidR="00400427" w:rsidRPr="00FF1AC7" w:rsidRDefault="00253346" w:rsidP="005A5B94">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3 675 504,74</w:t>
            </w:r>
          </w:p>
        </w:tc>
        <w:tc>
          <w:tcPr>
            <w:tcW w:w="796" w:type="dxa"/>
            <w:tcBorders>
              <w:top w:val="nil"/>
              <w:left w:val="single" w:sz="4" w:space="0" w:color="auto"/>
              <w:bottom w:val="single" w:sz="4" w:space="0" w:color="auto"/>
              <w:right w:val="single" w:sz="4" w:space="0" w:color="auto"/>
            </w:tcBorders>
            <w:noWrap/>
            <w:vAlign w:val="bottom"/>
          </w:tcPr>
          <w:p w:rsidR="00400427" w:rsidRPr="00FF1AC7" w:rsidRDefault="00253346"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99,99</w:t>
            </w:r>
          </w:p>
        </w:tc>
      </w:tr>
      <w:tr w:rsidR="00400427" w:rsidRPr="00FF1AC7" w:rsidTr="00E42519">
        <w:trPr>
          <w:trHeight w:val="255"/>
        </w:trPr>
        <w:tc>
          <w:tcPr>
            <w:tcW w:w="4613" w:type="dxa"/>
            <w:tcBorders>
              <w:top w:val="single" w:sz="4" w:space="0" w:color="auto"/>
              <w:bottom w:val="single" w:sz="4" w:space="0" w:color="auto"/>
              <w:right w:val="single" w:sz="4" w:space="0" w:color="auto"/>
            </w:tcBorders>
            <w:noWrap/>
            <w:vAlign w:val="bottom"/>
          </w:tcPr>
          <w:p w:rsidR="00400427" w:rsidRPr="00FF1AC7" w:rsidRDefault="00400427" w:rsidP="003B2372">
            <w:pPr>
              <w:spacing w:after="0" w:line="240" w:lineRule="auto"/>
              <w:rPr>
                <w:rFonts w:ascii="Times New Roman" w:hAnsi="Times New Roman" w:cs="Times New Roman"/>
                <w:b/>
                <w:bCs/>
                <w:sz w:val="20"/>
                <w:szCs w:val="20"/>
                <w:lang w:eastAsia="sk-SK"/>
              </w:rPr>
            </w:pPr>
          </w:p>
        </w:tc>
        <w:tc>
          <w:tcPr>
            <w:tcW w:w="1418"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b/>
                <w:bCs/>
                <w:sz w:val="20"/>
                <w:szCs w:val="20"/>
                <w:lang w:eastAsia="sk-SK"/>
              </w:rPr>
            </w:pPr>
          </w:p>
        </w:tc>
        <w:tc>
          <w:tcPr>
            <w:tcW w:w="1417"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D85756">
            <w:pPr>
              <w:spacing w:after="0" w:line="240" w:lineRule="auto"/>
              <w:jc w:val="right"/>
              <w:rPr>
                <w:rFonts w:ascii="Times New Roman" w:hAnsi="Times New Roman" w:cs="Times New Roman"/>
                <w:b/>
                <w:bCs/>
                <w:sz w:val="20"/>
                <w:szCs w:val="20"/>
                <w:lang w:eastAsia="sk-SK"/>
              </w:rPr>
            </w:pPr>
          </w:p>
        </w:tc>
        <w:tc>
          <w:tcPr>
            <w:tcW w:w="1532"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400427" w:rsidP="00D85756">
            <w:pPr>
              <w:spacing w:after="0" w:line="240" w:lineRule="auto"/>
              <w:jc w:val="right"/>
              <w:rPr>
                <w:rFonts w:ascii="Times New Roman" w:hAnsi="Times New Roman" w:cs="Times New Roman"/>
                <w:b/>
                <w:bCs/>
                <w:sz w:val="20"/>
                <w:szCs w:val="20"/>
                <w:lang w:eastAsia="sk-SK"/>
              </w:rPr>
            </w:pPr>
          </w:p>
        </w:tc>
        <w:tc>
          <w:tcPr>
            <w:tcW w:w="796" w:type="dxa"/>
            <w:tcBorders>
              <w:top w:val="single" w:sz="4" w:space="0" w:color="auto"/>
              <w:left w:val="single" w:sz="4" w:space="0" w:color="auto"/>
              <w:bottom w:val="single" w:sz="4" w:space="0" w:color="auto"/>
            </w:tcBorders>
            <w:noWrap/>
            <w:vAlign w:val="bottom"/>
          </w:tcPr>
          <w:p w:rsidR="00400427" w:rsidRPr="00FF1AC7" w:rsidRDefault="00400427" w:rsidP="003B2372">
            <w:pPr>
              <w:spacing w:after="0" w:line="240" w:lineRule="auto"/>
              <w:jc w:val="right"/>
              <w:rPr>
                <w:rFonts w:ascii="Times New Roman" w:hAnsi="Times New Roman" w:cs="Times New Roman"/>
                <w:b/>
                <w:bCs/>
                <w:sz w:val="20"/>
                <w:szCs w:val="20"/>
                <w:lang w:eastAsia="sk-SK"/>
              </w:rPr>
            </w:pPr>
          </w:p>
        </w:tc>
      </w:tr>
      <w:tr w:rsidR="00400427" w:rsidRPr="00FF1AC7" w:rsidTr="00E42519">
        <w:trPr>
          <w:trHeight w:val="255"/>
        </w:trPr>
        <w:tc>
          <w:tcPr>
            <w:tcW w:w="4613"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FF1AC7" w:rsidP="00FF1AC7">
            <w:pPr>
              <w:spacing w:after="0" w:line="240" w:lineRule="auto"/>
              <w:ind w:left="290" w:hanging="284"/>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III</w:t>
            </w:r>
            <w:r w:rsidR="00400427" w:rsidRPr="00FF1AC7">
              <w:rPr>
                <w:rFonts w:ascii="Times New Roman" w:hAnsi="Times New Roman" w:cs="Times New Roman"/>
                <w:b/>
                <w:bCs/>
                <w:sz w:val="20"/>
                <w:szCs w:val="20"/>
                <w:lang w:eastAsia="sk-SK"/>
              </w:rPr>
              <w:t>. Výdavky štátneho rozpočtu na realizáciu programov na   rok 201</w:t>
            </w:r>
            <w:r w:rsidR="002F141A" w:rsidRPr="00FF1AC7">
              <w:rPr>
                <w:rFonts w:ascii="Times New Roman" w:hAnsi="Times New Roman" w:cs="Times New Roman"/>
                <w:b/>
                <w:bCs/>
                <w:sz w:val="20"/>
                <w:szCs w:val="20"/>
                <w:lang w:eastAsia="sk-SK"/>
              </w:rPr>
              <w:t>5</w:t>
            </w:r>
            <w:r w:rsidR="00400427" w:rsidRPr="00FF1AC7">
              <w:rPr>
                <w:rFonts w:ascii="Times New Roman" w:hAnsi="Times New Roman" w:cs="Times New Roman"/>
                <w:b/>
                <w:bCs/>
                <w:sz w:val="20"/>
                <w:szCs w:val="20"/>
                <w:lang w:eastAsia="sk-SK"/>
              </w:rPr>
              <w:t xml:space="preserve"> (z Prílohy č. 2) :</w:t>
            </w:r>
          </w:p>
        </w:tc>
        <w:tc>
          <w:tcPr>
            <w:tcW w:w="1418"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2F141A" w:rsidP="007B5ACE">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298 270 138,00</w:t>
            </w:r>
          </w:p>
        </w:tc>
        <w:tc>
          <w:tcPr>
            <w:tcW w:w="1417"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986D90" w:rsidP="00986D90">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b/>
                <w:bCs/>
                <w:sz w:val="20"/>
                <w:szCs w:val="20"/>
                <w:lang w:eastAsia="sk-SK"/>
              </w:rPr>
              <w:t>441 217 548,62</w:t>
            </w:r>
          </w:p>
        </w:tc>
        <w:tc>
          <w:tcPr>
            <w:tcW w:w="1532"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986D90" w:rsidP="006D7528">
            <w:pPr>
              <w:spacing w:after="0" w:line="240" w:lineRule="auto"/>
              <w:jc w:val="right"/>
              <w:rPr>
                <w:rFonts w:ascii="Times New Roman" w:hAnsi="Times New Roman" w:cs="Times New Roman"/>
                <w:b/>
                <w:sz w:val="20"/>
                <w:szCs w:val="20"/>
                <w:lang w:eastAsia="sk-SK"/>
              </w:rPr>
            </w:pPr>
            <w:r w:rsidRPr="00FF1AC7">
              <w:rPr>
                <w:rFonts w:ascii="Times New Roman" w:hAnsi="Times New Roman" w:cs="Times New Roman"/>
                <w:b/>
                <w:sz w:val="20"/>
                <w:szCs w:val="20"/>
                <w:lang w:eastAsia="sk-SK"/>
              </w:rPr>
              <w:t>441 077 675,37</w:t>
            </w:r>
          </w:p>
        </w:tc>
        <w:tc>
          <w:tcPr>
            <w:tcW w:w="796" w:type="dxa"/>
            <w:tcBorders>
              <w:top w:val="single" w:sz="4" w:space="0" w:color="auto"/>
              <w:left w:val="single" w:sz="4" w:space="0" w:color="auto"/>
              <w:bottom w:val="single" w:sz="4" w:space="0" w:color="auto"/>
              <w:right w:val="single" w:sz="4" w:space="0" w:color="auto"/>
            </w:tcBorders>
            <w:noWrap/>
            <w:vAlign w:val="bottom"/>
          </w:tcPr>
          <w:p w:rsidR="00400427" w:rsidRPr="00FF1AC7" w:rsidRDefault="00986D90" w:rsidP="006D7528">
            <w:pPr>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99,97</w:t>
            </w:r>
          </w:p>
        </w:tc>
      </w:tr>
      <w:tr w:rsidR="00400427" w:rsidRPr="00FF1AC7" w:rsidTr="00E42519">
        <w:trPr>
          <w:trHeight w:val="255"/>
        </w:trPr>
        <w:tc>
          <w:tcPr>
            <w:tcW w:w="4613" w:type="dxa"/>
            <w:tcBorders>
              <w:top w:val="single" w:sz="4" w:space="0" w:color="auto"/>
              <w:bottom w:val="single" w:sz="8" w:space="0" w:color="auto"/>
              <w:right w:val="single" w:sz="8" w:space="0" w:color="auto"/>
            </w:tcBorders>
            <w:noWrap/>
            <w:vAlign w:val="bottom"/>
          </w:tcPr>
          <w:p w:rsidR="00400427" w:rsidRPr="00FF1AC7" w:rsidRDefault="00400427"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07K Rozvoj priemyslu a podpora podnikania</w:t>
            </w:r>
          </w:p>
        </w:tc>
        <w:tc>
          <w:tcPr>
            <w:tcW w:w="1418" w:type="dxa"/>
            <w:tcBorders>
              <w:top w:val="single" w:sz="4" w:space="0" w:color="auto"/>
              <w:right w:val="single" w:sz="8" w:space="0" w:color="auto"/>
            </w:tcBorders>
            <w:noWrap/>
            <w:vAlign w:val="bottom"/>
          </w:tcPr>
          <w:p w:rsidR="00400427" w:rsidRPr="00FF1AC7" w:rsidRDefault="002F141A" w:rsidP="007B5ACE">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204 086 534</w:t>
            </w:r>
            <w:r w:rsidR="00400427" w:rsidRPr="00FF1AC7">
              <w:rPr>
                <w:rFonts w:ascii="Times New Roman" w:hAnsi="Times New Roman" w:cs="Times New Roman"/>
                <w:b/>
                <w:bCs/>
                <w:sz w:val="20"/>
                <w:szCs w:val="20"/>
                <w:lang w:eastAsia="sk-SK"/>
              </w:rPr>
              <w:t>,00</w:t>
            </w:r>
          </w:p>
        </w:tc>
        <w:tc>
          <w:tcPr>
            <w:tcW w:w="1417" w:type="dxa"/>
            <w:tcBorders>
              <w:top w:val="single" w:sz="4" w:space="0" w:color="auto"/>
              <w:bottom w:val="single" w:sz="8" w:space="0" w:color="auto"/>
              <w:right w:val="single" w:sz="8" w:space="0" w:color="auto"/>
            </w:tcBorders>
            <w:noWrap/>
            <w:vAlign w:val="bottom"/>
          </w:tcPr>
          <w:p w:rsidR="00400427" w:rsidRPr="00FF1AC7" w:rsidRDefault="00CC174D" w:rsidP="00CC174D">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399 959 426,54</w:t>
            </w:r>
          </w:p>
        </w:tc>
        <w:tc>
          <w:tcPr>
            <w:tcW w:w="1532" w:type="dxa"/>
            <w:tcBorders>
              <w:top w:val="single" w:sz="4" w:space="0" w:color="auto"/>
              <w:bottom w:val="single" w:sz="8" w:space="0" w:color="auto"/>
              <w:right w:val="single" w:sz="8" w:space="0" w:color="auto"/>
            </w:tcBorders>
            <w:noWrap/>
            <w:vAlign w:val="bottom"/>
          </w:tcPr>
          <w:p w:rsidR="00400427" w:rsidRPr="00FF1AC7" w:rsidRDefault="00CC174D" w:rsidP="00CC174D">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399 941 140,43</w:t>
            </w:r>
          </w:p>
        </w:tc>
        <w:tc>
          <w:tcPr>
            <w:tcW w:w="796" w:type="dxa"/>
            <w:tcBorders>
              <w:top w:val="single" w:sz="4" w:space="0" w:color="auto"/>
              <w:bottom w:val="single" w:sz="8" w:space="0" w:color="auto"/>
            </w:tcBorders>
            <w:noWrap/>
            <w:vAlign w:val="bottom"/>
          </w:tcPr>
          <w:p w:rsidR="00400427" w:rsidRPr="00FF1AC7" w:rsidRDefault="00CC174D" w:rsidP="003B2372">
            <w:pPr>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99,99</w:t>
            </w:r>
          </w:p>
        </w:tc>
      </w:tr>
      <w:tr w:rsidR="00400427" w:rsidRPr="00FF1AC7" w:rsidTr="00E42519">
        <w:trPr>
          <w:trHeight w:val="255"/>
        </w:trPr>
        <w:tc>
          <w:tcPr>
            <w:tcW w:w="4613" w:type="dxa"/>
            <w:tcBorders>
              <w:top w:val="single" w:sz="8" w:space="0" w:color="auto"/>
              <w:right w:val="single" w:sz="8" w:space="0" w:color="auto"/>
            </w:tcBorders>
            <w:noWrap/>
            <w:vAlign w:val="bottom"/>
          </w:tcPr>
          <w:p w:rsidR="00400427" w:rsidRPr="00FF1AC7" w:rsidRDefault="00CC43AA" w:rsidP="003B2372">
            <w:pPr>
              <w:spacing w:after="0" w:line="240" w:lineRule="auto"/>
              <w:rPr>
                <w:rFonts w:ascii="Times New Roman" w:hAnsi="Times New Roman" w:cs="Times New Roman"/>
                <w:sz w:val="20"/>
                <w:szCs w:val="20"/>
                <w:lang w:eastAsia="sk-SK"/>
              </w:rPr>
            </w:pPr>
            <w:proofErr w:type="spellStart"/>
            <w:r w:rsidRPr="00FF1AC7">
              <w:rPr>
                <w:rFonts w:ascii="Times New Roman" w:hAnsi="Times New Roman" w:cs="Times New Roman"/>
                <w:sz w:val="20"/>
                <w:szCs w:val="20"/>
                <w:lang w:eastAsia="sk-SK"/>
              </w:rPr>
              <w:t>07K010F</w:t>
            </w:r>
            <w:proofErr w:type="spellEnd"/>
            <w:r w:rsidRPr="00FF1AC7">
              <w:rPr>
                <w:rFonts w:ascii="Times New Roman" w:hAnsi="Times New Roman" w:cs="Times New Roman"/>
                <w:sz w:val="20"/>
                <w:szCs w:val="20"/>
                <w:lang w:eastAsia="sk-SK"/>
              </w:rPr>
              <w:t xml:space="preserve"> </w:t>
            </w:r>
            <w:r w:rsidR="00400427" w:rsidRPr="00FF1AC7">
              <w:rPr>
                <w:rFonts w:ascii="Times New Roman" w:hAnsi="Times New Roman" w:cs="Times New Roman"/>
                <w:sz w:val="20"/>
                <w:szCs w:val="20"/>
                <w:lang w:eastAsia="sk-SK"/>
              </w:rPr>
              <w:t>Podpora útlmu rudného baníctva</w:t>
            </w:r>
          </w:p>
        </w:tc>
        <w:tc>
          <w:tcPr>
            <w:tcW w:w="1418" w:type="dxa"/>
            <w:tcBorders>
              <w:top w:val="single" w:sz="4" w:space="0" w:color="auto"/>
              <w:right w:val="single" w:sz="8"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1 711 000,00</w:t>
            </w:r>
          </w:p>
        </w:tc>
        <w:tc>
          <w:tcPr>
            <w:tcW w:w="1417" w:type="dxa"/>
            <w:tcBorders>
              <w:top w:val="single" w:sz="8" w:space="0" w:color="auto"/>
              <w:right w:val="single" w:sz="8" w:space="0" w:color="auto"/>
            </w:tcBorders>
            <w:noWrap/>
            <w:vAlign w:val="bottom"/>
          </w:tcPr>
          <w:p w:rsidR="00400427" w:rsidRPr="00FF1AC7" w:rsidRDefault="00CC174D" w:rsidP="00986D9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1 561 000,00</w:t>
            </w:r>
          </w:p>
        </w:tc>
        <w:tc>
          <w:tcPr>
            <w:tcW w:w="1532" w:type="dxa"/>
            <w:tcBorders>
              <w:top w:val="single" w:sz="8" w:space="0" w:color="auto"/>
              <w:right w:val="single" w:sz="8" w:space="0" w:color="auto"/>
            </w:tcBorders>
            <w:noWrap/>
            <w:vAlign w:val="bottom"/>
          </w:tcPr>
          <w:p w:rsidR="00400427" w:rsidRPr="00FF1AC7" w:rsidRDefault="00CC174D" w:rsidP="00986D9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1 561 000,00</w:t>
            </w:r>
          </w:p>
        </w:tc>
        <w:tc>
          <w:tcPr>
            <w:tcW w:w="796" w:type="dxa"/>
            <w:tcBorders>
              <w:top w:val="single" w:sz="8" w:space="0" w:color="auto"/>
            </w:tcBorders>
            <w:noWrap/>
            <w:vAlign w:val="bottom"/>
          </w:tcPr>
          <w:p w:rsidR="00400427" w:rsidRPr="00FF1AC7" w:rsidRDefault="00CC174D"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100,00</w:t>
            </w:r>
          </w:p>
        </w:tc>
      </w:tr>
      <w:tr w:rsidR="00CC43AA" w:rsidRPr="00FF1AC7" w:rsidTr="00E42519">
        <w:trPr>
          <w:trHeight w:val="255"/>
        </w:trPr>
        <w:tc>
          <w:tcPr>
            <w:tcW w:w="4613" w:type="dxa"/>
            <w:tcBorders>
              <w:top w:val="single" w:sz="4" w:space="0" w:color="auto"/>
              <w:right w:val="single" w:sz="8" w:space="0" w:color="auto"/>
            </w:tcBorders>
            <w:noWrap/>
            <w:vAlign w:val="bottom"/>
          </w:tcPr>
          <w:p w:rsidR="00CC43AA" w:rsidRPr="00FF1AC7" w:rsidRDefault="00CC43AA" w:rsidP="00CC43AA">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07K0115  Národný jadrový fond</w:t>
            </w:r>
          </w:p>
        </w:tc>
        <w:tc>
          <w:tcPr>
            <w:tcW w:w="1418" w:type="dxa"/>
            <w:tcBorders>
              <w:top w:val="single" w:sz="4" w:space="0" w:color="auto"/>
              <w:right w:val="single" w:sz="8" w:space="0" w:color="auto"/>
            </w:tcBorders>
            <w:noWrap/>
            <w:vAlign w:val="bottom"/>
          </w:tcPr>
          <w:p w:rsidR="00CC43AA" w:rsidRPr="00FF1AC7" w:rsidRDefault="00CC43AA" w:rsidP="00D31BF6">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366 000,00</w:t>
            </w:r>
          </w:p>
        </w:tc>
        <w:tc>
          <w:tcPr>
            <w:tcW w:w="1417" w:type="dxa"/>
            <w:tcBorders>
              <w:top w:val="single" w:sz="4" w:space="0" w:color="auto"/>
              <w:right w:val="single" w:sz="8" w:space="0" w:color="auto"/>
            </w:tcBorders>
            <w:noWrap/>
            <w:vAlign w:val="bottom"/>
          </w:tcPr>
          <w:p w:rsidR="00CC43AA" w:rsidRPr="00FF1AC7" w:rsidRDefault="00A0210D"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151 000,00</w:t>
            </w:r>
          </w:p>
        </w:tc>
        <w:tc>
          <w:tcPr>
            <w:tcW w:w="1532" w:type="dxa"/>
            <w:tcBorders>
              <w:top w:val="single" w:sz="4" w:space="0" w:color="auto"/>
              <w:right w:val="single" w:sz="8" w:space="0" w:color="auto"/>
            </w:tcBorders>
            <w:noWrap/>
            <w:vAlign w:val="bottom"/>
          </w:tcPr>
          <w:p w:rsidR="00CC43AA" w:rsidRPr="00FF1AC7" w:rsidRDefault="00A0210D" w:rsidP="00986D9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146 520,94</w:t>
            </w:r>
          </w:p>
        </w:tc>
        <w:tc>
          <w:tcPr>
            <w:tcW w:w="796" w:type="dxa"/>
            <w:tcBorders>
              <w:top w:val="single" w:sz="4" w:space="0" w:color="auto"/>
            </w:tcBorders>
            <w:noWrap/>
            <w:vAlign w:val="bottom"/>
          </w:tcPr>
          <w:p w:rsidR="00CC43AA" w:rsidRPr="00FF1AC7" w:rsidRDefault="00A0210D" w:rsidP="00D31BF6">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97,04</w:t>
            </w:r>
          </w:p>
        </w:tc>
      </w:tr>
      <w:tr w:rsidR="00CC43AA" w:rsidRPr="00FF1AC7" w:rsidTr="00E42519">
        <w:trPr>
          <w:trHeight w:val="255"/>
        </w:trPr>
        <w:tc>
          <w:tcPr>
            <w:tcW w:w="4613" w:type="dxa"/>
            <w:tcBorders>
              <w:top w:val="single" w:sz="4" w:space="0" w:color="auto"/>
              <w:right w:val="single" w:sz="8" w:space="0" w:color="auto"/>
            </w:tcBorders>
            <w:noWrap/>
            <w:vAlign w:val="bottom"/>
          </w:tcPr>
          <w:p w:rsidR="00CC43AA" w:rsidRPr="00FF1AC7" w:rsidRDefault="00CC43AA" w:rsidP="00CC43AA">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07K0119  Národný jadrový fond – odvody od prenosovej sústavy a distribučných sústav </w:t>
            </w:r>
          </w:p>
        </w:tc>
        <w:tc>
          <w:tcPr>
            <w:tcW w:w="1418" w:type="dxa"/>
            <w:tcBorders>
              <w:top w:val="single" w:sz="4" w:space="0" w:color="auto"/>
              <w:right w:val="single" w:sz="8" w:space="0" w:color="auto"/>
            </w:tcBorders>
            <w:noWrap/>
            <w:vAlign w:val="bottom"/>
          </w:tcPr>
          <w:p w:rsidR="00CC43AA" w:rsidRPr="00FF1AC7" w:rsidRDefault="00CC43AA" w:rsidP="00D31BF6">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71 147 650,00</w:t>
            </w:r>
          </w:p>
        </w:tc>
        <w:tc>
          <w:tcPr>
            <w:tcW w:w="1417" w:type="dxa"/>
            <w:tcBorders>
              <w:top w:val="single" w:sz="4" w:space="0" w:color="auto"/>
              <w:right w:val="single" w:sz="8" w:space="0" w:color="auto"/>
            </w:tcBorders>
            <w:noWrap/>
            <w:vAlign w:val="bottom"/>
          </w:tcPr>
          <w:p w:rsidR="00CC43AA" w:rsidRPr="00FF1AC7" w:rsidRDefault="00A0210D" w:rsidP="00A0210D">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67 334 577,75</w:t>
            </w:r>
          </w:p>
        </w:tc>
        <w:tc>
          <w:tcPr>
            <w:tcW w:w="1532" w:type="dxa"/>
            <w:tcBorders>
              <w:top w:val="single" w:sz="4" w:space="0" w:color="auto"/>
              <w:right w:val="single" w:sz="8" w:space="0" w:color="auto"/>
            </w:tcBorders>
            <w:noWrap/>
            <w:vAlign w:val="bottom"/>
          </w:tcPr>
          <w:p w:rsidR="00CC43AA" w:rsidRPr="00FF1AC7" w:rsidRDefault="00A0210D" w:rsidP="00A0210D">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67 334 577,75</w:t>
            </w:r>
          </w:p>
        </w:tc>
        <w:tc>
          <w:tcPr>
            <w:tcW w:w="796" w:type="dxa"/>
            <w:tcBorders>
              <w:top w:val="single" w:sz="4" w:space="0" w:color="auto"/>
            </w:tcBorders>
            <w:noWrap/>
            <w:vAlign w:val="bottom"/>
          </w:tcPr>
          <w:p w:rsidR="00CC43AA" w:rsidRPr="00FF1AC7" w:rsidRDefault="00A0210D" w:rsidP="00A0210D">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100,00</w:t>
            </w:r>
          </w:p>
        </w:tc>
      </w:tr>
      <w:tr w:rsidR="00CC43AA" w:rsidRPr="00FF1AC7" w:rsidTr="00E42519">
        <w:trPr>
          <w:trHeight w:val="255"/>
        </w:trPr>
        <w:tc>
          <w:tcPr>
            <w:tcW w:w="4613" w:type="dxa"/>
            <w:tcBorders>
              <w:top w:val="single" w:sz="4" w:space="0" w:color="auto"/>
              <w:right w:val="single" w:sz="8" w:space="0" w:color="auto"/>
            </w:tcBorders>
            <w:noWrap/>
            <w:vAlign w:val="bottom"/>
          </w:tcPr>
          <w:p w:rsidR="00CC43AA" w:rsidRPr="00FF1AC7" w:rsidRDefault="00CC43AA" w:rsidP="00D31BF6">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07K0403  Podpora rozvoja strategických investícií -Investičné stimuly</w:t>
            </w:r>
          </w:p>
        </w:tc>
        <w:tc>
          <w:tcPr>
            <w:tcW w:w="1418" w:type="dxa"/>
            <w:tcBorders>
              <w:top w:val="single" w:sz="4" w:space="0" w:color="auto"/>
              <w:right w:val="single" w:sz="8" w:space="0" w:color="auto"/>
            </w:tcBorders>
            <w:noWrap/>
            <w:vAlign w:val="bottom"/>
          </w:tcPr>
          <w:p w:rsidR="00CC43AA" w:rsidRPr="00FF1AC7" w:rsidRDefault="00CC43AA" w:rsidP="00D31BF6">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378 175,00</w:t>
            </w:r>
          </w:p>
        </w:tc>
        <w:tc>
          <w:tcPr>
            <w:tcW w:w="1417" w:type="dxa"/>
            <w:tcBorders>
              <w:top w:val="single" w:sz="4" w:space="0" w:color="auto"/>
              <w:right w:val="single" w:sz="8" w:space="0" w:color="auto"/>
            </w:tcBorders>
            <w:noWrap/>
            <w:vAlign w:val="bottom"/>
          </w:tcPr>
          <w:p w:rsidR="00CC43AA"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3 144 556,47</w:t>
            </w:r>
          </w:p>
        </w:tc>
        <w:tc>
          <w:tcPr>
            <w:tcW w:w="1532" w:type="dxa"/>
            <w:tcBorders>
              <w:top w:val="single" w:sz="4" w:space="0" w:color="auto"/>
              <w:right w:val="single" w:sz="8" w:space="0" w:color="auto"/>
            </w:tcBorders>
            <w:noWrap/>
            <w:vAlign w:val="bottom"/>
          </w:tcPr>
          <w:p w:rsidR="00CC43AA"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3 144 556,47</w:t>
            </w:r>
          </w:p>
        </w:tc>
        <w:tc>
          <w:tcPr>
            <w:tcW w:w="796" w:type="dxa"/>
            <w:tcBorders>
              <w:top w:val="single" w:sz="4" w:space="0" w:color="auto"/>
            </w:tcBorders>
            <w:noWrap/>
            <w:vAlign w:val="bottom"/>
          </w:tcPr>
          <w:p w:rsidR="00CC43AA" w:rsidRPr="00FF1AC7" w:rsidRDefault="00986D90" w:rsidP="00D31BF6">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100,00</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CC43AA">
            <w:pPr>
              <w:spacing w:after="0" w:line="240" w:lineRule="auto"/>
              <w:ind w:left="857" w:hanging="857"/>
              <w:rPr>
                <w:rFonts w:ascii="Times New Roman" w:hAnsi="Times New Roman" w:cs="Times New Roman"/>
                <w:sz w:val="20"/>
                <w:szCs w:val="20"/>
                <w:lang w:eastAsia="sk-SK"/>
              </w:rPr>
            </w:pPr>
            <w:r w:rsidRPr="00FF1AC7">
              <w:rPr>
                <w:rFonts w:ascii="Times New Roman" w:hAnsi="Times New Roman" w:cs="Times New Roman"/>
                <w:sz w:val="20"/>
                <w:szCs w:val="20"/>
                <w:lang w:eastAsia="sk-SK"/>
              </w:rPr>
              <w:t>07K0</w:t>
            </w:r>
            <w:r w:rsidR="00CC43AA" w:rsidRPr="00FF1AC7">
              <w:rPr>
                <w:rFonts w:ascii="Times New Roman" w:hAnsi="Times New Roman" w:cs="Times New Roman"/>
                <w:sz w:val="20"/>
                <w:szCs w:val="20"/>
                <w:lang w:eastAsia="sk-SK"/>
              </w:rPr>
              <w:t xml:space="preserve">9 </w:t>
            </w:r>
            <w:r w:rsidRPr="00FF1AC7">
              <w:rPr>
                <w:rFonts w:ascii="Times New Roman" w:hAnsi="Times New Roman" w:cs="Times New Roman"/>
                <w:sz w:val="20"/>
                <w:szCs w:val="20"/>
                <w:lang w:eastAsia="sk-SK"/>
              </w:rPr>
              <w:t xml:space="preserve">Podpora </w:t>
            </w:r>
            <w:r w:rsidR="00CC43AA" w:rsidRPr="00FF1AC7">
              <w:rPr>
                <w:rFonts w:ascii="Times New Roman" w:hAnsi="Times New Roman" w:cs="Times New Roman"/>
                <w:sz w:val="20"/>
                <w:szCs w:val="20"/>
                <w:lang w:eastAsia="sk-SK"/>
              </w:rPr>
              <w:t>projektu Samsung</w:t>
            </w:r>
          </w:p>
        </w:tc>
        <w:tc>
          <w:tcPr>
            <w:tcW w:w="1418" w:type="dxa"/>
            <w:tcBorders>
              <w:top w:val="single" w:sz="4" w:space="0" w:color="auto"/>
              <w:right w:val="single" w:sz="8" w:space="0" w:color="auto"/>
            </w:tcBorders>
            <w:noWrap/>
            <w:vAlign w:val="bottom"/>
          </w:tcPr>
          <w:p w:rsidR="00400427" w:rsidRPr="00FF1AC7" w:rsidRDefault="00CC43AA" w:rsidP="00CC43AA">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300 000</w:t>
            </w:r>
            <w:r w:rsidR="00400427" w:rsidRPr="00FF1AC7">
              <w:rPr>
                <w:rFonts w:ascii="Times New Roman" w:hAnsi="Times New Roman" w:cs="Times New Roman"/>
                <w:sz w:val="20"/>
                <w:szCs w:val="20"/>
                <w:lang w:eastAsia="sk-SK"/>
              </w:rPr>
              <w:t>,00</w:t>
            </w:r>
          </w:p>
        </w:tc>
        <w:tc>
          <w:tcPr>
            <w:tcW w:w="1417" w:type="dxa"/>
            <w:tcBorders>
              <w:top w:val="single" w:sz="4" w:space="0" w:color="auto"/>
              <w:right w:val="single" w:sz="8" w:space="0" w:color="auto"/>
            </w:tcBorders>
            <w:noWrap/>
            <w:vAlign w:val="bottom"/>
          </w:tcPr>
          <w:p w:rsidR="00400427" w:rsidRPr="00FF1AC7" w:rsidRDefault="00986D90"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right w:val="single" w:sz="8" w:space="0" w:color="auto"/>
            </w:tcBorders>
            <w:noWrap/>
            <w:vAlign w:val="bottom"/>
          </w:tcPr>
          <w:p w:rsidR="00400427" w:rsidRPr="00FF1AC7" w:rsidRDefault="00986D90"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796" w:type="dxa"/>
            <w:tcBorders>
              <w:top w:val="single" w:sz="4" w:space="0" w:color="auto"/>
            </w:tcBorders>
            <w:noWrap/>
            <w:vAlign w:val="bottom"/>
          </w:tcPr>
          <w:p w:rsidR="00400427" w:rsidRPr="00FF1AC7" w:rsidRDefault="00986D90"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3B2372">
            <w:pPr>
              <w:spacing w:after="0" w:line="240" w:lineRule="auto"/>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07L Tvorba a implementácia politík</w:t>
            </w:r>
          </w:p>
        </w:tc>
        <w:tc>
          <w:tcPr>
            <w:tcW w:w="1418" w:type="dxa"/>
            <w:tcBorders>
              <w:top w:val="single" w:sz="4" w:space="0" w:color="auto"/>
              <w:right w:val="single" w:sz="8" w:space="0" w:color="auto"/>
            </w:tcBorders>
            <w:noWrap/>
            <w:vAlign w:val="bottom"/>
          </w:tcPr>
          <w:p w:rsidR="00400427" w:rsidRPr="00FF1AC7" w:rsidRDefault="00400427" w:rsidP="00CC43AA">
            <w:pPr>
              <w:spacing w:after="0" w:line="240" w:lineRule="auto"/>
              <w:ind w:left="-250" w:firstLine="250"/>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2</w:t>
            </w:r>
            <w:r w:rsidR="00CC43AA" w:rsidRPr="00FF1AC7">
              <w:rPr>
                <w:rFonts w:ascii="Times New Roman" w:hAnsi="Times New Roman" w:cs="Times New Roman"/>
                <w:b/>
                <w:bCs/>
                <w:sz w:val="20"/>
                <w:szCs w:val="20"/>
                <w:lang w:eastAsia="sk-SK"/>
              </w:rPr>
              <w:t>8 360 794</w:t>
            </w:r>
            <w:r w:rsidRPr="00FF1AC7">
              <w:rPr>
                <w:rFonts w:ascii="Times New Roman" w:hAnsi="Times New Roman" w:cs="Times New Roman"/>
                <w:b/>
                <w:bCs/>
                <w:sz w:val="20"/>
                <w:szCs w:val="20"/>
                <w:lang w:eastAsia="sk-SK"/>
              </w:rPr>
              <w:t>,00</w:t>
            </w:r>
          </w:p>
        </w:tc>
        <w:tc>
          <w:tcPr>
            <w:tcW w:w="1417" w:type="dxa"/>
            <w:tcBorders>
              <w:top w:val="single" w:sz="4" w:space="0" w:color="auto"/>
              <w:right w:val="single" w:sz="8" w:space="0" w:color="auto"/>
            </w:tcBorders>
            <w:noWrap/>
            <w:vAlign w:val="bottom"/>
          </w:tcPr>
          <w:p w:rsidR="00400427" w:rsidRPr="00FF1AC7" w:rsidRDefault="00986D90" w:rsidP="00986D90">
            <w:pPr>
              <w:autoSpaceDE w:val="0"/>
              <w:autoSpaceDN w:val="0"/>
              <w:adjustRightInd w:val="0"/>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33 468 578,85</w:t>
            </w:r>
          </w:p>
        </w:tc>
        <w:tc>
          <w:tcPr>
            <w:tcW w:w="1532" w:type="dxa"/>
            <w:tcBorders>
              <w:top w:val="single" w:sz="4" w:space="0" w:color="auto"/>
              <w:right w:val="single" w:sz="8" w:space="0" w:color="auto"/>
            </w:tcBorders>
            <w:noWrap/>
            <w:vAlign w:val="bottom"/>
          </w:tcPr>
          <w:p w:rsidR="00400427" w:rsidRPr="00FF1AC7" w:rsidRDefault="00986D90" w:rsidP="00986D90">
            <w:pPr>
              <w:autoSpaceDE w:val="0"/>
              <w:autoSpaceDN w:val="0"/>
              <w:adjustRightInd w:val="0"/>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33 358 127,11</w:t>
            </w:r>
          </w:p>
        </w:tc>
        <w:tc>
          <w:tcPr>
            <w:tcW w:w="796" w:type="dxa"/>
            <w:tcBorders>
              <w:top w:val="single" w:sz="4" w:space="0" w:color="auto"/>
            </w:tcBorders>
            <w:noWrap/>
            <w:vAlign w:val="bottom"/>
          </w:tcPr>
          <w:p w:rsidR="00400427" w:rsidRPr="00FF1AC7" w:rsidRDefault="00986D90" w:rsidP="00176F4C">
            <w:pPr>
              <w:spacing w:after="0" w:line="240" w:lineRule="auto"/>
              <w:jc w:val="right"/>
              <w:rPr>
                <w:rFonts w:ascii="Times New Roman" w:hAnsi="Times New Roman" w:cs="Times New Roman"/>
                <w:b/>
                <w:bCs/>
                <w:sz w:val="20"/>
                <w:szCs w:val="20"/>
                <w:lang w:eastAsia="sk-SK"/>
              </w:rPr>
            </w:pPr>
            <w:r w:rsidRPr="00FF1AC7">
              <w:rPr>
                <w:rFonts w:ascii="Times New Roman" w:hAnsi="Times New Roman" w:cs="Times New Roman"/>
                <w:b/>
                <w:bCs/>
                <w:sz w:val="20"/>
                <w:szCs w:val="20"/>
                <w:lang w:eastAsia="sk-SK"/>
              </w:rPr>
              <w:t>99,67</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3B2372">
            <w:pPr>
              <w:spacing w:after="0" w:line="240" w:lineRule="auto"/>
              <w:rPr>
                <w:rFonts w:ascii="Times New Roman" w:hAnsi="Times New Roman" w:cs="Times New Roman"/>
                <w:sz w:val="20"/>
                <w:szCs w:val="20"/>
                <w:lang w:eastAsia="sk-SK"/>
              </w:rPr>
            </w:pPr>
            <w:r w:rsidRPr="00FF1AC7">
              <w:rPr>
                <w:rFonts w:ascii="Times New Roman" w:hAnsi="Times New Roman" w:cs="Times New Roman"/>
                <w:sz w:val="20"/>
                <w:szCs w:val="20"/>
                <w:lang w:eastAsia="sk-SK"/>
              </w:rPr>
              <w:t>06H01 Hospodárska mobilizácia MH SR</w:t>
            </w:r>
          </w:p>
        </w:tc>
        <w:tc>
          <w:tcPr>
            <w:tcW w:w="1418" w:type="dxa"/>
            <w:tcBorders>
              <w:top w:val="single" w:sz="4" w:space="0" w:color="auto"/>
              <w:right w:val="single" w:sz="8" w:space="0" w:color="auto"/>
            </w:tcBorders>
            <w:noWrap/>
            <w:vAlign w:val="bottom"/>
          </w:tcPr>
          <w:p w:rsidR="00400427" w:rsidRPr="00FF1AC7" w:rsidRDefault="00A37BF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1 200 000</w:t>
            </w:r>
            <w:r w:rsidR="00400427" w:rsidRPr="00FF1AC7">
              <w:rPr>
                <w:rFonts w:ascii="Times New Roman" w:hAnsi="Times New Roman" w:cs="Times New Roman"/>
                <w:sz w:val="20"/>
                <w:szCs w:val="20"/>
                <w:lang w:eastAsia="sk-SK"/>
              </w:rPr>
              <w:t>,00</w:t>
            </w:r>
          </w:p>
        </w:tc>
        <w:tc>
          <w:tcPr>
            <w:tcW w:w="1417" w:type="dxa"/>
            <w:tcBorders>
              <w:top w:val="single" w:sz="4" w:space="0" w:color="auto"/>
              <w:right w:val="single" w:sz="8" w:space="0" w:color="auto"/>
            </w:tcBorders>
            <w:noWrap/>
            <w:vAlign w:val="bottom"/>
          </w:tcPr>
          <w:p w:rsidR="00400427" w:rsidRPr="00FF1AC7" w:rsidRDefault="00986D90" w:rsidP="00986D90">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2 724 109,43</w:t>
            </w:r>
          </w:p>
        </w:tc>
        <w:tc>
          <w:tcPr>
            <w:tcW w:w="1532" w:type="dxa"/>
            <w:tcBorders>
              <w:top w:val="single" w:sz="4" w:space="0" w:color="auto"/>
              <w:right w:val="single" w:sz="8" w:space="0" w:color="auto"/>
            </w:tcBorders>
            <w:noWrap/>
            <w:vAlign w:val="bottom"/>
          </w:tcPr>
          <w:p w:rsidR="00400427" w:rsidRPr="00FF1AC7" w:rsidRDefault="00986D90" w:rsidP="00986D90">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2 722 602,14</w:t>
            </w:r>
          </w:p>
        </w:tc>
        <w:tc>
          <w:tcPr>
            <w:tcW w:w="796" w:type="dxa"/>
            <w:tcBorders>
              <w:top w:val="single" w:sz="4" w:space="0" w:color="auto"/>
            </w:tcBorders>
            <w:noWrap/>
            <w:vAlign w:val="bottom"/>
          </w:tcPr>
          <w:p w:rsidR="00400427" w:rsidRPr="00FF1AC7" w:rsidRDefault="00986D90" w:rsidP="00986D90">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99,95</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034BA8">
            <w:pPr>
              <w:spacing w:after="0" w:line="240" w:lineRule="auto"/>
              <w:ind w:left="716" w:hanging="716"/>
              <w:rPr>
                <w:rFonts w:ascii="Times New Roman" w:hAnsi="Times New Roman" w:cs="Times New Roman"/>
                <w:sz w:val="20"/>
                <w:szCs w:val="20"/>
                <w:lang w:eastAsia="sk-SK"/>
              </w:rPr>
            </w:pPr>
            <w:r w:rsidRPr="00FF1AC7">
              <w:rPr>
                <w:rFonts w:ascii="Times New Roman" w:hAnsi="Times New Roman" w:cs="Times New Roman"/>
                <w:sz w:val="20"/>
                <w:szCs w:val="20"/>
                <w:lang w:eastAsia="sk-SK"/>
              </w:rPr>
              <w:t>08B0A Rozvoj ochrany obyvateľov SR pred chemickými zbraňami</w:t>
            </w:r>
          </w:p>
        </w:tc>
        <w:tc>
          <w:tcPr>
            <w:tcW w:w="1418" w:type="dxa"/>
            <w:tcBorders>
              <w:top w:val="single" w:sz="4" w:space="0" w:color="auto"/>
              <w:right w:val="single" w:sz="8" w:space="0" w:color="auto"/>
            </w:tcBorders>
            <w:noWrap/>
            <w:vAlign w:val="bottom"/>
          </w:tcPr>
          <w:p w:rsidR="00400427" w:rsidRPr="00FF1AC7" w:rsidRDefault="00400427" w:rsidP="007B5ACE">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35 000,00</w:t>
            </w:r>
          </w:p>
        </w:tc>
        <w:tc>
          <w:tcPr>
            <w:tcW w:w="1417" w:type="dxa"/>
            <w:tcBorders>
              <w:top w:val="single" w:sz="4" w:space="0" w:color="auto"/>
              <w:right w:val="single" w:sz="8" w:space="0" w:color="auto"/>
            </w:tcBorders>
            <w:noWrap/>
            <w:vAlign w:val="bottom"/>
          </w:tcPr>
          <w:p w:rsidR="0040042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25 000,00</w:t>
            </w:r>
          </w:p>
        </w:tc>
        <w:tc>
          <w:tcPr>
            <w:tcW w:w="1532" w:type="dxa"/>
            <w:tcBorders>
              <w:top w:val="single" w:sz="4" w:space="0" w:color="auto"/>
              <w:right w:val="single" w:sz="8" w:space="0" w:color="auto"/>
            </w:tcBorders>
            <w:noWrap/>
            <w:vAlign w:val="bottom"/>
          </w:tcPr>
          <w:p w:rsidR="0040042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22 478,86</w:t>
            </w:r>
          </w:p>
        </w:tc>
        <w:tc>
          <w:tcPr>
            <w:tcW w:w="796" w:type="dxa"/>
            <w:tcBorders>
              <w:top w:val="single" w:sz="4" w:space="0" w:color="auto"/>
            </w:tcBorders>
            <w:noWrap/>
            <w:vAlign w:val="bottom"/>
          </w:tcPr>
          <w:p w:rsidR="0040042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89,92</w:t>
            </w:r>
          </w:p>
        </w:tc>
      </w:tr>
      <w:tr w:rsidR="00400427" w:rsidRPr="00FF1AC7" w:rsidTr="00E42519">
        <w:trPr>
          <w:trHeight w:val="255"/>
        </w:trPr>
        <w:tc>
          <w:tcPr>
            <w:tcW w:w="4613" w:type="dxa"/>
            <w:tcBorders>
              <w:top w:val="single" w:sz="4" w:space="0" w:color="auto"/>
              <w:right w:val="single" w:sz="8" w:space="0" w:color="auto"/>
            </w:tcBorders>
            <w:noWrap/>
            <w:vAlign w:val="bottom"/>
          </w:tcPr>
          <w:p w:rsidR="00400427" w:rsidRPr="00FF1AC7" w:rsidRDefault="00400427" w:rsidP="00025900">
            <w:pPr>
              <w:spacing w:after="0" w:line="240" w:lineRule="auto"/>
              <w:ind w:left="574" w:hanging="568"/>
              <w:rPr>
                <w:rFonts w:ascii="Times New Roman" w:hAnsi="Times New Roman" w:cs="Times New Roman"/>
                <w:sz w:val="20"/>
                <w:szCs w:val="20"/>
                <w:lang w:eastAsia="sk-SK"/>
              </w:rPr>
            </w:pPr>
            <w:r w:rsidRPr="00FF1AC7">
              <w:rPr>
                <w:rFonts w:ascii="Times New Roman" w:hAnsi="Times New Roman" w:cs="Times New Roman"/>
                <w:sz w:val="20"/>
                <w:szCs w:val="20"/>
                <w:lang w:eastAsia="sk-SK"/>
              </w:rPr>
              <w:t xml:space="preserve">09704 Príspevky SR do medzinárodných organizácií - </w:t>
            </w:r>
            <w:r w:rsidR="00ED04F6" w:rsidRPr="00FF1AC7">
              <w:rPr>
                <w:rFonts w:ascii="Times New Roman" w:hAnsi="Times New Roman" w:cs="Times New Roman"/>
                <w:sz w:val="20"/>
                <w:szCs w:val="20"/>
                <w:lang w:eastAsia="sk-SK"/>
              </w:rPr>
              <w:t xml:space="preserve"> </w:t>
            </w:r>
            <w:r w:rsidR="00025900">
              <w:rPr>
                <w:rFonts w:ascii="Times New Roman" w:hAnsi="Times New Roman" w:cs="Times New Roman"/>
                <w:sz w:val="20"/>
                <w:szCs w:val="20"/>
                <w:lang w:eastAsia="sk-SK"/>
              </w:rPr>
              <w:t xml:space="preserve"> </w:t>
            </w:r>
            <w:r w:rsidRPr="00FF1AC7">
              <w:rPr>
                <w:rFonts w:ascii="Times New Roman" w:hAnsi="Times New Roman" w:cs="Times New Roman"/>
                <w:sz w:val="20"/>
                <w:szCs w:val="20"/>
                <w:lang w:eastAsia="sk-SK"/>
              </w:rPr>
              <w:t xml:space="preserve">MH </w:t>
            </w:r>
            <w:r w:rsidR="00035616" w:rsidRPr="00FF1AC7">
              <w:rPr>
                <w:rFonts w:ascii="Times New Roman" w:hAnsi="Times New Roman" w:cs="Times New Roman"/>
                <w:sz w:val="20"/>
                <w:szCs w:val="20"/>
                <w:lang w:eastAsia="sk-SK"/>
              </w:rPr>
              <w:t>S</w:t>
            </w:r>
            <w:r w:rsidRPr="00FF1AC7">
              <w:rPr>
                <w:rFonts w:ascii="Times New Roman" w:hAnsi="Times New Roman" w:cs="Times New Roman"/>
                <w:sz w:val="20"/>
                <w:szCs w:val="20"/>
                <w:lang w:eastAsia="sk-SK"/>
              </w:rPr>
              <w:t>R</w:t>
            </w:r>
          </w:p>
        </w:tc>
        <w:tc>
          <w:tcPr>
            <w:tcW w:w="1418" w:type="dxa"/>
            <w:tcBorders>
              <w:top w:val="single" w:sz="4" w:space="0" w:color="auto"/>
              <w:right w:val="single" w:sz="8" w:space="0" w:color="auto"/>
            </w:tcBorders>
            <w:noWrap/>
            <w:vAlign w:val="bottom"/>
          </w:tcPr>
          <w:p w:rsidR="00400427" w:rsidRPr="00FF1AC7" w:rsidRDefault="00A37BF7" w:rsidP="00A37BF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1 0</w:t>
            </w:r>
            <w:r w:rsidR="00400427" w:rsidRPr="00FF1AC7">
              <w:rPr>
                <w:rFonts w:ascii="Times New Roman" w:hAnsi="Times New Roman" w:cs="Times New Roman"/>
                <w:sz w:val="20"/>
                <w:szCs w:val="20"/>
                <w:lang w:eastAsia="sk-SK"/>
              </w:rPr>
              <w:t>00 000,00</w:t>
            </w:r>
          </w:p>
        </w:tc>
        <w:tc>
          <w:tcPr>
            <w:tcW w:w="1417" w:type="dxa"/>
            <w:tcBorders>
              <w:top w:val="single" w:sz="4" w:space="0" w:color="auto"/>
              <w:right w:val="single" w:sz="8" w:space="0" w:color="auto"/>
            </w:tcBorders>
            <w:noWrap/>
            <w:vAlign w:val="bottom"/>
          </w:tcPr>
          <w:p w:rsidR="00400427" w:rsidRPr="00FF1AC7" w:rsidRDefault="00986D90" w:rsidP="00986D9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1 068 751,40</w:t>
            </w:r>
          </w:p>
        </w:tc>
        <w:tc>
          <w:tcPr>
            <w:tcW w:w="1532" w:type="dxa"/>
            <w:tcBorders>
              <w:top w:val="single" w:sz="4" w:space="0" w:color="auto"/>
              <w:right w:val="single" w:sz="8" w:space="0" w:color="auto"/>
            </w:tcBorders>
            <w:noWrap/>
            <w:vAlign w:val="bottom"/>
          </w:tcPr>
          <w:p w:rsidR="00400427" w:rsidRPr="00FF1AC7" w:rsidRDefault="00986D90" w:rsidP="00986D90">
            <w:pPr>
              <w:autoSpaceDE w:val="0"/>
              <w:autoSpaceDN w:val="0"/>
              <w:adjustRightInd w:val="0"/>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1 068 751,40</w:t>
            </w:r>
          </w:p>
        </w:tc>
        <w:tc>
          <w:tcPr>
            <w:tcW w:w="796" w:type="dxa"/>
            <w:tcBorders>
              <w:top w:val="single" w:sz="4" w:space="0" w:color="auto"/>
            </w:tcBorders>
            <w:noWrap/>
            <w:vAlign w:val="bottom"/>
          </w:tcPr>
          <w:p w:rsidR="00400427" w:rsidRPr="00FF1AC7" w:rsidRDefault="00986D90"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100,00</w:t>
            </w:r>
          </w:p>
        </w:tc>
      </w:tr>
      <w:tr w:rsidR="00A37BF7" w:rsidRPr="00FF1AC7" w:rsidTr="00E42519">
        <w:trPr>
          <w:trHeight w:val="255"/>
        </w:trPr>
        <w:tc>
          <w:tcPr>
            <w:tcW w:w="4613" w:type="dxa"/>
            <w:tcBorders>
              <w:top w:val="single" w:sz="4" w:space="0" w:color="auto"/>
              <w:bottom w:val="single" w:sz="4" w:space="0" w:color="auto"/>
              <w:right w:val="single" w:sz="8" w:space="0" w:color="auto"/>
            </w:tcBorders>
            <w:noWrap/>
            <w:vAlign w:val="bottom"/>
          </w:tcPr>
          <w:p w:rsidR="00A37BF7" w:rsidRPr="00FF1AC7" w:rsidRDefault="00A37BF7" w:rsidP="00D31BF6">
            <w:pPr>
              <w:spacing w:after="0" w:line="240" w:lineRule="auto"/>
              <w:ind w:left="1424" w:hanging="1424"/>
              <w:rPr>
                <w:rFonts w:ascii="Times New Roman" w:hAnsi="Times New Roman" w:cs="Times New Roman"/>
                <w:sz w:val="20"/>
                <w:szCs w:val="20"/>
                <w:lang w:eastAsia="sk-SK"/>
              </w:rPr>
            </w:pPr>
            <w:r w:rsidRPr="00FF1AC7">
              <w:rPr>
                <w:rFonts w:ascii="Times New Roman" w:hAnsi="Times New Roman" w:cs="Times New Roman"/>
                <w:sz w:val="20"/>
                <w:szCs w:val="20"/>
                <w:lang w:eastAsia="sk-SK"/>
              </w:rPr>
              <w:t>0AS03 MH SR  Och</w:t>
            </w:r>
            <w:r w:rsidR="00025900">
              <w:rPr>
                <w:rFonts w:ascii="Times New Roman" w:hAnsi="Times New Roman" w:cs="Times New Roman"/>
                <w:sz w:val="20"/>
                <w:szCs w:val="20"/>
                <w:lang w:eastAsia="sk-SK"/>
              </w:rPr>
              <w:t xml:space="preserve">rana kritickej infraštruktúry v </w:t>
            </w:r>
            <w:r w:rsidRPr="00FF1AC7">
              <w:rPr>
                <w:rFonts w:ascii="Times New Roman" w:hAnsi="Times New Roman" w:cs="Times New Roman"/>
                <w:sz w:val="20"/>
                <w:szCs w:val="20"/>
                <w:lang w:eastAsia="sk-SK"/>
              </w:rPr>
              <w:t xml:space="preserve">Slovenskej republike </w:t>
            </w:r>
          </w:p>
        </w:tc>
        <w:tc>
          <w:tcPr>
            <w:tcW w:w="1418" w:type="dxa"/>
            <w:tcBorders>
              <w:top w:val="single" w:sz="4" w:space="0" w:color="auto"/>
              <w:bottom w:val="single" w:sz="4" w:space="0" w:color="auto"/>
              <w:right w:val="single" w:sz="8" w:space="0" w:color="auto"/>
            </w:tcBorders>
            <w:noWrap/>
            <w:vAlign w:val="bottom"/>
          </w:tcPr>
          <w:p w:rsidR="00A37BF7" w:rsidRPr="00FF1AC7" w:rsidRDefault="00A37BF7" w:rsidP="00D31BF6">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4 300,00</w:t>
            </w:r>
          </w:p>
        </w:tc>
        <w:tc>
          <w:tcPr>
            <w:tcW w:w="1417" w:type="dxa"/>
            <w:tcBorders>
              <w:top w:val="single" w:sz="4" w:space="0" w:color="auto"/>
              <w:bottom w:val="single" w:sz="4" w:space="0" w:color="auto"/>
              <w:right w:val="single" w:sz="8" w:space="0" w:color="auto"/>
            </w:tcBorders>
            <w:noWrap/>
            <w:vAlign w:val="bottom"/>
          </w:tcPr>
          <w:p w:rsidR="00A37BF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4 300,00</w:t>
            </w:r>
          </w:p>
        </w:tc>
        <w:tc>
          <w:tcPr>
            <w:tcW w:w="1532" w:type="dxa"/>
            <w:tcBorders>
              <w:top w:val="single" w:sz="4" w:space="0" w:color="auto"/>
              <w:bottom w:val="single" w:sz="4" w:space="0" w:color="auto"/>
              <w:right w:val="single" w:sz="8" w:space="0" w:color="auto"/>
            </w:tcBorders>
            <w:noWrap/>
            <w:vAlign w:val="bottom"/>
          </w:tcPr>
          <w:p w:rsidR="00A37BF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3 941,51</w:t>
            </w:r>
          </w:p>
        </w:tc>
        <w:tc>
          <w:tcPr>
            <w:tcW w:w="796" w:type="dxa"/>
            <w:tcBorders>
              <w:top w:val="single" w:sz="4" w:space="0" w:color="auto"/>
              <w:bottom w:val="single" w:sz="4" w:space="0" w:color="auto"/>
            </w:tcBorders>
            <w:noWrap/>
            <w:vAlign w:val="bottom"/>
          </w:tcPr>
          <w:p w:rsidR="00A37BF7" w:rsidRPr="00FF1AC7" w:rsidRDefault="00986D90" w:rsidP="00D31BF6">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91,67</w:t>
            </w:r>
          </w:p>
        </w:tc>
      </w:tr>
      <w:tr w:rsidR="00400427" w:rsidRPr="00FF1AC7" w:rsidTr="00E42519">
        <w:trPr>
          <w:trHeight w:val="255"/>
        </w:trPr>
        <w:tc>
          <w:tcPr>
            <w:tcW w:w="4613" w:type="dxa"/>
            <w:tcBorders>
              <w:top w:val="single" w:sz="4" w:space="0" w:color="auto"/>
              <w:bottom w:val="single" w:sz="4" w:space="0" w:color="auto"/>
              <w:right w:val="single" w:sz="8" w:space="0" w:color="auto"/>
            </w:tcBorders>
            <w:noWrap/>
            <w:vAlign w:val="bottom"/>
          </w:tcPr>
          <w:p w:rsidR="00400427" w:rsidRPr="00FF1AC7" w:rsidRDefault="00400427" w:rsidP="00A37BF7">
            <w:pPr>
              <w:spacing w:after="0" w:line="240" w:lineRule="auto"/>
              <w:ind w:left="1424" w:hanging="1424"/>
              <w:rPr>
                <w:rFonts w:ascii="Times New Roman" w:hAnsi="Times New Roman" w:cs="Times New Roman"/>
                <w:sz w:val="20"/>
                <w:szCs w:val="20"/>
                <w:lang w:eastAsia="sk-SK"/>
              </w:rPr>
            </w:pPr>
            <w:r w:rsidRPr="00FF1AC7">
              <w:rPr>
                <w:rFonts w:ascii="Times New Roman" w:hAnsi="Times New Roman" w:cs="Times New Roman"/>
                <w:sz w:val="20"/>
                <w:szCs w:val="20"/>
                <w:lang w:eastAsia="sk-SK"/>
              </w:rPr>
              <w:t>0</w:t>
            </w:r>
            <w:r w:rsidR="00A37BF7" w:rsidRPr="00FF1AC7">
              <w:rPr>
                <w:rFonts w:ascii="Times New Roman" w:hAnsi="Times New Roman" w:cs="Times New Roman"/>
                <w:sz w:val="20"/>
                <w:szCs w:val="20"/>
                <w:lang w:eastAsia="sk-SK"/>
              </w:rPr>
              <w:t>E</w:t>
            </w:r>
            <w:r w:rsidRPr="00FF1AC7">
              <w:rPr>
                <w:rFonts w:ascii="Times New Roman" w:hAnsi="Times New Roman" w:cs="Times New Roman"/>
                <w:sz w:val="20"/>
                <w:szCs w:val="20"/>
                <w:lang w:eastAsia="sk-SK"/>
              </w:rPr>
              <w:t>A</w:t>
            </w:r>
            <w:r w:rsidR="00A37BF7" w:rsidRPr="00FF1AC7">
              <w:rPr>
                <w:rFonts w:ascii="Times New Roman" w:hAnsi="Times New Roman" w:cs="Times New Roman"/>
                <w:sz w:val="20"/>
                <w:szCs w:val="20"/>
                <w:lang w:eastAsia="sk-SK"/>
              </w:rPr>
              <w:t>02</w:t>
            </w:r>
            <w:r w:rsidRPr="00FF1AC7">
              <w:rPr>
                <w:rFonts w:ascii="Times New Roman" w:hAnsi="Times New Roman" w:cs="Times New Roman"/>
                <w:sz w:val="20"/>
                <w:szCs w:val="20"/>
                <w:lang w:eastAsia="sk-SK"/>
              </w:rPr>
              <w:t xml:space="preserve">  O</w:t>
            </w:r>
            <w:r w:rsidR="00A37BF7" w:rsidRPr="00FF1AC7">
              <w:rPr>
                <w:rFonts w:ascii="Times New Roman" w:hAnsi="Times New Roman" w:cs="Times New Roman"/>
                <w:sz w:val="20"/>
                <w:szCs w:val="20"/>
                <w:lang w:eastAsia="sk-SK"/>
              </w:rPr>
              <w:t>peračný program Výskum a inovácia – časť MH SR</w:t>
            </w:r>
            <w:r w:rsidRPr="00FF1AC7">
              <w:rPr>
                <w:rFonts w:ascii="Times New Roman" w:hAnsi="Times New Roman" w:cs="Times New Roman"/>
                <w:sz w:val="20"/>
                <w:szCs w:val="20"/>
                <w:lang w:eastAsia="sk-SK"/>
              </w:rPr>
              <w:t xml:space="preserve"> </w:t>
            </w:r>
          </w:p>
        </w:tc>
        <w:tc>
          <w:tcPr>
            <w:tcW w:w="1418" w:type="dxa"/>
            <w:tcBorders>
              <w:top w:val="single" w:sz="4" w:space="0" w:color="auto"/>
              <w:bottom w:val="single" w:sz="4" w:space="0" w:color="auto"/>
              <w:right w:val="single" w:sz="8" w:space="0" w:color="auto"/>
            </w:tcBorders>
            <w:noWrap/>
            <w:vAlign w:val="bottom"/>
          </w:tcPr>
          <w:p w:rsidR="00400427" w:rsidRPr="00FF1AC7" w:rsidRDefault="00A37BF7" w:rsidP="00A37BF7">
            <w:pPr>
              <w:spacing w:after="0" w:line="240" w:lineRule="auto"/>
              <w:ind w:left="-250" w:firstLine="250"/>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63 583 510</w:t>
            </w:r>
            <w:r w:rsidR="00400427" w:rsidRPr="00FF1AC7">
              <w:rPr>
                <w:rFonts w:ascii="Times New Roman" w:hAnsi="Times New Roman" w:cs="Times New Roman"/>
                <w:sz w:val="20"/>
                <w:szCs w:val="20"/>
                <w:lang w:eastAsia="sk-SK"/>
              </w:rPr>
              <w:t>,00</w:t>
            </w:r>
          </w:p>
        </w:tc>
        <w:tc>
          <w:tcPr>
            <w:tcW w:w="1417" w:type="dxa"/>
            <w:tcBorders>
              <w:top w:val="single" w:sz="4" w:space="0" w:color="auto"/>
              <w:bottom w:val="single" w:sz="4" w:space="0" w:color="auto"/>
              <w:right w:val="single" w:sz="8" w:space="0" w:color="auto"/>
            </w:tcBorders>
            <w:noWrap/>
            <w:vAlign w:val="bottom"/>
          </w:tcPr>
          <w:p w:rsidR="0040042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1532" w:type="dxa"/>
            <w:tcBorders>
              <w:top w:val="single" w:sz="4" w:space="0" w:color="auto"/>
              <w:bottom w:val="single" w:sz="4" w:space="0" w:color="auto"/>
              <w:right w:val="single" w:sz="8" w:space="0" w:color="auto"/>
            </w:tcBorders>
            <w:noWrap/>
            <w:vAlign w:val="bottom"/>
          </w:tcPr>
          <w:p w:rsidR="00400427" w:rsidRPr="00FF1AC7" w:rsidRDefault="00986D90" w:rsidP="00986D90">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c>
          <w:tcPr>
            <w:tcW w:w="796" w:type="dxa"/>
            <w:tcBorders>
              <w:top w:val="single" w:sz="4" w:space="0" w:color="auto"/>
              <w:bottom w:val="single" w:sz="4" w:space="0" w:color="auto"/>
            </w:tcBorders>
            <w:noWrap/>
            <w:vAlign w:val="bottom"/>
          </w:tcPr>
          <w:p w:rsidR="00400427" w:rsidRPr="00FF1AC7" w:rsidRDefault="00986D90" w:rsidP="003B2372">
            <w:pPr>
              <w:spacing w:after="0" w:line="240" w:lineRule="auto"/>
              <w:jc w:val="right"/>
              <w:rPr>
                <w:rFonts w:ascii="Times New Roman" w:hAnsi="Times New Roman" w:cs="Times New Roman"/>
                <w:sz w:val="20"/>
                <w:szCs w:val="20"/>
                <w:lang w:eastAsia="sk-SK"/>
              </w:rPr>
            </w:pPr>
            <w:r w:rsidRPr="00FF1AC7">
              <w:rPr>
                <w:rFonts w:ascii="Times New Roman" w:hAnsi="Times New Roman" w:cs="Times New Roman"/>
                <w:sz w:val="20"/>
                <w:szCs w:val="20"/>
                <w:lang w:eastAsia="sk-SK"/>
              </w:rPr>
              <w:t>0,00</w:t>
            </w:r>
          </w:p>
        </w:tc>
      </w:tr>
    </w:tbl>
    <w:p w:rsidR="001224C1" w:rsidRDefault="0012367D" w:rsidP="002E7842">
      <w:pPr>
        <w:pStyle w:val="Zarkazkladnhotextu"/>
        <w:spacing w:after="0" w:line="240" w:lineRule="auto"/>
        <w:ind w:left="0" w:firstLine="709"/>
        <w:jc w:val="both"/>
        <w:rPr>
          <w:rFonts w:ascii="Times New Roman" w:hAnsi="Times New Roman" w:cs="Times New Roman"/>
          <w:sz w:val="24"/>
          <w:szCs w:val="24"/>
        </w:rPr>
      </w:pPr>
      <w:r w:rsidRPr="00E96B67">
        <w:rPr>
          <w:rFonts w:ascii="Times New Roman" w:hAnsi="Times New Roman" w:cs="Times New Roman"/>
          <w:sz w:val="24"/>
          <w:szCs w:val="24"/>
        </w:rPr>
        <w:t>Záväzn</w:t>
      </w:r>
      <w:r w:rsidR="00DE66A7">
        <w:rPr>
          <w:rFonts w:ascii="Times New Roman" w:hAnsi="Times New Roman" w:cs="Times New Roman"/>
          <w:sz w:val="24"/>
          <w:szCs w:val="24"/>
        </w:rPr>
        <w:t>ý</w:t>
      </w:r>
      <w:r w:rsidRPr="00E96B67">
        <w:rPr>
          <w:rFonts w:ascii="Times New Roman" w:hAnsi="Times New Roman" w:cs="Times New Roman"/>
          <w:sz w:val="24"/>
          <w:szCs w:val="24"/>
        </w:rPr>
        <w:t xml:space="preserve"> ukazovate</w:t>
      </w:r>
      <w:r w:rsidR="00DE66A7">
        <w:rPr>
          <w:rFonts w:ascii="Times New Roman" w:hAnsi="Times New Roman" w:cs="Times New Roman"/>
          <w:sz w:val="24"/>
          <w:szCs w:val="24"/>
        </w:rPr>
        <w:t>ľ</w:t>
      </w:r>
      <w:r w:rsidR="00216942">
        <w:rPr>
          <w:rFonts w:ascii="Times New Roman" w:hAnsi="Times New Roman" w:cs="Times New Roman"/>
          <w:sz w:val="24"/>
          <w:szCs w:val="24"/>
        </w:rPr>
        <w:t xml:space="preserve"> </w:t>
      </w:r>
      <w:r w:rsidR="00DE66A7">
        <w:rPr>
          <w:rFonts w:ascii="Times New Roman" w:hAnsi="Times New Roman" w:cs="Times New Roman"/>
          <w:sz w:val="24"/>
          <w:szCs w:val="24"/>
        </w:rPr>
        <w:t xml:space="preserve">výdavkov </w:t>
      </w:r>
      <w:r w:rsidR="00216942">
        <w:rPr>
          <w:rFonts w:ascii="Times New Roman" w:hAnsi="Times New Roman" w:cs="Times New Roman"/>
          <w:sz w:val="24"/>
          <w:szCs w:val="24"/>
        </w:rPr>
        <w:t xml:space="preserve">kapitoly MH SR </w:t>
      </w:r>
      <w:r w:rsidRPr="00E96B67">
        <w:rPr>
          <w:rFonts w:ascii="Times New Roman" w:hAnsi="Times New Roman" w:cs="Times New Roman"/>
          <w:sz w:val="24"/>
          <w:szCs w:val="24"/>
        </w:rPr>
        <w:t>bol v roku 201</w:t>
      </w:r>
      <w:r w:rsidR="002A51CD">
        <w:rPr>
          <w:rFonts w:ascii="Times New Roman" w:hAnsi="Times New Roman" w:cs="Times New Roman"/>
          <w:sz w:val="24"/>
          <w:szCs w:val="24"/>
        </w:rPr>
        <w:t>5</w:t>
      </w:r>
      <w:r w:rsidRPr="00E96B67">
        <w:rPr>
          <w:rFonts w:ascii="Times New Roman" w:hAnsi="Times New Roman" w:cs="Times New Roman"/>
          <w:sz w:val="24"/>
          <w:szCs w:val="24"/>
        </w:rPr>
        <w:t xml:space="preserve"> dodržan</w:t>
      </w:r>
      <w:r w:rsidR="00DE66A7">
        <w:rPr>
          <w:rFonts w:ascii="Times New Roman" w:hAnsi="Times New Roman" w:cs="Times New Roman"/>
          <w:sz w:val="24"/>
          <w:szCs w:val="24"/>
        </w:rPr>
        <w:t>ý</w:t>
      </w:r>
      <w:r w:rsidRPr="00E96B67">
        <w:rPr>
          <w:rFonts w:ascii="Times New Roman" w:hAnsi="Times New Roman" w:cs="Times New Roman"/>
          <w:sz w:val="24"/>
          <w:szCs w:val="24"/>
        </w:rPr>
        <w:t xml:space="preserve">. </w:t>
      </w:r>
    </w:p>
    <w:p w:rsidR="0012367D" w:rsidRPr="00973D6E" w:rsidRDefault="0012367D" w:rsidP="00973D6E">
      <w:pPr>
        <w:pStyle w:val="Nadpis2"/>
        <w:numPr>
          <w:ilvl w:val="0"/>
          <w:numId w:val="1"/>
        </w:numPr>
        <w:spacing w:before="0" w:line="240" w:lineRule="auto"/>
        <w:ind w:left="567" w:hanging="567"/>
        <w:jc w:val="both"/>
        <w:rPr>
          <w:rFonts w:ascii="Times New Roman" w:eastAsia="Times" w:hAnsi="Times New Roman" w:cs="Times New Roman"/>
          <w:caps w:val="0"/>
          <w:color w:val="000000"/>
          <w:sz w:val="24"/>
          <w:szCs w:val="24"/>
          <w:lang w:eastAsia="sk-SK"/>
        </w:rPr>
      </w:pPr>
      <w:bookmarkStart w:id="6" w:name="_Toc415553095"/>
      <w:r w:rsidRPr="00973D6E">
        <w:rPr>
          <w:rFonts w:ascii="Times New Roman" w:hAnsi="Times New Roman" w:cs="Times New Roman"/>
          <w:sz w:val="24"/>
          <w:szCs w:val="24"/>
        </w:rPr>
        <w:t>Príjmy kapitoly</w:t>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C23321" w:rsidRPr="00973D6E">
        <w:rPr>
          <w:rFonts w:ascii="Times New Roman" w:hAnsi="Times New Roman" w:cs="Times New Roman"/>
          <w:sz w:val="24"/>
          <w:szCs w:val="24"/>
        </w:rPr>
        <w:tab/>
      </w:r>
      <w:r w:rsidR="00E42519">
        <w:rPr>
          <w:rFonts w:ascii="Times New Roman" w:hAnsi="Times New Roman" w:cs="Times New Roman"/>
          <w:sz w:val="24"/>
          <w:szCs w:val="24"/>
        </w:rPr>
        <w:t xml:space="preserve">   </w:t>
      </w:r>
      <w:r w:rsidR="00D7741F" w:rsidRPr="00973D6E">
        <w:rPr>
          <w:rFonts w:ascii="Times New Roman" w:eastAsia="Times" w:hAnsi="Times New Roman" w:cs="Times New Roman"/>
          <w:caps w:val="0"/>
          <w:color w:val="000000"/>
          <w:sz w:val="24"/>
          <w:szCs w:val="24"/>
          <w:lang w:eastAsia="sk-SK"/>
        </w:rPr>
        <w:t xml:space="preserve">v </w:t>
      </w:r>
      <w:r w:rsidR="00E35CDA" w:rsidRPr="00973D6E">
        <w:rPr>
          <w:rFonts w:ascii="Times New Roman" w:eastAsia="Times" w:hAnsi="Times New Roman" w:cs="Times New Roman"/>
          <w:caps w:val="0"/>
          <w:color w:val="000000"/>
          <w:sz w:val="24"/>
          <w:szCs w:val="24"/>
          <w:lang w:eastAsia="sk-SK"/>
        </w:rPr>
        <w:t>e</w:t>
      </w:r>
      <w:r w:rsidR="00D7741F" w:rsidRPr="00973D6E">
        <w:rPr>
          <w:rFonts w:ascii="Times New Roman" w:eastAsia="Times" w:hAnsi="Times New Roman" w:cs="Times New Roman"/>
          <w:caps w:val="0"/>
          <w:color w:val="000000"/>
          <w:sz w:val="24"/>
          <w:szCs w:val="24"/>
          <w:lang w:eastAsia="sk-SK"/>
        </w:rPr>
        <w:t>ur</w:t>
      </w:r>
      <w:bookmarkEnd w:id="6"/>
      <w:r w:rsidR="005B508D">
        <w:rPr>
          <w:rFonts w:ascii="Times New Roman" w:eastAsia="Times" w:hAnsi="Times New Roman" w:cs="Times New Roman"/>
          <w:caps w:val="0"/>
          <w:color w:val="000000"/>
          <w:sz w:val="24"/>
          <w:szCs w:val="24"/>
          <w:lang w:eastAsia="sk-SK"/>
        </w:rPr>
        <w:t>ách</w:t>
      </w:r>
    </w:p>
    <w:p w:rsidR="004C66CC" w:rsidRDefault="004C66CC" w:rsidP="00973D6E">
      <w:pPr>
        <w:pStyle w:val="Styl1"/>
        <w:tabs>
          <w:tab w:val="left" w:pos="-5400"/>
          <w:tab w:val="left" w:pos="7938"/>
        </w:tabs>
        <w:spacing w:after="0" w:line="240" w:lineRule="auto"/>
        <w:ind w:left="57"/>
        <w:rPr>
          <w:rFonts w:ascii="Times New Roman" w:hAnsi="Times New Roman" w:cs="Times New Roman"/>
          <w:b/>
          <w:i/>
          <w:sz w:val="24"/>
          <w:szCs w:val="24"/>
        </w:rPr>
      </w:pPr>
    </w:p>
    <w:p w:rsidR="0012367D" w:rsidRPr="00973D6E" w:rsidRDefault="0012367D" w:rsidP="00973D6E">
      <w:pPr>
        <w:pStyle w:val="Styl1"/>
        <w:tabs>
          <w:tab w:val="left" w:pos="-5400"/>
          <w:tab w:val="left" w:pos="7938"/>
        </w:tabs>
        <w:spacing w:after="0" w:line="240" w:lineRule="auto"/>
        <w:ind w:left="57"/>
        <w:rPr>
          <w:rFonts w:ascii="Times New Roman" w:hAnsi="Times New Roman" w:cs="Times New Roman"/>
          <w:b/>
          <w:i/>
          <w:sz w:val="24"/>
          <w:szCs w:val="24"/>
        </w:rPr>
      </w:pPr>
      <w:r w:rsidRPr="00973D6E">
        <w:rPr>
          <w:rFonts w:ascii="Times New Roman" w:hAnsi="Times New Roman" w:cs="Times New Roman"/>
          <w:b/>
          <w:i/>
          <w:sz w:val="24"/>
          <w:szCs w:val="24"/>
        </w:rPr>
        <w:t>Schválený rozpočet príj</w:t>
      </w:r>
      <w:r w:rsidR="00C23321" w:rsidRPr="00973D6E">
        <w:rPr>
          <w:rFonts w:ascii="Times New Roman" w:hAnsi="Times New Roman" w:cs="Times New Roman"/>
          <w:b/>
          <w:i/>
          <w:sz w:val="24"/>
          <w:szCs w:val="24"/>
        </w:rPr>
        <w:t>mov</w:t>
      </w:r>
      <w:r w:rsidR="00935B39" w:rsidRPr="00973D6E">
        <w:rPr>
          <w:rFonts w:ascii="Times New Roman" w:hAnsi="Times New Roman" w:cs="Times New Roman"/>
          <w:b/>
          <w:i/>
          <w:sz w:val="24"/>
          <w:szCs w:val="24"/>
        </w:rPr>
        <w:t xml:space="preserve"> v </w:t>
      </w:r>
      <w:r w:rsidR="00C23321" w:rsidRPr="00973D6E">
        <w:rPr>
          <w:rFonts w:ascii="Times New Roman" w:hAnsi="Times New Roman" w:cs="Times New Roman"/>
          <w:b/>
          <w:i/>
          <w:sz w:val="24"/>
          <w:szCs w:val="24"/>
        </w:rPr>
        <w:t xml:space="preserve"> roku 201</w:t>
      </w:r>
      <w:r w:rsidR="002A51CD">
        <w:rPr>
          <w:rFonts w:ascii="Times New Roman" w:hAnsi="Times New Roman" w:cs="Times New Roman"/>
          <w:b/>
          <w:i/>
          <w:sz w:val="24"/>
          <w:szCs w:val="24"/>
        </w:rPr>
        <w:t>5</w:t>
      </w:r>
      <w:r w:rsidR="00C23321" w:rsidRPr="00973D6E">
        <w:rPr>
          <w:rFonts w:ascii="Times New Roman" w:hAnsi="Times New Roman" w:cs="Times New Roman"/>
          <w:b/>
          <w:i/>
          <w:sz w:val="24"/>
          <w:szCs w:val="24"/>
        </w:rPr>
        <w:tab/>
      </w:r>
    </w:p>
    <w:p w:rsidR="0012367D" w:rsidRPr="00973D6E" w:rsidRDefault="004149DB" w:rsidP="00EE498A">
      <w:pPr>
        <w:pStyle w:val="Styl1"/>
        <w:tabs>
          <w:tab w:val="left" w:pos="7371"/>
        </w:tabs>
        <w:spacing w:after="0" w:line="240" w:lineRule="auto"/>
        <w:ind w:left="57"/>
        <w:rPr>
          <w:rFonts w:ascii="Times New Roman" w:hAnsi="Times New Roman" w:cs="Times New Roman"/>
          <w:sz w:val="24"/>
          <w:szCs w:val="24"/>
        </w:rPr>
      </w:pPr>
      <w:r>
        <w:rPr>
          <w:rFonts w:ascii="Times New Roman" w:hAnsi="Times New Roman" w:cs="Times New Roman"/>
          <w:sz w:val="24"/>
          <w:szCs w:val="24"/>
        </w:rPr>
        <w:t>Príjmy</w:t>
      </w:r>
      <w:r w:rsidR="006D377E">
        <w:rPr>
          <w:rFonts w:ascii="Times New Roman" w:hAnsi="Times New Roman" w:cs="Times New Roman"/>
          <w:sz w:val="24"/>
          <w:szCs w:val="24"/>
        </w:rPr>
        <w:t xml:space="preserve"> </w:t>
      </w:r>
      <w:r w:rsidR="0012367D" w:rsidRPr="00973D6E">
        <w:rPr>
          <w:rFonts w:ascii="Times New Roman" w:hAnsi="Times New Roman" w:cs="Times New Roman"/>
          <w:sz w:val="24"/>
          <w:szCs w:val="24"/>
        </w:rPr>
        <w:t>kapitoly</w:t>
      </w:r>
      <w:r w:rsidR="00EE498A">
        <w:rPr>
          <w:rFonts w:ascii="Times New Roman" w:hAnsi="Times New Roman" w:cs="Times New Roman"/>
          <w:sz w:val="24"/>
          <w:szCs w:val="24"/>
        </w:rPr>
        <w:t xml:space="preserve"> </w:t>
      </w:r>
      <w:r w:rsidR="0012367D" w:rsidRPr="00973D6E">
        <w:rPr>
          <w:rFonts w:ascii="Times New Roman" w:hAnsi="Times New Roman" w:cs="Times New Roman"/>
          <w:sz w:val="24"/>
          <w:szCs w:val="24"/>
        </w:rPr>
        <w:t>(</w:t>
      </w:r>
      <w:proofErr w:type="spellStart"/>
      <w:r w:rsidR="0012367D" w:rsidRPr="00973D6E">
        <w:rPr>
          <w:rFonts w:ascii="Times New Roman" w:hAnsi="Times New Roman" w:cs="Times New Roman"/>
          <w:sz w:val="24"/>
          <w:szCs w:val="24"/>
        </w:rPr>
        <w:t>ŠR+EÚ</w:t>
      </w:r>
      <w:proofErr w:type="spellEnd"/>
      <w:r w:rsidR="0012367D" w:rsidRPr="00973D6E">
        <w:rPr>
          <w:rFonts w:ascii="Times New Roman" w:hAnsi="Times New Roman" w:cs="Times New Roman"/>
          <w:sz w:val="24"/>
          <w:szCs w:val="24"/>
        </w:rPr>
        <w:t>)</w:t>
      </w:r>
      <w:r w:rsidR="00EE498A">
        <w:rPr>
          <w:rFonts w:ascii="Times New Roman" w:hAnsi="Times New Roman" w:cs="Times New Roman"/>
          <w:sz w:val="24"/>
          <w:szCs w:val="24"/>
        </w:rPr>
        <w:t xml:space="preserve"> </w:t>
      </w:r>
      <w:r w:rsidR="00EE498A">
        <w:rPr>
          <w:rFonts w:ascii="Times New Roman" w:hAnsi="Times New Roman" w:cs="Times New Roman"/>
          <w:sz w:val="24"/>
          <w:szCs w:val="24"/>
        </w:rPr>
        <w:tab/>
      </w:r>
      <w:r w:rsidR="001A15AA">
        <w:rPr>
          <w:sz w:val="24"/>
          <w:szCs w:val="24"/>
        </w:rPr>
        <w:t>286 304 989,00</w:t>
      </w:r>
    </w:p>
    <w:p w:rsidR="006E439F" w:rsidRPr="001A15AA" w:rsidRDefault="009207ED" w:rsidP="00EE498A">
      <w:pPr>
        <w:tabs>
          <w:tab w:val="left" w:pos="7371"/>
        </w:tabs>
        <w:spacing w:after="0" w:line="240" w:lineRule="auto"/>
        <w:ind w:left="-250" w:firstLine="250"/>
        <w:jc w:val="both"/>
        <w:rPr>
          <w:sz w:val="24"/>
          <w:szCs w:val="24"/>
        </w:rPr>
      </w:pPr>
      <w:r w:rsidRPr="00973D6E">
        <w:rPr>
          <w:rFonts w:ascii="Times New Roman" w:hAnsi="Times New Roman" w:cs="Times New Roman"/>
          <w:sz w:val="24"/>
          <w:szCs w:val="24"/>
        </w:rPr>
        <w:t xml:space="preserve"> </w:t>
      </w:r>
      <w:r w:rsidR="0012367D" w:rsidRPr="00973D6E">
        <w:rPr>
          <w:rFonts w:ascii="Times New Roman" w:hAnsi="Times New Roman" w:cs="Times New Roman"/>
          <w:sz w:val="24"/>
          <w:szCs w:val="24"/>
        </w:rPr>
        <w:t>A.</w:t>
      </w:r>
      <w:r w:rsidR="00EE498A">
        <w:rPr>
          <w:rFonts w:ascii="Times New Roman" w:hAnsi="Times New Roman" w:cs="Times New Roman"/>
          <w:sz w:val="24"/>
          <w:szCs w:val="24"/>
        </w:rPr>
        <w:t xml:space="preserve"> </w:t>
      </w:r>
      <w:r w:rsidR="0012367D" w:rsidRPr="00973D6E">
        <w:rPr>
          <w:rFonts w:ascii="Times New Roman" w:hAnsi="Times New Roman" w:cs="Times New Roman"/>
          <w:sz w:val="24"/>
          <w:szCs w:val="24"/>
        </w:rPr>
        <w:t>záväzn</w:t>
      </w:r>
      <w:r w:rsidR="004149DB">
        <w:rPr>
          <w:rFonts w:ascii="Times New Roman" w:hAnsi="Times New Roman" w:cs="Times New Roman"/>
          <w:sz w:val="24"/>
          <w:szCs w:val="24"/>
        </w:rPr>
        <w:t>ý</w:t>
      </w:r>
      <w:r w:rsidR="00EE498A">
        <w:rPr>
          <w:rFonts w:ascii="Times New Roman" w:hAnsi="Times New Roman" w:cs="Times New Roman"/>
          <w:sz w:val="24"/>
          <w:szCs w:val="24"/>
        </w:rPr>
        <w:t xml:space="preserve"> </w:t>
      </w:r>
      <w:r w:rsidR="006E439F" w:rsidRPr="00973D6E">
        <w:rPr>
          <w:rFonts w:ascii="Times New Roman" w:hAnsi="Times New Roman" w:cs="Times New Roman"/>
          <w:sz w:val="24"/>
          <w:szCs w:val="24"/>
        </w:rPr>
        <w:t>ukazovateľ</w:t>
      </w:r>
      <w:r w:rsidR="00EE498A">
        <w:rPr>
          <w:rFonts w:ascii="Times New Roman" w:hAnsi="Times New Roman" w:cs="Times New Roman"/>
          <w:sz w:val="24"/>
          <w:szCs w:val="24"/>
        </w:rPr>
        <w:t xml:space="preserve"> </w:t>
      </w:r>
      <w:r w:rsidR="006E439F" w:rsidRPr="00973D6E">
        <w:rPr>
          <w:rFonts w:ascii="Times New Roman" w:hAnsi="Times New Roman" w:cs="Times New Roman"/>
          <w:sz w:val="24"/>
          <w:szCs w:val="24"/>
        </w:rPr>
        <w:t>(ŠR)</w:t>
      </w:r>
      <w:r w:rsidR="00EE498A">
        <w:rPr>
          <w:rFonts w:ascii="Times New Roman" w:hAnsi="Times New Roman" w:cs="Times New Roman"/>
          <w:sz w:val="24"/>
          <w:szCs w:val="24"/>
        </w:rPr>
        <w:tab/>
      </w:r>
      <w:r w:rsidR="001A15AA" w:rsidRPr="001A15AA">
        <w:rPr>
          <w:sz w:val="24"/>
          <w:szCs w:val="24"/>
        </w:rPr>
        <w:t>116 174 960,00</w:t>
      </w:r>
    </w:p>
    <w:p w:rsidR="0012367D" w:rsidRPr="00973D6E" w:rsidRDefault="0012367D" w:rsidP="00EE498A">
      <w:pPr>
        <w:tabs>
          <w:tab w:val="left" w:pos="7371"/>
        </w:tabs>
        <w:spacing w:after="0" w:line="240" w:lineRule="auto"/>
        <w:ind w:left="57" w:right="-51"/>
        <w:jc w:val="both"/>
        <w:rPr>
          <w:rFonts w:ascii="Times New Roman" w:hAnsi="Times New Roman" w:cs="Times New Roman"/>
          <w:sz w:val="24"/>
          <w:szCs w:val="24"/>
        </w:rPr>
      </w:pPr>
      <w:r w:rsidRPr="00973D6E">
        <w:rPr>
          <w:rFonts w:ascii="Times New Roman" w:hAnsi="Times New Roman" w:cs="Times New Roman"/>
          <w:sz w:val="24"/>
          <w:szCs w:val="24"/>
        </w:rPr>
        <w:t>B.</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prostriedky</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EÚ</w:t>
      </w:r>
      <w:r w:rsidR="00EE498A">
        <w:rPr>
          <w:rFonts w:ascii="Times New Roman" w:hAnsi="Times New Roman" w:cs="Times New Roman"/>
          <w:sz w:val="24"/>
          <w:szCs w:val="24"/>
        </w:rPr>
        <w:tab/>
      </w:r>
      <w:r w:rsidR="001A15AA">
        <w:rPr>
          <w:sz w:val="24"/>
          <w:szCs w:val="24"/>
        </w:rPr>
        <w:t>170 130 029,00</w:t>
      </w:r>
    </w:p>
    <w:p w:rsidR="00D65AC0" w:rsidRPr="00973D6E" w:rsidRDefault="00D65AC0" w:rsidP="00973D6E">
      <w:pPr>
        <w:tabs>
          <w:tab w:val="left" w:pos="7938"/>
        </w:tabs>
        <w:spacing w:after="0" w:line="240" w:lineRule="auto"/>
        <w:ind w:left="57" w:right="-51"/>
        <w:jc w:val="both"/>
        <w:rPr>
          <w:rFonts w:ascii="Times New Roman" w:hAnsi="Times New Roman" w:cs="Times New Roman"/>
          <w:sz w:val="24"/>
          <w:szCs w:val="24"/>
        </w:rPr>
      </w:pPr>
    </w:p>
    <w:p w:rsidR="0012367D" w:rsidRPr="00973D6E" w:rsidRDefault="00C82827" w:rsidP="00973D6E">
      <w:pPr>
        <w:tabs>
          <w:tab w:val="left" w:pos="7938"/>
        </w:tabs>
        <w:spacing w:after="0" w:line="240" w:lineRule="auto"/>
        <w:ind w:left="57"/>
        <w:jc w:val="both"/>
        <w:rPr>
          <w:rFonts w:ascii="Times New Roman" w:hAnsi="Times New Roman" w:cs="Times New Roman"/>
          <w:b/>
          <w:bCs/>
          <w:sz w:val="24"/>
          <w:szCs w:val="24"/>
          <w:lang w:eastAsia="sk-SK"/>
        </w:rPr>
      </w:pPr>
      <w:r w:rsidRPr="00973D6E">
        <w:rPr>
          <w:rFonts w:ascii="Times New Roman" w:hAnsi="Times New Roman" w:cs="Times New Roman"/>
          <w:b/>
          <w:i/>
          <w:sz w:val="24"/>
          <w:szCs w:val="24"/>
        </w:rPr>
        <w:t xml:space="preserve">Upravený rozpočet </w:t>
      </w:r>
      <w:r w:rsidR="00935B39" w:rsidRPr="00973D6E">
        <w:rPr>
          <w:rFonts w:ascii="Times New Roman" w:hAnsi="Times New Roman" w:cs="Times New Roman"/>
          <w:b/>
          <w:i/>
          <w:sz w:val="24"/>
          <w:szCs w:val="24"/>
        </w:rPr>
        <w:t xml:space="preserve">príjmov v </w:t>
      </w:r>
      <w:r w:rsidRPr="00973D6E">
        <w:rPr>
          <w:rFonts w:ascii="Times New Roman" w:hAnsi="Times New Roman" w:cs="Times New Roman"/>
          <w:b/>
          <w:i/>
          <w:sz w:val="24"/>
          <w:szCs w:val="24"/>
        </w:rPr>
        <w:t>roku 201</w:t>
      </w:r>
      <w:r w:rsidR="00692A42">
        <w:rPr>
          <w:rFonts w:ascii="Times New Roman" w:hAnsi="Times New Roman" w:cs="Times New Roman"/>
          <w:b/>
          <w:i/>
          <w:sz w:val="24"/>
          <w:szCs w:val="24"/>
        </w:rPr>
        <w:t>5</w:t>
      </w:r>
      <w:r w:rsidR="005B508D">
        <w:rPr>
          <w:rFonts w:ascii="Times New Roman" w:hAnsi="Times New Roman" w:cs="Times New Roman"/>
          <w:b/>
          <w:i/>
          <w:sz w:val="24"/>
          <w:szCs w:val="24"/>
        </w:rPr>
        <w:tab/>
      </w:r>
    </w:p>
    <w:p w:rsidR="0012367D" w:rsidRPr="00973D6E" w:rsidRDefault="0012367D" w:rsidP="00EE498A">
      <w:pPr>
        <w:pStyle w:val="Styl1"/>
        <w:tabs>
          <w:tab w:val="left" w:pos="7371"/>
        </w:tabs>
        <w:spacing w:after="0" w:line="240" w:lineRule="auto"/>
        <w:ind w:left="57"/>
        <w:rPr>
          <w:rFonts w:ascii="Times New Roman" w:hAnsi="Times New Roman" w:cs="Times New Roman"/>
          <w:b/>
          <w:bCs/>
          <w:sz w:val="24"/>
          <w:szCs w:val="24"/>
          <w:lang w:eastAsia="sk-SK"/>
        </w:rPr>
      </w:pPr>
      <w:r w:rsidRPr="00973D6E">
        <w:rPr>
          <w:rFonts w:ascii="Times New Roman" w:hAnsi="Times New Roman" w:cs="Times New Roman"/>
          <w:sz w:val="24"/>
          <w:szCs w:val="24"/>
        </w:rPr>
        <w:t>Príjmy</w:t>
      </w:r>
      <w:r w:rsidR="006D377E">
        <w:rPr>
          <w:rFonts w:ascii="Times New Roman" w:hAnsi="Times New Roman" w:cs="Times New Roman"/>
          <w:sz w:val="24"/>
          <w:szCs w:val="24"/>
        </w:rPr>
        <w:t xml:space="preserve"> </w:t>
      </w:r>
      <w:r w:rsidRPr="00973D6E">
        <w:rPr>
          <w:rFonts w:ascii="Times New Roman" w:hAnsi="Times New Roman" w:cs="Times New Roman"/>
          <w:sz w:val="24"/>
          <w:szCs w:val="24"/>
        </w:rPr>
        <w:t>kapitoly</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w:t>
      </w:r>
      <w:proofErr w:type="spellStart"/>
      <w:r w:rsidRPr="00973D6E">
        <w:rPr>
          <w:rFonts w:ascii="Times New Roman" w:hAnsi="Times New Roman" w:cs="Times New Roman"/>
          <w:sz w:val="24"/>
          <w:szCs w:val="24"/>
        </w:rPr>
        <w:t>ŠR+EÚ</w:t>
      </w:r>
      <w:proofErr w:type="spellEnd"/>
      <w:r w:rsidRPr="00973D6E">
        <w:rPr>
          <w:rFonts w:ascii="Times New Roman" w:hAnsi="Times New Roman" w:cs="Times New Roman"/>
          <w:sz w:val="24"/>
          <w:szCs w:val="24"/>
        </w:rPr>
        <w:t>)</w:t>
      </w:r>
      <w:r w:rsidR="00EE498A">
        <w:rPr>
          <w:rFonts w:ascii="Times New Roman" w:hAnsi="Times New Roman" w:cs="Times New Roman"/>
          <w:sz w:val="24"/>
          <w:szCs w:val="24"/>
        </w:rPr>
        <w:tab/>
      </w:r>
      <w:r w:rsidR="005B508D">
        <w:rPr>
          <w:rFonts w:ascii="Times New Roman" w:hAnsi="Times New Roman" w:cs="Times New Roman"/>
          <w:sz w:val="24"/>
          <w:szCs w:val="24"/>
        </w:rPr>
        <w:t>366 929 934,78</w:t>
      </w:r>
    </w:p>
    <w:p w:rsidR="0012367D" w:rsidRPr="00973D6E" w:rsidRDefault="0012367D" w:rsidP="00EE498A">
      <w:pPr>
        <w:tabs>
          <w:tab w:val="left" w:pos="7371"/>
        </w:tabs>
        <w:spacing w:after="0" w:line="240" w:lineRule="auto"/>
        <w:ind w:left="57"/>
        <w:jc w:val="both"/>
        <w:rPr>
          <w:rFonts w:ascii="Times New Roman" w:hAnsi="Times New Roman" w:cs="Times New Roman"/>
          <w:sz w:val="24"/>
          <w:szCs w:val="24"/>
        </w:rPr>
      </w:pPr>
      <w:r w:rsidRPr="00973D6E">
        <w:rPr>
          <w:rFonts w:ascii="Times New Roman" w:hAnsi="Times New Roman" w:cs="Times New Roman"/>
          <w:sz w:val="24"/>
          <w:szCs w:val="24"/>
        </w:rPr>
        <w:t>A. záväzný ukazovateľ (ŠR)</w:t>
      </w:r>
      <w:r w:rsidR="00EE498A">
        <w:rPr>
          <w:rFonts w:ascii="Times New Roman" w:hAnsi="Times New Roman" w:cs="Times New Roman"/>
          <w:sz w:val="24"/>
          <w:szCs w:val="24"/>
        </w:rPr>
        <w:tab/>
        <w:t xml:space="preserve">  </w:t>
      </w:r>
      <w:r w:rsidR="005B508D">
        <w:rPr>
          <w:rFonts w:ascii="Times New Roman" w:hAnsi="Times New Roman" w:cs="Times New Roman"/>
          <w:sz w:val="24"/>
          <w:szCs w:val="24"/>
        </w:rPr>
        <w:t>98 378 846,73</w:t>
      </w:r>
    </w:p>
    <w:p w:rsidR="0012367D" w:rsidRPr="00973D6E" w:rsidRDefault="004149DB" w:rsidP="00EE498A">
      <w:pPr>
        <w:tabs>
          <w:tab w:val="left" w:pos="720"/>
          <w:tab w:val="left" w:pos="7371"/>
        </w:tabs>
        <w:spacing w:after="0" w:line="240" w:lineRule="auto"/>
        <w:ind w:left="57"/>
        <w:jc w:val="both"/>
        <w:rPr>
          <w:rFonts w:ascii="Times New Roman" w:hAnsi="Times New Roman" w:cs="Times New Roman"/>
          <w:sz w:val="24"/>
          <w:szCs w:val="24"/>
        </w:rPr>
      </w:pPr>
      <w:r>
        <w:rPr>
          <w:rFonts w:ascii="Times New Roman" w:hAnsi="Times New Roman" w:cs="Times New Roman"/>
          <w:sz w:val="24"/>
          <w:szCs w:val="24"/>
        </w:rPr>
        <w:t>B.</w:t>
      </w:r>
      <w:r w:rsidR="00EE498A">
        <w:rPr>
          <w:rFonts w:ascii="Times New Roman" w:hAnsi="Times New Roman" w:cs="Times New Roman"/>
          <w:sz w:val="24"/>
          <w:szCs w:val="24"/>
        </w:rPr>
        <w:t xml:space="preserve"> </w:t>
      </w:r>
      <w:r w:rsidR="0012367D" w:rsidRPr="00973D6E">
        <w:rPr>
          <w:rFonts w:ascii="Times New Roman" w:hAnsi="Times New Roman" w:cs="Times New Roman"/>
          <w:sz w:val="24"/>
          <w:szCs w:val="24"/>
        </w:rPr>
        <w:t>prostriedky</w:t>
      </w:r>
      <w:r w:rsidR="00EE498A">
        <w:rPr>
          <w:rFonts w:ascii="Times New Roman" w:hAnsi="Times New Roman" w:cs="Times New Roman"/>
          <w:sz w:val="24"/>
          <w:szCs w:val="24"/>
        </w:rPr>
        <w:t xml:space="preserve"> </w:t>
      </w:r>
      <w:r w:rsidR="0012367D" w:rsidRPr="00973D6E">
        <w:rPr>
          <w:rFonts w:ascii="Times New Roman" w:hAnsi="Times New Roman" w:cs="Times New Roman"/>
          <w:sz w:val="24"/>
          <w:szCs w:val="24"/>
        </w:rPr>
        <w:t>EÚ</w:t>
      </w:r>
      <w:r w:rsidR="00EE498A">
        <w:rPr>
          <w:rFonts w:ascii="Times New Roman" w:hAnsi="Times New Roman" w:cs="Times New Roman"/>
          <w:sz w:val="24"/>
          <w:szCs w:val="24"/>
        </w:rPr>
        <w:tab/>
      </w:r>
      <w:r w:rsidR="005B508D">
        <w:rPr>
          <w:rFonts w:ascii="Times New Roman" w:hAnsi="Times New Roman" w:cs="Times New Roman"/>
          <w:sz w:val="24"/>
          <w:szCs w:val="24"/>
        </w:rPr>
        <w:t>268 551 088,05</w:t>
      </w:r>
    </w:p>
    <w:p w:rsidR="004149DB" w:rsidRDefault="004149DB" w:rsidP="00973D6E">
      <w:pPr>
        <w:tabs>
          <w:tab w:val="left" w:pos="7938"/>
        </w:tabs>
        <w:spacing w:after="0" w:line="240" w:lineRule="auto"/>
        <w:jc w:val="both"/>
        <w:rPr>
          <w:rFonts w:ascii="Times New Roman" w:hAnsi="Times New Roman" w:cs="Times New Roman"/>
          <w:b/>
          <w:i/>
          <w:sz w:val="24"/>
          <w:szCs w:val="24"/>
        </w:rPr>
      </w:pPr>
    </w:p>
    <w:p w:rsidR="0012367D" w:rsidRPr="00973D6E" w:rsidRDefault="00C82827" w:rsidP="00973D6E">
      <w:pPr>
        <w:tabs>
          <w:tab w:val="left" w:pos="7938"/>
        </w:tabs>
        <w:spacing w:after="0" w:line="240" w:lineRule="auto"/>
        <w:jc w:val="both"/>
        <w:rPr>
          <w:rFonts w:ascii="Times New Roman" w:hAnsi="Times New Roman" w:cs="Times New Roman"/>
          <w:b/>
          <w:i/>
          <w:sz w:val="24"/>
          <w:szCs w:val="24"/>
        </w:rPr>
      </w:pPr>
      <w:r w:rsidRPr="00973D6E">
        <w:rPr>
          <w:rFonts w:ascii="Times New Roman" w:hAnsi="Times New Roman" w:cs="Times New Roman"/>
          <w:b/>
          <w:i/>
          <w:sz w:val="24"/>
          <w:szCs w:val="24"/>
        </w:rPr>
        <w:t>Plnenie príjmov za rok 201</w:t>
      </w:r>
      <w:r w:rsidR="00692A42">
        <w:rPr>
          <w:rFonts w:ascii="Times New Roman" w:hAnsi="Times New Roman" w:cs="Times New Roman"/>
          <w:b/>
          <w:i/>
          <w:sz w:val="24"/>
          <w:szCs w:val="24"/>
        </w:rPr>
        <w:t>5</w:t>
      </w:r>
      <w:r w:rsidRPr="00973D6E">
        <w:rPr>
          <w:rFonts w:ascii="Times New Roman" w:hAnsi="Times New Roman" w:cs="Times New Roman"/>
          <w:b/>
          <w:i/>
          <w:sz w:val="24"/>
          <w:szCs w:val="24"/>
        </w:rPr>
        <w:tab/>
      </w:r>
    </w:p>
    <w:p w:rsidR="004149DB" w:rsidRDefault="0012367D" w:rsidP="00EE498A">
      <w:pPr>
        <w:tabs>
          <w:tab w:val="left" w:pos="7371"/>
        </w:tabs>
        <w:spacing w:after="0" w:line="240" w:lineRule="auto"/>
        <w:ind w:right="26"/>
        <w:jc w:val="both"/>
        <w:rPr>
          <w:rFonts w:ascii="Times New Roman" w:hAnsi="Times New Roman" w:cs="Times New Roman"/>
          <w:sz w:val="24"/>
          <w:szCs w:val="24"/>
        </w:rPr>
      </w:pPr>
      <w:r w:rsidRPr="00973D6E">
        <w:rPr>
          <w:rFonts w:ascii="Times New Roman" w:hAnsi="Times New Roman" w:cs="Times New Roman"/>
          <w:sz w:val="24"/>
          <w:szCs w:val="24"/>
        </w:rPr>
        <w:t>Príjmy</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kapitoly</w:t>
      </w:r>
      <w:r w:rsidR="00EE498A">
        <w:rPr>
          <w:rFonts w:ascii="Times New Roman" w:hAnsi="Times New Roman" w:cs="Times New Roman"/>
          <w:sz w:val="24"/>
          <w:szCs w:val="24"/>
        </w:rPr>
        <w:t xml:space="preserve"> </w:t>
      </w:r>
      <w:r w:rsidR="00F90E21" w:rsidRPr="00973D6E">
        <w:rPr>
          <w:rFonts w:ascii="Times New Roman" w:hAnsi="Times New Roman" w:cs="Times New Roman"/>
          <w:sz w:val="24"/>
          <w:szCs w:val="24"/>
        </w:rPr>
        <w:t>(</w:t>
      </w:r>
      <w:proofErr w:type="spellStart"/>
      <w:r w:rsidR="00F90E21" w:rsidRPr="00973D6E">
        <w:rPr>
          <w:rFonts w:ascii="Times New Roman" w:hAnsi="Times New Roman" w:cs="Times New Roman"/>
          <w:sz w:val="24"/>
          <w:szCs w:val="24"/>
        </w:rPr>
        <w:t>ŠR+EÚ</w:t>
      </w:r>
      <w:proofErr w:type="spellEnd"/>
      <w:r w:rsidR="00F90E21" w:rsidRPr="00973D6E">
        <w:rPr>
          <w:rFonts w:ascii="Times New Roman" w:hAnsi="Times New Roman" w:cs="Times New Roman"/>
          <w:sz w:val="24"/>
          <w:szCs w:val="24"/>
        </w:rPr>
        <w:t>)</w:t>
      </w:r>
      <w:r w:rsidR="00EE498A">
        <w:rPr>
          <w:rFonts w:ascii="Times New Roman" w:hAnsi="Times New Roman" w:cs="Times New Roman"/>
          <w:sz w:val="24"/>
          <w:szCs w:val="24"/>
        </w:rPr>
        <w:tab/>
      </w:r>
      <w:r w:rsidR="00E3710F">
        <w:rPr>
          <w:rFonts w:ascii="Times New Roman" w:hAnsi="Times New Roman" w:cs="Times New Roman"/>
          <w:sz w:val="24"/>
          <w:szCs w:val="24"/>
        </w:rPr>
        <w:t>369 085 004,57</w:t>
      </w:r>
    </w:p>
    <w:p w:rsidR="00592B8E" w:rsidRPr="00973D6E" w:rsidRDefault="0012367D" w:rsidP="00EE498A">
      <w:pPr>
        <w:tabs>
          <w:tab w:val="left" w:pos="7371"/>
        </w:tabs>
        <w:spacing w:after="0" w:line="240" w:lineRule="auto"/>
        <w:ind w:right="26"/>
        <w:jc w:val="both"/>
        <w:rPr>
          <w:rFonts w:ascii="Times New Roman" w:hAnsi="Times New Roman" w:cs="Times New Roman"/>
          <w:sz w:val="24"/>
          <w:szCs w:val="24"/>
        </w:rPr>
      </w:pPr>
      <w:r w:rsidRPr="00973D6E">
        <w:rPr>
          <w:rFonts w:ascii="Times New Roman" w:hAnsi="Times New Roman" w:cs="Times New Roman"/>
          <w:sz w:val="24"/>
          <w:szCs w:val="24"/>
        </w:rPr>
        <w:t>A.</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záväzný</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ukazovateľ(ŠR)</w:t>
      </w:r>
      <w:r w:rsidR="00EE498A">
        <w:rPr>
          <w:rFonts w:ascii="Times New Roman" w:hAnsi="Times New Roman" w:cs="Times New Roman"/>
          <w:sz w:val="24"/>
          <w:szCs w:val="24"/>
        </w:rPr>
        <w:tab/>
      </w:r>
      <w:r w:rsidR="00E3710F">
        <w:rPr>
          <w:rFonts w:ascii="Times New Roman" w:hAnsi="Times New Roman" w:cs="Times New Roman"/>
          <w:sz w:val="24"/>
          <w:szCs w:val="24"/>
        </w:rPr>
        <w:t>100 052 </w:t>
      </w:r>
      <w:r w:rsidR="00951121">
        <w:rPr>
          <w:rFonts w:ascii="Times New Roman" w:hAnsi="Times New Roman" w:cs="Times New Roman"/>
          <w:sz w:val="24"/>
          <w:szCs w:val="24"/>
        </w:rPr>
        <w:t>705</w:t>
      </w:r>
      <w:r w:rsidR="00E3710F">
        <w:rPr>
          <w:rFonts w:ascii="Times New Roman" w:hAnsi="Times New Roman" w:cs="Times New Roman"/>
          <w:sz w:val="24"/>
          <w:szCs w:val="24"/>
        </w:rPr>
        <w:t>,</w:t>
      </w:r>
      <w:r w:rsidR="00951121">
        <w:rPr>
          <w:rFonts w:ascii="Times New Roman" w:hAnsi="Times New Roman" w:cs="Times New Roman"/>
          <w:sz w:val="24"/>
          <w:szCs w:val="24"/>
        </w:rPr>
        <w:t>95</w:t>
      </w:r>
      <w:r w:rsidRPr="00973D6E">
        <w:rPr>
          <w:rFonts w:ascii="Times New Roman" w:hAnsi="Times New Roman" w:cs="Times New Roman"/>
          <w:sz w:val="24"/>
          <w:szCs w:val="24"/>
        </w:rPr>
        <w:t xml:space="preserve"> </w:t>
      </w:r>
    </w:p>
    <w:p w:rsidR="00771AD5" w:rsidRPr="00973D6E" w:rsidRDefault="00771AD5" w:rsidP="00973D6E">
      <w:pPr>
        <w:tabs>
          <w:tab w:val="left" w:pos="7938"/>
        </w:tabs>
        <w:spacing w:after="0" w:line="240" w:lineRule="auto"/>
        <w:ind w:right="-223" w:firstLine="284"/>
        <w:jc w:val="both"/>
        <w:rPr>
          <w:rFonts w:ascii="Times New Roman" w:hAnsi="Times New Roman" w:cs="Times New Roman"/>
          <w:sz w:val="24"/>
          <w:szCs w:val="24"/>
        </w:rPr>
      </w:pPr>
      <w:r w:rsidRPr="00973D6E">
        <w:rPr>
          <w:rFonts w:ascii="Times New Roman" w:hAnsi="Times New Roman" w:cs="Times New Roman"/>
          <w:sz w:val="24"/>
          <w:szCs w:val="24"/>
        </w:rPr>
        <w:t>z toho:</w:t>
      </w:r>
    </w:p>
    <w:p w:rsidR="00771AD5" w:rsidRPr="00973D6E" w:rsidRDefault="004149DB" w:rsidP="00EE498A">
      <w:pPr>
        <w:tabs>
          <w:tab w:val="left" w:pos="7371"/>
        </w:tabs>
        <w:spacing w:after="0" w:line="240" w:lineRule="auto"/>
        <w:ind w:right="-223" w:firstLine="284"/>
        <w:jc w:val="both"/>
        <w:rPr>
          <w:rFonts w:ascii="Times New Roman" w:hAnsi="Times New Roman" w:cs="Times New Roman"/>
          <w:sz w:val="24"/>
          <w:szCs w:val="24"/>
        </w:rPr>
      </w:pPr>
      <w:r>
        <w:rPr>
          <w:rFonts w:ascii="Times New Roman" w:hAnsi="Times New Roman" w:cs="Times New Roman"/>
          <w:sz w:val="24"/>
          <w:szCs w:val="24"/>
        </w:rPr>
        <w:t>zdroj 111</w:t>
      </w:r>
      <w:r w:rsidR="00EE498A">
        <w:rPr>
          <w:rFonts w:ascii="Times New Roman" w:hAnsi="Times New Roman" w:cs="Times New Roman"/>
          <w:sz w:val="24"/>
          <w:szCs w:val="24"/>
        </w:rPr>
        <w:tab/>
      </w:r>
      <w:r w:rsidR="00E3710F">
        <w:rPr>
          <w:rFonts w:ascii="Times New Roman" w:hAnsi="Times New Roman" w:cs="Times New Roman"/>
          <w:sz w:val="24"/>
          <w:szCs w:val="24"/>
        </w:rPr>
        <w:t>100 018 081,65</w:t>
      </w:r>
    </w:p>
    <w:p w:rsidR="00771AD5" w:rsidRDefault="00771AD5" w:rsidP="00EE498A">
      <w:pPr>
        <w:tabs>
          <w:tab w:val="left" w:pos="7371"/>
        </w:tabs>
        <w:spacing w:after="0" w:line="240" w:lineRule="auto"/>
        <w:ind w:right="-223" w:firstLine="284"/>
        <w:jc w:val="both"/>
        <w:rPr>
          <w:rFonts w:ascii="Times New Roman" w:hAnsi="Times New Roman" w:cs="Times New Roman"/>
          <w:sz w:val="24"/>
          <w:szCs w:val="24"/>
        </w:rPr>
      </w:pPr>
      <w:r w:rsidRPr="00973D6E">
        <w:rPr>
          <w:rFonts w:ascii="Times New Roman" w:hAnsi="Times New Roman" w:cs="Times New Roman"/>
          <w:sz w:val="24"/>
          <w:szCs w:val="24"/>
        </w:rPr>
        <w:t>zdroj 131</w:t>
      </w:r>
      <w:r w:rsidR="00E3710F">
        <w:rPr>
          <w:rFonts w:ascii="Times New Roman" w:hAnsi="Times New Roman" w:cs="Times New Roman"/>
          <w:sz w:val="24"/>
          <w:szCs w:val="24"/>
        </w:rPr>
        <w:t>D</w:t>
      </w:r>
      <w:r w:rsidRPr="00973D6E">
        <w:rPr>
          <w:rFonts w:ascii="Times New Roman" w:hAnsi="Times New Roman" w:cs="Times New Roman"/>
          <w:sz w:val="24"/>
          <w:szCs w:val="24"/>
        </w:rPr>
        <w:t>, 131</w:t>
      </w:r>
      <w:r w:rsidR="00E3710F">
        <w:rPr>
          <w:rFonts w:ascii="Times New Roman" w:hAnsi="Times New Roman" w:cs="Times New Roman"/>
          <w:sz w:val="24"/>
          <w:szCs w:val="24"/>
        </w:rPr>
        <w:t>E</w:t>
      </w:r>
      <w:r w:rsidR="00EE498A">
        <w:rPr>
          <w:rFonts w:ascii="Times New Roman" w:hAnsi="Times New Roman" w:cs="Times New Roman"/>
          <w:sz w:val="24"/>
          <w:szCs w:val="24"/>
        </w:rPr>
        <w:tab/>
        <w:t xml:space="preserve">         </w:t>
      </w:r>
      <w:r w:rsidR="00E3710F">
        <w:rPr>
          <w:rFonts w:ascii="Times New Roman" w:hAnsi="Times New Roman" w:cs="Times New Roman"/>
          <w:sz w:val="24"/>
          <w:szCs w:val="24"/>
        </w:rPr>
        <w:t>34 111,40</w:t>
      </w:r>
    </w:p>
    <w:p w:rsidR="00592B8E" w:rsidRDefault="0012367D" w:rsidP="00EE498A">
      <w:pPr>
        <w:tabs>
          <w:tab w:val="left" w:pos="7371"/>
        </w:tabs>
        <w:spacing w:after="0" w:line="240" w:lineRule="auto"/>
        <w:ind w:right="-223"/>
        <w:jc w:val="both"/>
        <w:rPr>
          <w:rFonts w:ascii="Times New Roman" w:hAnsi="Times New Roman" w:cs="Times New Roman"/>
          <w:sz w:val="24"/>
          <w:szCs w:val="24"/>
        </w:rPr>
      </w:pPr>
      <w:r w:rsidRPr="00973D6E">
        <w:rPr>
          <w:rFonts w:ascii="Times New Roman" w:hAnsi="Times New Roman" w:cs="Times New Roman"/>
          <w:sz w:val="24"/>
          <w:szCs w:val="24"/>
        </w:rPr>
        <w:t>B.</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prostriedky</w:t>
      </w:r>
      <w:r w:rsidR="00EE498A">
        <w:rPr>
          <w:rFonts w:ascii="Times New Roman" w:hAnsi="Times New Roman" w:cs="Times New Roman"/>
          <w:sz w:val="24"/>
          <w:szCs w:val="24"/>
        </w:rPr>
        <w:t xml:space="preserve"> </w:t>
      </w:r>
      <w:r w:rsidRPr="00973D6E">
        <w:rPr>
          <w:rFonts w:ascii="Times New Roman" w:hAnsi="Times New Roman" w:cs="Times New Roman"/>
          <w:sz w:val="24"/>
          <w:szCs w:val="24"/>
        </w:rPr>
        <w:t>EÚ</w:t>
      </w:r>
      <w:r w:rsidR="00EE498A">
        <w:rPr>
          <w:rFonts w:ascii="Times New Roman" w:hAnsi="Times New Roman" w:cs="Times New Roman"/>
          <w:sz w:val="24"/>
          <w:szCs w:val="24"/>
        </w:rPr>
        <w:tab/>
      </w:r>
      <w:r w:rsidR="00592B8E" w:rsidRPr="00592B8E">
        <w:rPr>
          <w:rFonts w:ascii="Times New Roman" w:hAnsi="Times New Roman" w:cs="Times New Roman"/>
          <w:sz w:val="24"/>
          <w:szCs w:val="24"/>
        </w:rPr>
        <w:t>268 845 759,19</w:t>
      </w:r>
    </w:p>
    <w:p w:rsidR="0012367D" w:rsidRPr="00973D6E" w:rsidRDefault="00592B8E" w:rsidP="00EE498A">
      <w:pPr>
        <w:tabs>
          <w:tab w:val="left" w:pos="7371"/>
        </w:tabs>
        <w:spacing w:after="0" w:line="240" w:lineRule="auto"/>
        <w:ind w:right="-223"/>
        <w:jc w:val="both"/>
        <w:rPr>
          <w:rFonts w:ascii="Times New Roman" w:hAnsi="Times New Roman" w:cs="Times New Roman"/>
          <w:sz w:val="24"/>
          <w:szCs w:val="24"/>
        </w:rPr>
      </w:pPr>
      <w:r>
        <w:rPr>
          <w:rFonts w:ascii="Times New Roman" w:hAnsi="Times New Roman" w:cs="Times New Roman"/>
          <w:sz w:val="24"/>
          <w:szCs w:val="24"/>
        </w:rPr>
        <w:t>C. prostriedky na spolufinancovanie</w:t>
      </w:r>
      <w:r w:rsidR="00EE498A">
        <w:rPr>
          <w:rFonts w:ascii="Times New Roman" w:hAnsi="Times New Roman" w:cs="Times New Roman"/>
          <w:sz w:val="24"/>
          <w:szCs w:val="24"/>
        </w:rPr>
        <w:tab/>
        <w:t xml:space="preserve">       </w:t>
      </w:r>
      <w:r w:rsidRPr="00592B8E">
        <w:rPr>
          <w:rFonts w:ascii="Times New Roman" w:hAnsi="Times New Roman" w:cs="Times New Roman"/>
          <w:sz w:val="24"/>
          <w:szCs w:val="24"/>
        </w:rPr>
        <w:t>186 539,43</w:t>
      </w:r>
    </w:p>
    <w:p w:rsidR="004149DB" w:rsidRDefault="00AE59F3" w:rsidP="00EE498A">
      <w:pPr>
        <w:tabs>
          <w:tab w:val="left" w:pos="7371"/>
        </w:tabs>
        <w:spacing w:after="0" w:line="240" w:lineRule="auto"/>
        <w:ind w:right="26"/>
        <w:jc w:val="both"/>
        <w:rPr>
          <w:rFonts w:ascii="Times New Roman" w:hAnsi="Times New Roman" w:cs="Times New Roman"/>
          <w:sz w:val="24"/>
          <w:szCs w:val="24"/>
        </w:rPr>
      </w:pPr>
      <w:r w:rsidRPr="00973D6E">
        <w:rPr>
          <w:rFonts w:ascii="Times New Roman" w:hAnsi="Times New Roman" w:cs="Times New Roman"/>
          <w:sz w:val="24"/>
          <w:szCs w:val="24"/>
        </w:rPr>
        <w:t>D</w:t>
      </w:r>
      <w:r w:rsidR="0012367D" w:rsidRPr="00973D6E">
        <w:rPr>
          <w:rFonts w:ascii="Times New Roman" w:hAnsi="Times New Roman" w:cs="Times New Roman"/>
          <w:sz w:val="24"/>
          <w:szCs w:val="24"/>
        </w:rPr>
        <w:t xml:space="preserve">. zahraničný grant -  </w:t>
      </w:r>
      <w:proofErr w:type="spellStart"/>
      <w:r w:rsidR="0012367D" w:rsidRPr="00973D6E">
        <w:rPr>
          <w:rFonts w:ascii="Times New Roman" w:hAnsi="Times New Roman" w:cs="Times New Roman"/>
          <w:sz w:val="24"/>
          <w:szCs w:val="24"/>
        </w:rPr>
        <w:t>SOI</w:t>
      </w:r>
      <w:proofErr w:type="spellEnd"/>
      <w:r w:rsidR="00EE498A">
        <w:rPr>
          <w:rFonts w:ascii="Times New Roman" w:hAnsi="Times New Roman" w:cs="Times New Roman"/>
          <w:sz w:val="24"/>
          <w:szCs w:val="24"/>
        </w:rPr>
        <w:tab/>
        <w:t xml:space="preserve">              </w:t>
      </w:r>
      <w:r w:rsidR="00E3710F">
        <w:rPr>
          <w:rFonts w:ascii="Times New Roman" w:hAnsi="Times New Roman" w:cs="Times New Roman"/>
          <w:sz w:val="24"/>
          <w:szCs w:val="24"/>
        </w:rPr>
        <w:t>512,90</w:t>
      </w:r>
    </w:p>
    <w:p w:rsidR="004149DB" w:rsidRDefault="004149DB" w:rsidP="004149DB">
      <w:pPr>
        <w:tabs>
          <w:tab w:val="left" w:pos="7938"/>
        </w:tabs>
        <w:spacing w:after="0" w:line="240" w:lineRule="auto"/>
        <w:ind w:right="26"/>
        <w:jc w:val="both"/>
        <w:rPr>
          <w:rFonts w:ascii="Times New Roman" w:hAnsi="Times New Roman" w:cs="Times New Roman"/>
          <w:sz w:val="24"/>
          <w:szCs w:val="24"/>
        </w:rPr>
      </w:pPr>
    </w:p>
    <w:p w:rsidR="002F6CBA" w:rsidRPr="00973D6E" w:rsidRDefault="008F4E06" w:rsidP="008F4E06">
      <w:pPr>
        <w:tabs>
          <w:tab w:val="left" w:pos="709"/>
        </w:tabs>
        <w:spacing w:after="0" w:line="240" w:lineRule="auto"/>
        <w:ind w:right="26"/>
        <w:jc w:val="both"/>
        <w:rPr>
          <w:rFonts w:ascii="Times New Roman" w:hAnsi="Times New Roman" w:cs="Times New Roman"/>
          <w:sz w:val="24"/>
          <w:szCs w:val="24"/>
        </w:rPr>
      </w:pPr>
      <w:r>
        <w:rPr>
          <w:rFonts w:ascii="Times New Roman" w:hAnsi="Times New Roman" w:cs="Times New Roman"/>
          <w:sz w:val="24"/>
          <w:szCs w:val="24"/>
        </w:rPr>
        <w:tab/>
      </w:r>
      <w:r w:rsidR="00C72D62" w:rsidRPr="00973D6E">
        <w:rPr>
          <w:rFonts w:ascii="Times New Roman" w:hAnsi="Times New Roman" w:cs="Times New Roman"/>
          <w:sz w:val="24"/>
          <w:szCs w:val="24"/>
        </w:rPr>
        <w:t>P</w:t>
      </w:r>
      <w:r w:rsidR="0012367D" w:rsidRPr="00973D6E">
        <w:rPr>
          <w:rFonts w:ascii="Times New Roman" w:hAnsi="Times New Roman" w:cs="Times New Roman"/>
          <w:sz w:val="24"/>
          <w:szCs w:val="24"/>
        </w:rPr>
        <w:t>ríjm</w:t>
      </w:r>
      <w:r w:rsidR="00C72D62" w:rsidRPr="00973D6E">
        <w:rPr>
          <w:rFonts w:ascii="Times New Roman" w:hAnsi="Times New Roman" w:cs="Times New Roman"/>
          <w:sz w:val="24"/>
          <w:szCs w:val="24"/>
        </w:rPr>
        <w:t>y</w:t>
      </w:r>
      <w:r w:rsidR="0012367D" w:rsidRPr="00973D6E">
        <w:rPr>
          <w:rFonts w:ascii="Times New Roman" w:hAnsi="Times New Roman" w:cs="Times New Roman"/>
          <w:sz w:val="24"/>
          <w:szCs w:val="24"/>
        </w:rPr>
        <w:t xml:space="preserve"> pre kapitolu MH SR na rok 201</w:t>
      </w:r>
      <w:r w:rsidR="00692A42">
        <w:rPr>
          <w:rFonts w:ascii="Times New Roman" w:hAnsi="Times New Roman" w:cs="Times New Roman"/>
          <w:sz w:val="24"/>
          <w:szCs w:val="24"/>
        </w:rPr>
        <w:t>5</w:t>
      </w:r>
      <w:r w:rsidR="0012367D" w:rsidRPr="00973D6E">
        <w:rPr>
          <w:rFonts w:ascii="Times New Roman" w:hAnsi="Times New Roman" w:cs="Times New Roman"/>
          <w:sz w:val="24"/>
          <w:szCs w:val="24"/>
        </w:rPr>
        <w:t xml:space="preserve"> bol</w:t>
      </w:r>
      <w:r w:rsidR="00C72D62" w:rsidRPr="00973D6E">
        <w:rPr>
          <w:rFonts w:ascii="Times New Roman" w:hAnsi="Times New Roman" w:cs="Times New Roman"/>
          <w:sz w:val="24"/>
          <w:szCs w:val="24"/>
        </w:rPr>
        <w:t>i</w:t>
      </w:r>
      <w:r w:rsidR="0012367D" w:rsidRPr="00973D6E">
        <w:rPr>
          <w:rFonts w:ascii="Times New Roman" w:hAnsi="Times New Roman" w:cs="Times New Roman"/>
          <w:sz w:val="24"/>
          <w:szCs w:val="24"/>
        </w:rPr>
        <w:t xml:space="preserve"> štátnym rozpočtom  stanoven</w:t>
      </w:r>
      <w:r w:rsidR="00C72D62" w:rsidRPr="00973D6E">
        <w:rPr>
          <w:rFonts w:ascii="Times New Roman" w:hAnsi="Times New Roman" w:cs="Times New Roman"/>
          <w:sz w:val="24"/>
          <w:szCs w:val="24"/>
        </w:rPr>
        <w:t>é</w:t>
      </w:r>
      <w:r w:rsidR="0012367D" w:rsidRPr="00973D6E">
        <w:rPr>
          <w:rFonts w:ascii="Times New Roman" w:hAnsi="Times New Roman" w:cs="Times New Roman"/>
          <w:sz w:val="24"/>
          <w:szCs w:val="24"/>
        </w:rPr>
        <w:t xml:space="preserve"> v</w:t>
      </w:r>
      <w:r w:rsidR="00E3710F">
        <w:rPr>
          <w:rFonts w:ascii="Times New Roman" w:hAnsi="Times New Roman" w:cs="Times New Roman"/>
          <w:sz w:val="24"/>
          <w:szCs w:val="24"/>
        </w:rPr>
        <w:t xml:space="preserve"> sume </w:t>
      </w:r>
      <w:r w:rsidR="00692A42">
        <w:rPr>
          <w:sz w:val="24"/>
          <w:szCs w:val="24"/>
        </w:rPr>
        <w:t xml:space="preserve">286 304 989,00 </w:t>
      </w:r>
      <w:r w:rsidR="009F7787" w:rsidRPr="00F90E21">
        <w:rPr>
          <w:rFonts w:ascii="Times New Roman" w:hAnsi="Times New Roman" w:cs="Times New Roman"/>
          <w:bCs/>
          <w:sz w:val="24"/>
          <w:szCs w:val="24"/>
          <w:lang w:eastAsia="sk-SK"/>
        </w:rPr>
        <w:t>e</w:t>
      </w:r>
      <w:r w:rsidR="0012367D" w:rsidRPr="00973D6E">
        <w:rPr>
          <w:rFonts w:ascii="Times New Roman" w:hAnsi="Times New Roman" w:cs="Times New Roman"/>
          <w:sz w:val="24"/>
          <w:szCs w:val="24"/>
        </w:rPr>
        <w:t>ur. V priebehu roka  boli príjmy upravené v zmysle  zákona 523/2004 Z.</w:t>
      </w:r>
      <w:r w:rsidR="00A67CB0">
        <w:rPr>
          <w:rFonts w:ascii="Times New Roman" w:hAnsi="Times New Roman" w:cs="Times New Roman"/>
          <w:sz w:val="24"/>
          <w:szCs w:val="24"/>
        </w:rPr>
        <w:t xml:space="preserve"> </w:t>
      </w:r>
      <w:r w:rsidR="0012367D" w:rsidRPr="00973D6E">
        <w:rPr>
          <w:rFonts w:ascii="Times New Roman" w:hAnsi="Times New Roman" w:cs="Times New Roman"/>
          <w:sz w:val="24"/>
          <w:szCs w:val="24"/>
        </w:rPr>
        <w:t xml:space="preserve">z. o rozpočtových pravidlách verejnej správy a o zmene a doplnení niektorých zákonov v znení neskorších predpisov na </w:t>
      </w:r>
      <w:r w:rsidR="00D00D8D">
        <w:rPr>
          <w:rFonts w:ascii="Times New Roman" w:hAnsi="Times New Roman" w:cs="Times New Roman"/>
          <w:sz w:val="24"/>
          <w:szCs w:val="24"/>
        </w:rPr>
        <w:t>hodnotu</w:t>
      </w:r>
      <w:r w:rsidR="007F70BD">
        <w:rPr>
          <w:rFonts w:ascii="Times New Roman" w:hAnsi="Times New Roman" w:cs="Times New Roman"/>
          <w:sz w:val="24"/>
          <w:szCs w:val="24"/>
        </w:rPr>
        <w:t xml:space="preserve"> 366 929 934,78</w:t>
      </w:r>
      <w:r w:rsidR="00D00D8D">
        <w:rPr>
          <w:rFonts w:ascii="Times New Roman" w:hAnsi="Times New Roman" w:cs="Times New Roman"/>
          <w:sz w:val="24"/>
          <w:szCs w:val="24"/>
        </w:rPr>
        <w:t xml:space="preserve"> </w:t>
      </w:r>
      <w:r w:rsidR="009F7787" w:rsidRPr="00973D6E">
        <w:rPr>
          <w:rFonts w:ascii="Times New Roman" w:hAnsi="Times New Roman" w:cs="Times New Roman"/>
          <w:sz w:val="24"/>
          <w:szCs w:val="24"/>
        </w:rPr>
        <w:t>e</w:t>
      </w:r>
      <w:r w:rsidR="0012367D" w:rsidRPr="00973D6E">
        <w:rPr>
          <w:rFonts w:ascii="Times New Roman" w:hAnsi="Times New Roman" w:cs="Times New Roman"/>
          <w:sz w:val="24"/>
          <w:szCs w:val="24"/>
        </w:rPr>
        <w:t xml:space="preserve">ur. </w:t>
      </w:r>
      <w:r w:rsidR="001339A1" w:rsidRPr="00973D6E">
        <w:rPr>
          <w:rFonts w:ascii="Times New Roman" w:hAnsi="Times New Roman" w:cs="Times New Roman"/>
          <w:sz w:val="24"/>
          <w:szCs w:val="24"/>
        </w:rPr>
        <w:t>Celkové príjmy kapitoly MH SR boli v roku 201</w:t>
      </w:r>
      <w:r w:rsidR="00692A42">
        <w:rPr>
          <w:rFonts w:ascii="Times New Roman" w:hAnsi="Times New Roman" w:cs="Times New Roman"/>
          <w:sz w:val="24"/>
          <w:szCs w:val="24"/>
        </w:rPr>
        <w:t>5</w:t>
      </w:r>
      <w:r w:rsidR="001339A1" w:rsidRPr="00973D6E">
        <w:rPr>
          <w:rFonts w:ascii="Times New Roman" w:hAnsi="Times New Roman" w:cs="Times New Roman"/>
          <w:sz w:val="24"/>
          <w:szCs w:val="24"/>
        </w:rPr>
        <w:t xml:space="preserve"> dosiahnuté </w:t>
      </w:r>
      <w:r w:rsidR="00D00D8D">
        <w:rPr>
          <w:rFonts w:ascii="Times New Roman" w:hAnsi="Times New Roman" w:cs="Times New Roman"/>
          <w:sz w:val="24"/>
          <w:szCs w:val="24"/>
        </w:rPr>
        <w:t>v sume</w:t>
      </w:r>
      <w:r w:rsidR="001339A1" w:rsidRPr="00973D6E">
        <w:rPr>
          <w:rFonts w:ascii="Times New Roman" w:hAnsi="Times New Roman" w:cs="Times New Roman"/>
          <w:sz w:val="24"/>
          <w:szCs w:val="24"/>
        </w:rPr>
        <w:t xml:space="preserve"> </w:t>
      </w:r>
      <w:r w:rsidR="00E3710F">
        <w:rPr>
          <w:rFonts w:ascii="Times New Roman" w:hAnsi="Times New Roman" w:cs="Times New Roman"/>
          <w:sz w:val="24"/>
          <w:szCs w:val="24"/>
        </w:rPr>
        <w:t xml:space="preserve">369 085 004,57 </w:t>
      </w:r>
      <w:r w:rsidR="009F7787" w:rsidRPr="00973D6E">
        <w:rPr>
          <w:rFonts w:ascii="Times New Roman" w:hAnsi="Times New Roman" w:cs="Times New Roman"/>
          <w:sz w:val="24"/>
          <w:szCs w:val="24"/>
        </w:rPr>
        <w:t>e</w:t>
      </w:r>
      <w:r w:rsidR="001339A1" w:rsidRPr="00973D6E">
        <w:rPr>
          <w:rFonts w:ascii="Times New Roman" w:hAnsi="Times New Roman" w:cs="Times New Roman"/>
          <w:sz w:val="24"/>
          <w:szCs w:val="24"/>
        </w:rPr>
        <w:t xml:space="preserve">ur. </w:t>
      </w:r>
      <w:r w:rsidR="0012367D" w:rsidRPr="00973D6E">
        <w:rPr>
          <w:rFonts w:ascii="Times New Roman" w:hAnsi="Times New Roman" w:cs="Times New Roman"/>
          <w:sz w:val="24"/>
          <w:szCs w:val="24"/>
        </w:rPr>
        <w:t xml:space="preserve">Z tohto objemu </w:t>
      </w:r>
      <w:r w:rsidR="001339A1" w:rsidRPr="00973D6E">
        <w:rPr>
          <w:rFonts w:ascii="Times New Roman" w:hAnsi="Times New Roman" w:cs="Times New Roman"/>
          <w:sz w:val="24"/>
          <w:szCs w:val="24"/>
        </w:rPr>
        <w:t xml:space="preserve">boli nedaňové príjmy dosiahnuté </w:t>
      </w:r>
      <w:r w:rsidR="00F628EF">
        <w:rPr>
          <w:rFonts w:ascii="Times New Roman" w:hAnsi="Times New Roman" w:cs="Times New Roman"/>
          <w:sz w:val="24"/>
          <w:szCs w:val="24"/>
        </w:rPr>
        <w:t>v sume</w:t>
      </w:r>
      <w:r w:rsidR="00F628EF" w:rsidRPr="00973D6E">
        <w:rPr>
          <w:rFonts w:ascii="Times New Roman" w:hAnsi="Times New Roman" w:cs="Times New Roman"/>
          <w:sz w:val="24"/>
          <w:szCs w:val="24"/>
        </w:rPr>
        <w:t xml:space="preserve"> </w:t>
      </w:r>
      <w:r w:rsidR="00B42CBC">
        <w:rPr>
          <w:rFonts w:ascii="Times New Roman" w:hAnsi="Times New Roman" w:cs="Times New Roman"/>
          <w:sz w:val="24"/>
          <w:szCs w:val="24"/>
        </w:rPr>
        <w:t xml:space="preserve">100 533 403,62 </w:t>
      </w:r>
      <w:r w:rsidR="00551EE7" w:rsidRPr="00973D6E">
        <w:rPr>
          <w:rFonts w:ascii="Times New Roman" w:hAnsi="Times New Roman" w:cs="Times New Roman"/>
          <w:sz w:val="24"/>
          <w:szCs w:val="24"/>
        </w:rPr>
        <w:t xml:space="preserve">eur </w:t>
      </w:r>
      <w:r w:rsidR="001339A1" w:rsidRPr="00973D6E">
        <w:rPr>
          <w:rFonts w:ascii="Times New Roman" w:hAnsi="Times New Roman" w:cs="Times New Roman"/>
          <w:sz w:val="24"/>
          <w:szCs w:val="24"/>
        </w:rPr>
        <w:t xml:space="preserve"> a granty a transfery boli </w:t>
      </w:r>
      <w:r w:rsidR="00F90E21">
        <w:rPr>
          <w:rFonts w:ascii="Times New Roman" w:hAnsi="Times New Roman" w:cs="Times New Roman"/>
          <w:sz w:val="24"/>
          <w:szCs w:val="24"/>
        </w:rPr>
        <w:t xml:space="preserve">dosiahnuté </w:t>
      </w:r>
      <w:r w:rsidR="00F628EF">
        <w:rPr>
          <w:rFonts w:ascii="Times New Roman" w:hAnsi="Times New Roman" w:cs="Times New Roman"/>
          <w:sz w:val="24"/>
          <w:szCs w:val="24"/>
        </w:rPr>
        <w:t>v</w:t>
      </w:r>
      <w:r w:rsidR="00B42CBC">
        <w:rPr>
          <w:rFonts w:ascii="Times New Roman" w:hAnsi="Times New Roman" w:cs="Times New Roman"/>
          <w:sz w:val="24"/>
          <w:szCs w:val="24"/>
        </w:rPr>
        <w:t> </w:t>
      </w:r>
      <w:r w:rsidR="00F628EF">
        <w:rPr>
          <w:rFonts w:ascii="Times New Roman" w:hAnsi="Times New Roman" w:cs="Times New Roman"/>
          <w:sz w:val="24"/>
          <w:szCs w:val="24"/>
        </w:rPr>
        <w:t>sume</w:t>
      </w:r>
      <w:r w:rsidR="00B42CBC">
        <w:rPr>
          <w:rFonts w:ascii="Times New Roman" w:hAnsi="Times New Roman" w:cs="Times New Roman"/>
          <w:sz w:val="24"/>
          <w:szCs w:val="24"/>
        </w:rPr>
        <w:t xml:space="preserve"> 268 551 600,95</w:t>
      </w:r>
      <w:r w:rsidR="00F628EF" w:rsidRPr="00973D6E">
        <w:rPr>
          <w:rFonts w:ascii="Times New Roman" w:hAnsi="Times New Roman" w:cs="Times New Roman"/>
          <w:sz w:val="24"/>
          <w:szCs w:val="24"/>
        </w:rPr>
        <w:t xml:space="preserve"> </w:t>
      </w:r>
      <w:r w:rsidR="009F7787" w:rsidRPr="00973D6E">
        <w:rPr>
          <w:rFonts w:ascii="Times New Roman" w:hAnsi="Times New Roman" w:cs="Times New Roman"/>
          <w:sz w:val="24"/>
          <w:szCs w:val="24"/>
        </w:rPr>
        <w:t>e</w:t>
      </w:r>
      <w:r w:rsidR="001339A1" w:rsidRPr="00973D6E">
        <w:rPr>
          <w:rFonts w:ascii="Times New Roman" w:hAnsi="Times New Roman" w:cs="Times New Roman"/>
          <w:sz w:val="24"/>
          <w:szCs w:val="24"/>
        </w:rPr>
        <w:t>ur.</w:t>
      </w:r>
    </w:p>
    <w:p w:rsidR="00BA5948" w:rsidRPr="00973D6E" w:rsidRDefault="0011054B" w:rsidP="00987121">
      <w:pPr>
        <w:pStyle w:val="Zarkazkladnhotextu"/>
        <w:spacing w:after="0" w:line="240" w:lineRule="auto"/>
        <w:ind w:left="0"/>
        <w:jc w:val="both"/>
        <w:rPr>
          <w:rFonts w:ascii="Times New Roman" w:hAnsi="Times New Roman" w:cs="Times New Roman"/>
          <w:sz w:val="24"/>
          <w:szCs w:val="24"/>
        </w:rPr>
      </w:pPr>
      <w:r w:rsidRPr="00973D6E">
        <w:rPr>
          <w:rFonts w:ascii="Times New Roman" w:hAnsi="Times New Roman" w:cs="Times New Roman"/>
          <w:sz w:val="24"/>
          <w:szCs w:val="24"/>
        </w:rPr>
        <w:t>Z celkových príjmov kapitoly MH SR boli</w:t>
      </w:r>
      <w:r w:rsidR="0012367D" w:rsidRPr="00973D6E">
        <w:rPr>
          <w:rFonts w:ascii="Times New Roman" w:hAnsi="Times New Roman" w:cs="Times New Roman"/>
          <w:sz w:val="24"/>
          <w:szCs w:val="24"/>
        </w:rPr>
        <w:t xml:space="preserve"> príjmy štátneho rozpočtu </w:t>
      </w:r>
      <w:r w:rsidR="0031727F" w:rsidRPr="00973D6E">
        <w:rPr>
          <w:rFonts w:ascii="Times New Roman" w:hAnsi="Times New Roman" w:cs="Times New Roman"/>
          <w:sz w:val="24"/>
          <w:szCs w:val="24"/>
        </w:rPr>
        <w:t xml:space="preserve">naplnené </w:t>
      </w:r>
      <w:r w:rsidR="00F628EF">
        <w:rPr>
          <w:rFonts w:ascii="Times New Roman" w:hAnsi="Times New Roman" w:cs="Times New Roman"/>
          <w:sz w:val="24"/>
          <w:szCs w:val="24"/>
        </w:rPr>
        <w:t>v sume</w:t>
      </w:r>
      <w:r w:rsidR="00F628EF" w:rsidRPr="00973D6E">
        <w:rPr>
          <w:rFonts w:ascii="Times New Roman" w:hAnsi="Times New Roman" w:cs="Times New Roman"/>
          <w:sz w:val="24"/>
          <w:szCs w:val="24"/>
        </w:rPr>
        <w:t xml:space="preserve"> </w:t>
      </w:r>
      <w:r w:rsidR="00987121">
        <w:rPr>
          <w:rFonts w:ascii="Times New Roman" w:hAnsi="Times New Roman" w:cs="Times New Roman"/>
          <w:sz w:val="24"/>
          <w:szCs w:val="24"/>
        </w:rPr>
        <w:t xml:space="preserve">100 052 193,05 </w:t>
      </w:r>
      <w:r w:rsidR="0044065F" w:rsidRPr="00973D6E">
        <w:rPr>
          <w:rFonts w:ascii="Times New Roman" w:hAnsi="Times New Roman" w:cs="Times New Roman"/>
          <w:sz w:val="24"/>
          <w:szCs w:val="24"/>
        </w:rPr>
        <w:t>e</w:t>
      </w:r>
      <w:r w:rsidR="001339A1" w:rsidRPr="00973D6E">
        <w:rPr>
          <w:rFonts w:ascii="Times New Roman" w:hAnsi="Times New Roman" w:cs="Times New Roman"/>
          <w:sz w:val="24"/>
          <w:szCs w:val="24"/>
        </w:rPr>
        <w:t>ur</w:t>
      </w:r>
      <w:r w:rsidR="00CD2342" w:rsidRPr="00973D6E">
        <w:rPr>
          <w:rFonts w:ascii="Times New Roman" w:hAnsi="Times New Roman" w:cs="Times New Roman"/>
          <w:sz w:val="24"/>
          <w:szCs w:val="24"/>
        </w:rPr>
        <w:t>,</w:t>
      </w:r>
      <w:r w:rsidR="0012367D" w:rsidRPr="00973D6E">
        <w:rPr>
          <w:rFonts w:ascii="Times New Roman" w:hAnsi="Times New Roman" w:cs="Times New Roman"/>
          <w:sz w:val="24"/>
          <w:szCs w:val="24"/>
        </w:rPr>
        <w:t> </w:t>
      </w:r>
      <w:r w:rsidR="00987121">
        <w:rPr>
          <w:rFonts w:ascii="Times New Roman" w:hAnsi="Times New Roman" w:cs="Times New Roman"/>
          <w:sz w:val="24"/>
          <w:szCs w:val="24"/>
        </w:rPr>
        <w:t>p</w:t>
      </w:r>
      <w:r w:rsidR="002F15FF">
        <w:rPr>
          <w:rFonts w:ascii="Times New Roman" w:hAnsi="Times New Roman" w:cs="Times New Roman"/>
          <w:sz w:val="24"/>
          <w:szCs w:val="24"/>
        </w:rPr>
        <w:t>rostriedky v</w:t>
      </w:r>
      <w:r w:rsidR="00987121">
        <w:rPr>
          <w:rFonts w:ascii="Times New Roman" w:hAnsi="Times New Roman" w:cs="Times New Roman"/>
          <w:sz w:val="24"/>
          <w:szCs w:val="24"/>
        </w:rPr>
        <w:t xml:space="preserve"> sume </w:t>
      </w:r>
      <w:r w:rsidR="002F15FF" w:rsidRPr="00592B8E">
        <w:rPr>
          <w:rFonts w:ascii="Times New Roman" w:hAnsi="Times New Roman" w:cs="Times New Roman"/>
          <w:sz w:val="24"/>
          <w:szCs w:val="24"/>
        </w:rPr>
        <w:t>268 845 759,19</w:t>
      </w:r>
      <w:r w:rsidR="00987121">
        <w:rPr>
          <w:rFonts w:ascii="Times New Roman" w:hAnsi="Times New Roman" w:cs="Times New Roman"/>
          <w:sz w:val="24"/>
          <w:szCs w:val="24"/>
        </w:rPr>
        <w:t xml:space="preserve"> </w:t>
      </w:r>
      <w:r w:rsidR="0044065F" w:rsidRPr="00973D6E">
        <w:rPr>
          <w:rFonts w:ascii="Times New Roman" w:hAnsi="Times New Roman" w:cs="Times New Roman"/>
          <w:sz w:val="24"/>
          <w:szCs w:val="24"/>
        </w:rPr>
        <w:t>e</w:t>
      </w:r>
      <w:r w:rsidR="0012367D" w:rsidRPr="00973D6E">
        <w:rPr>
          <w:rFonts w:ascii="Times New Roman" w:hAnsi="Times New Roman" w:cs="Times New Roman"/>
          <w:sz w:val="24"/>
          <w:szCs w:val="24"/>
        </w:rPr>
        <w:t xml:space="preserve">ur  </w:t>
      </w:r>
      <w:r w:rsidR="00987121">
        <w:rPr>
          <w:rFonts w:ascii="Times New Roman" w:hAnsi="Times New Roman" w:cs="Times New Roman"/>
          <w:sz w:val="24"/>
          <w:szCs w:val="24"/>
        </w:rPr>
        <w:t>bol</w:t>
      </w:r>
      <w:r w:rsidR="002F15FF">
        <w:rPr>
          <w:rFonts w:ascii="Times New Roman" w:hAnsi="Times New Roman" w:cs="Times New Roman"/>
          <w:sz w:val="24"/>
          <w:szCs w:val="24"/>
        </w:rPr>
        <w:t>i p</w:t>
      </w:r>
      <w:r w:rsidR="00987121">
        <w:rPr>
          <w:rFonts w:ascii="Times New Roman" w:hAnsi="Times New Roman" w:cs="Times New Roman"/>
          <w:sz w:val="24"/>
          <w:szCs w:val="24"/>
        </w:rPr>
        <w:t>rijat</w:t>
      </w:r>
      <w:r w:rsidR="002F15FF">
        <w:rPr>
          <w:rFonts w:ascii="Times New Roman" w:hAnsi="Times New Roman" w:cs="Times New Roman"/>
          <w:sz w:val="24"/>
          <w:szCs w:val="24"/>
        </w:rPr>
        <w:t>é z</w:t>
      </w:r>
      <w:r w:rsidR="00987121">
        <w:rPr>
          <w:rFonts w:ascii="Times New Roman" w:hAnsi="Times New Roman" w:cs="Times New Roman"/>
          <w:sz w:val="24"/>
          <w:szCs w:val="24"/>
        </w:rPr>
        <w:t xml:space="preserve"> prostriedkov</w:t>
      </w:r>
      <w:r w:rsidR="0012367D" w:rsidRPr="00973D6E">
        <w:rPr>
          <w:rFonts w:ascii="Times New Roman" w:hAnsi="Times New Roman" w:cs="Times New Roman"/>
          <w:sz w:val="24"/>
          <w:szCs w:val="24"/>
        </w:rPr>
        <w:t xml:space="preserve"> z rozpočtu EÚ</w:t>
      </w:r>
      <w:r w:rsidR="00A902EB" w:rsidRPr="00973D6E">
        <w:rPr>
          <w:rFonts w:ascii="Times New Roman" w:hAnsi="Times New Roman" w:cs="Times New Roman"/>
          <w:sz w:val="24"/>
          <w:szCs w:val="24"/>
        </w:rPr>
        <w:t xml:space="preserve">, </w:t>
      </w:r>
      <w:r w:rsidR="00987121">
        <w:rPr>
          <w:rFonts w:ascii="Times New Roman" w:hAnsi="Times New Roman" w:cs="Times New Roman"/>
          <w:sz w:val="24"/>
          <w:szCs w:val="24"/>
        </w:rPr>
        <w:t>príjem v</w:t>
      </w:r>
      <w:r w:rsidR="002F15FF">
        <w:rPr>
          <w:rFonts w:ascii="Times New Roman" w:hAnsi="Times New Roman" w:cs="Times New Roman"/>
          <w:sz w:val="24"/>
          <w:szCs w:val="24"/>
        </w:rPr>
        <w:t> </w:t>
      </w:r>
      <w:r w:rsidR="00987121">
        <w:rPr>
          <w:rFonts w:ascii="Times New Roman" w:hAnsi="Times New Roman" w:cs="Times New Roman"/>
          <w:sz w:val="24"/>
          <w:szCs w:val="24"/>
        </w:rPr>
        <w:t>sume</w:t>
      </w:r>
      <w:r w:rsidR="002F15FF">
        <w:rPr>
          <w:rFonts w:ascii="Times New Roman" w:hAnsi="Times New Roman" w:cs="Times New Roman"/>
          <w:sz w:val="24"/>
          <w:szCs w:val="24"/>
        </w:rPr>
        <w:t xml:space="preserve"> </w:t>
      </w:r>
      <w:r w:rsidR="002F15FF" w:rsidRPr="00592B8E">
        <w:rPr>
          <w:rFonts w:ascii="Times New Roman" w:hAnsi="Times New Roman" w:cs="Times New Roman"/>
          <w:sz w:val="24"/>
          <w:szCs w:val="24"/>
        </w:rPr>
        <w:t>186 539,43</w:t>
      </w:r>
      <w:r w:rsidR="00A902EB" w:rsidRPr="00973D6E">
        <w:rPr>
          <w:rFonts w:ascii="Times New Roman" w:hAnsi="Times New Roman" w:cs="Times New Roman"/>
          <w:sz w:val="24"/>
          <w:szCs w:val="24"/>
        </w:rPr>
        <w:t xml:space="preserve"> eur tvorili prostriedky na spolufinancovanie </w:t>
      </w:r>
      <w:r w:rsidR="00CD2342" w:rsidRPr="00973D6E">
        <w:rPr>
          <w:rFonts w:ascii="Times New Roman" w:hAnsi="Times New Roman" w:cs="Times New Roman"/>
          <w:sz w:val="24"/>
          <w:szCs w:val="24"/>
        </w:rPr>
        <w:t xml:space="preserve">a príjem </w:t>
      </w:r>
      <w:r w:rsidR="002F15FF">
        <w:rPr>
          <w:rFonts w:ascii="Times New Roman" w:hAnsi="Times New Roman" w:cs="Times New Roman"/>
          <w:sz w:val="24"/>
          <w:szCs w:val="24"/>
        </w:rPr>
        <w:t xml:space="preserve">v sume 512,90 </w:t>
      </w:r>
      <w:r w:rsidR="0044065F" w:rsidRPr="00973D6E">
        <w:rPr>
          <w:rFonts w:ascii="Times New Roman" w:hAnsi="Times New Roman" w:cs="Times New Roman"/>
          <w:sz w:val="24"/>
          <w:szCs w:val="24"/>
        </w:rPr>
        <w:t>e</w:t>
      </w:r>
      <w:r w:rsidR="00CD2342" w:rsidRPr="00973D6E">
        <w:rPr>
          <w:rFonts w:ascii="Times New Roman" w:hAnsi="Times New Roman" w:cs="Times New Roman"/>
          <w:sz w:val="24"/>
          <w:szCs w:val="24"/>
        </w:rPr>
        <w:t>ur</w:t>
      </w:r>
      <w:r w:rsidR="00625F8E" w:rsidRPr="00973D6E">
        <w:rPr>
          <w:rFonts w:ascii="Times New Roman" w:hAnsi="Times New Roman" w:cs="Times New Roman"/>
          <w:sz w:val="24"/>
          <w:szCs w:val="24"/>
        </w:rPr>
        <w:t xml:space="preserve"> </w:t>
      </w:r>
      <w:r w:rsidR="00CD2342" w:rsidRPr="00973D6E">
        <w:rPr>
          <w:rFonts w:ascii="Times New Roman" w:hAnsi="Times New Roman" w:cs="Times New Roman"/>
          <w:sz w:val="24"/>
          <w:szCs w:val="24"/>
        </w:rPr>
        <w:t>tvori</w:t>
      </w:r>
      <w:r w:rsidRPr="00973D6E">
        <w:rPr>
          <w:rFonts w:ascii="Times New Roman" w:hAnsi="Times New Roman" w:cs="Times New Roman"/>
          <w:sz w:val="24"/>
          <w:szCs w:val="24"/>
        </w:rPr>
        <w:t>l</w:t>
      </w:r>
      <w:r w:rsidR="00CD2342" w:rsidRPr="00973D6E">
        <w:rPr>
          <w:rFonts w:ascii="Times New Roman" w:hAnsi="Times New Roman" w:cs="Times New Roman"/>
          <w:sz w:val="24"/>
          <w:szCs w:val="24"/>
        </w:rPr>
        <w:t xml:space="preserve"> </w:t>
      </w:r>
      <w:r w:rsidR="002F15FF">
        <w:rPr>
          <w:rFonts w:ascii="Times New Roman" w:hAnsi="Times New Roman" w:cs="Times New Roman"/>
          <w:sz w:val="24"/>
          <w:szCs w:val="24"/>
        </w:rPr>
        <w:t xml:space="preserve">prijatý </w:t>
      </w:r>
      <w:r w:rsidR="00CD2342" w:rsidRPr="00973D6E">
        <w:rPr>
          <w:rFonts w:ascii="Times New Roman" w:hAnsi="Times New Roman" w:cs="Times New Roman"/>
          <w:sz w:val="24"/>
          <w:szCs w:val="24"/>
        </w:rPr>
        <w:t>zahraničn</w:t>
      </w:r>
      <w:r w:rsidR="00551EE7" w:rsidRPr="00973D6E">
        <w:rPr>
          <w:rFonts w:ascii="Times New Roman" w:hAnsi="Times New Roman" w:cs="Times New Roman"/>
          <w:sz w:val="24"/>
          <w:szCs w:val="24"/>
        </w:rPr>
        <w:t>ý</w:t>
      </w:r>
      <w:r w:rsidR="00CD2342" w:rsidRPr="00973D6E">
        <w:rPr>
          <w:rFonts w:ascii="Times New Roman" w:hAnsi="Times New Roman" w:cs="Times New Roman"/>
          <w:sz w:val="24"/>
          <w:szCs w:val="24"/>
        </w:rPr>
        <w:t xml:space="preserve"> grant.</w:t>
      </w:r>
    </w:p>
    <w:p w:rsidR="0012367D" w:rsidRPr="00973D6E" w:rsidRDefault="008A5E0F" w:rsidP="008A5E0F">
      <w:pPr>
        <w:pStyle w:val="Zarkazkladnhotextu"/>
        <w:tabs>
          <w:tab w:val="left" w:pos="0"/>
          <w:tab w:val="left" w:pos="709"/>
        </w:tabs>
        <w:spacing w:after="0" w:line="240" w:lineRule="auto"/>
        <w:ind w:left="0"/>
        <w:jc w:val="both"/>
        <w:rPr>
          <w:rFonts w:ascii="Times New Roman" w:hAnsi="Times New Roman" w:cs="Times New Roman"/>
          <w:color w:val="000000"/>
          <w:sz w:val="24"/>
          <w:szCs w:val="24"/>
        </w:rPr>
      </w:pPr>
      <w:r>
        <w:rPr>
          <w:rFonts w:ascii="Times New Roman" w:hAnsi="Times New Roman" w:cs="Times New Roman"/>
          <w:sz w:val="24"/>
          <w:szCs w:val="24"/>
        </w:rPr>
        <w:tab/>
      </w:r>
      <w:r w:rsidR="0012367D" w:rsidRPr="00973D6E">
        <w:rPr>
          <w:rFonts w:ascii="Times New Roman" w:hAnsi="Times New Roman" w:cs="Times New Roman"/>
          <w:sz w:val="24"/>
          <w:szCs w:val="24"/>
        </w:rPr>
        <w:t>Celkové príjmy v rok</w:t>
      </w:r>
      <w:r w:rsidR="0011054B" w:rsidRPr="00973D6E">
        <w:rPr>
          <w:rFonts w:ascii="Times New Roman" w:hAnsi="Times New Roman" w:cs="Times New Roman"/>
          <w:sz w:val="24"/>
          <w:szCs w:val="24"/>
        </w:rPr>
        <w:t>u</w:t>
      </w:r>
      <w:r w:rsidR="0012367D" w:rsidRPr="00973D6E">
        <w:rPr>
          <w:rFonts w:ascii="Times New Roman" w:hAnsi="Times New Roman" w:cs="Times New Roman"/>
          <w:sz w:val="24"/>
          <w:szCs w:val="24"/>
        </w:rPr>
        <w:t xml:space="preserve"> 201</w:t>
      </w:r>
      <w:r w:rsidR="00692A42">
        <w:rPr>
          <w:rFonts w:ascii="Times New Roman" w:hAnsi="Times New Roman" w:cs="Times New Roman"/>
          <w:sz w:val="24"/>
          <w:szCs w:val="24"/>
        </w:rPr>
        <w:t xml:space="preserve">5 </w:t>
      </w:r>
      <w:r w:rsidR="0011054B" w:rsidRPr="00973D6E">
        <w:rPr>
          <w:rFonts w:ascii="Times New Roman" w:hAnsi="Times New Roman" w:cs="Times New Roman"/>
          <w:sz w:val="24"/>
          <w:szCs w:val="24"/>
        </w:rPr>
        <w:t>boli sp</w:t>
      </w:r>
      <w:r w:rsidR="0012367D" w:rsidRPr="00973D6E">
        <w:rPr>
          <w:rFonts w:ascii="Times New Roman" w:hAnsi="Times New Roman" w:cs="Times New Roman"/>
          <w:sz w:val="24"/>
          <w:szCs w:val="24"/>
        </w:rPr>
        <w:t>ln</w:t>
      </w:r>
      <w:r w:rsidR="0011054B" w:rsidRPr="00973D6E">
        <w:rPr>
          <w:rFonts w:ascii="Times New Roman" w:hAnsi="Times New Roman" w:cs="Times New Roman"/>
          <w:sz w:val="24"/>
          <w:szCs w:val="24"/>
        </w:rPr>
        <w:t>ené</w:t>
      </w:r>
      <w:r w:rsidR="0012367D" w:rsidRPr="00973D6E">
        <w:rPr>
          <w:rFonts w:ascii="Times New Roman" w:hAnsi="Times New Roman" w:cs="Times New Roman"/>
          <w:sz w:val="24"/>
          <w:szCs w:val="24"/>
        </w:rPr>
        <w:t xml:space="preserve"> na</w:t>
      </w:r>
      <w:r w:rsidR="002F15FF">
        <w:rPr>
          <w:rFonts w:ascii="Times New Roman" w:hAnsi="Times New Roman" w:cs="Times New Roman"/>
          <w:sz w:val="24"/>
          <w:szCs w:val="24"/>
        </w:rPr>
        <w:t xml:space="preserve"> 100,59</w:t>
      </w:r>
      <w:r w:rsidR="0012367D" w:rsidRPr="00973D6E">
        <w:rPr>
          <w:rFonts w:ascii="Times New Roman" w:hAnsi="Times New Roman" w:cs="Times New Roman"/>
          <w:sz w:val="24"/>
          <w:szCs w:val="24"/>
        </w:rPr>
        <w:t xml:space="preserve"> %  </w:t>
      </w:r>
      <w:r w:rsidR="00504721" w:rsidRPr="00973D6E">
        <w:rPr>
          <w:rFonts w:ascii="Times New Roman" w:hAnsi="Times New Roman" w:cs="Times New Roman"/>
          <w:sz w:val="24"/>
          <w:szCs w:val="24"/>
        </w:rPr>
        <w:t xml:space="preserve">z </w:t>
      </w:r>
      <w:r w:rsidR="0011054B" w:rsidRPr="00973D6E">
        <w:rPr>
          <w:rFonts w:ascii="Times New Roman" w:hAnsi="Times New Roman" w:cs="Times New Roman"/>
          <w:sz w:val="24"/>
          <w:szCs w:val="24"/>
        </w:rPr>
        <w:t xml:space="preserve">upraveného </w:t>
      </w:r>
      <w:r w:rsidR="0012367D" w:rsidRPr="00973D6E">
        <w:rPr>
          <w:rFonts w:ascii="Times New Roman" w:hAnsi="Times New Roman" w:cs="Times New Roman"/>
          <w:sz w:val="24"/>
          <w:szCs w:val="24"/>
        </w:rPr>
        <w:t>ročného objemu</w:t>
      </w:r>
      <w:r w:rsidR="002F15FF">
        <w:rPr>
          <w:rFonts w:ascii="Times New Roman" w:hAnsi="Times New Roman" w:cs="Times New Roman"/>
          <w:sz w:val="24"/>
          <w:szCs w:val="24"/>
        </w:rPr>
        <w:t xml:space="preserve"> príjmov k 31.12.2015</w:t>
      </w:r>
      <w:r w:rsidR="0012367D" w:rsidRPr="00973D6E">
        <w:rPr>
          <w:rFonts w:ascii="Times New Roman" w:hAnsi="Times New Roman" w:cs="Times New Roman"/>
          <w:sz w:val="24"/>
          <w:szCs w:val="24"/>
        </w:rPr>
        <w:t>.</w:t>
      </w:r>
      <w:r w:rsidR="0062789E" w:rsidRPr="00973D6E">
        <w:rPr>
          <w:rFonts w:ascii="Times New Roman" w:hAnsi="Times New Roman" w:cs="Times New Roman"/>
          <w:sz w:val="24"/>
          <w:szCs w:val="24"/>
        </w:rPr>
        <w:t xml:space="preserve"> </w:t>
      </w:r>
    </w:p>
    <w:p w:rsidR="0012367D" w:rsidRPr="00973D6E" w:rsidRDefault="0012367D" w:rsidP="00973D6E">
      <w:pPr>
        <w:pStyle w:val="Odsekzoznamu"/>
        <w:spacing w:after="0" w:line="240" w:lineRule="auto"/>
        <w:ind w:left="0"/>
        <w:jc w:val="both"/>
        <w:rPr>
          <w:rFonts w:ascii="Times New Roman" w:hAnsi="Times New Roman" w:cs="Times New Roman"/>
          <w:smallCaps/>
          <w:color w:val="00FF00"/>
          <w:sz w:val="24"/>
          <w:szCs w:val="24"/>
        </w:rPr>
      </w:pPr>
    </w:p>
    <w:p w:rsidR="0012367D" w:rsidRPr="00973D6E" w:rsidRDefault="0012367D" w:rsidP="008A5E0F">
      <w:pPr>
        <w:pStyle w:val="Nadpis3"/>
        <w:numPr>
          <w:ilvl w:val="0"/>
          <w:numId w:val="3"/>
        </w:numPr>
        <w:spacing w:before="0" w:line="240" w:lineRule="auto"/>
        <w:ind w:left="1276" w:hanging="567"/>
        <w:jc w:val="both"/>
        <w:rPr>
          <w:rFonts w:ascii="Times New Roman" w:hAnsi="Times New Roman" w:cs="Times New Roman"/>
        </w:rPr>
      </w:pPr>
      <w:bookmarkStart w:id="7" w:name="_Toc415553096"/>
      <w:r w:rsidRPr="00973D6E">
        <w:rPr>
          <w:rFonts w:ascii="Times New Roman" w:hAnsi="Times New Roman" w:cs="Times New Roman"/>
        </w:rPr>
        <w:t>Príjmy kapitoly podľa ekonomickej klasifikácie</w:t>
      </w:r>
      <w:bookmarkEnd w:id="7"/>
    </w:p>
    <w:p w:rsidR="00FA5EAA" w:rsidRPr="00973D6E" w:rsidRDefault="00FA5EAA" w:rsidP="00973D6E">
      <w:pPr>
        <w:pStyle w:val="Odsekzoznamu"/>
        <w:spacing w:after="0" w:line="240" w:lineRule="auto"/>
        <w:ind w:left="0" w:firstLine="540"/>
        <w:jc w:val="both"/>
        <w:rPr>
          <w:rFonts w:ascii="Times New Roman" w:hAnsi="Times New Roman" w:cs="Times New Roman"/>
          <w:sz w:val="24"/>
          <w:szCs w:val="24"/>
        </w:rPr>
      </w:pPr>
    </w:p>
    <w:p w:rsidR="0012367D" w:rsidRPr="00973D6E" w:rsidRDefault="0012367D" w:rsidP="008A5E0F">
      <w:pPr>
        <w:pStyle w:val="Odsekzoznamu"/>
        <w:spacing w:after="0" w:line="240" w:lineRule="auto"/>
        <w:ind w:left="0" w:firstLine="709"/>
        <w:jc w:val="both"/>
        <w:rPr>
          <w:rFonts w:ascii="Times New Roman" w:hAnsi="Times New Roman" w:cs="Times New Roman"/>
          <w:sz w:val="24"/>
          <w:szCs w:val="24"/>
        </w:rPr>
      </w:pPr>
      <w:r w:rsidRPr="00973D6E">
        <w:rPr>
          <w:rFonts w:ascii="Times New Roman" w:hAnsi="Times New Roman" w:cs="Times New Roman"/>
          <w:sz w:val="24"/>
          <w:szCs w:val="24"/>
        </w:rPr>
        <w:t>Celkové príjmy kapitoly</w:t>
      </w:r>
      <w:r w:rsidR="00FA5EAA" w:rsidRPr="00973D6E">
        <w:rPr>
          <w:rFonts w:ascii="Times New Roman" w:hAnsi="Times New Roman" w:cs="Times New Roman"/>
          <w:sz w:val="24"/>
          <w:szCs w:val="24"/>
        </w:rPr>
        <w:t xml:space="preserve"> MH SR </w:t>
      </w:r>
      <w:r w:rsidRPr="00973D6E">
        <w:rPr>
          <w:rFonts w:ascii="Times New Roman" w:hAnsi="Times New Roman" w:cs="Times New Roman"/>
          <w:sz w:val="24"/>
          <w:szCs w:val="24"/>
        </w:rPr>
        <w:t xml:space="preserve"> </w:t>
      </w:r>
      <w:r w:rsidR="00F628EF">
        <w:rPr>
          <w:rFonts w:ascii="Times New Roman" w:hAnsi="Times New Roman" w:cs="Times New Roman"/>
          <w:sz w:val="24"/>
          <w:szCs w:val="24"/>
        </w:rPr>
        <w:t xml:space="preserve">boli </w:t>
      </w:r>
      <w:r w:rsidR="00FA5EAA" w:rsidRPr="00973D6E">
        <w:rPr>
          <w:rFonts w:ascii="Times New Roman" w:hAnsi="Times New Roman" w:cs="Times New Roman"/>
          <w:sz w:val="24"/>
          <w:szCs w:val="24"/>
        </w:rPr>
        <w:t>v roku 201</w:t>
      </w:r>
      <w:r w:rsidR="004505F2">
        <w:rPr>
          <w:rFonts w:ascii="Times New Roman" w:hAnsi="Times New Roman" w:cs="Times New Roman"/>
          <w:sz w:val="24"/>
          <w:szCs w:val="24"/>
        </w:rPr>
        <w:t>5</w:t>
      </w:r>
      <w:r w:rsidRPr="00973D6E">
        <w:rPr>
          <w:rFonts w:ascii="Times New Roman" w:hAnsi="Times New Roman" w:cs="Times New Roman"/>
          <w:sz w:val="24"/>
          <w:szCs w:val="24"/>
        </w:rPr>
        <w:t xml:space="preserve"> napln</w:t>
      </w:r>
      <w:r w:rsidR="00F628EF">
        <w:rPr>
          <w:rFonts w:ascii="Times New Roman" w:hAnsi="Times New Roman" w:cs="Times New Roman"/>
          <w:sz w:val="24"/>
          <w:szCs w:val="24"/>
        </w:rPr>
        <w:t>ené</w:t>
      </w:r>
      <w:r w:rsidRPr="00973D6E">
        <w:rPr>
          <w:rFonts w:ascii="Times New Roman" w:hAnsi="Times New Roman" w:cs="Times New Roman"/>
          <w:sz w:val="24"/>
          <w:szCs w:val="24"/>
        </w:rPr>
        <w:t xml:space="preserve"> </w:t>
      </w:r>
      <w:r w:rsidR="00F628EF">
        <w:rPr>
          <w:rFonts w:ascii="Times New Roman" w:hAnsi="Times New Roman" w:cs="Times New Roman"/>
          <w:sz w:val="24"/>
          <w:szCs w:val="24"/>
        </w:rPr>
        <w:t>v</w:t>
      </w:r>
      <w:r w:rsidR="007F70BD">
        <w:rPr>
          <w:rFonts w:ascii="Times New Roman" w:hAnsi="Times New Roman" w:cs="Times New Roman"/>
          <w:sz w:val="24"/>
          <w:szCs w:val="24"/>
        </w:rPr>
        <w:t> </w:t>
      </w:r>
      <w:r w:rsidR="00F628EF">
        <w:rPr>
          <w:rFonts w:ascii="Times New Roman" w:hAnsi="Times New Roman" w:cs="Times New Roman"/>
          <w:sz w:val="24"/>
          <w:szCs w:val="24"/>
        </w:rPr>
        <w:t>sume</w:t>
      </w:r>
      <w:r w:rsidR="007F70BD">
        <w:rPr>
          <w:rFonts w:ascii="Times New Roman" w:hAnsi="Times New Roman" w:cs="Times New Roman"/>
          <w:sz w:val="24"/>
          <w:szCs w:val="24"/>
        </w:rPr>
        <w:t xml:space="preserve">                          </w:t>
      </w:r>
      <w:r w:rsidR="002F15FF">
        <w:rPr>
          <w:rFonts w:ascii="Times New Roman" w:hAnsi="Times New Roman" w:cs="Times New Roman"/>
          <w:sz w:val="24"/>
          <w:szCs w:val="24"/>
        </w:rPr>
        <w:t xml:space="preserve"> 369 085 004,57</w:t>
      </w:r>
      <w:r w:rsidR="00F628EF" w:rsidRPr="00973D6E">
        <w:rPr>
          <w:rFonts w:ascii="Times New Roman" w:hAnsi="Times New Roman" w:cs="Times New Roman"/>
          <w:sz w:val="24"/>
          <w:szCs w:val="24"/>
        </w:rPr>
        <w:t xml:space="preserve"> </w:t>
      </w:r>
      <w:r w:rsidR="00504721" w:rsidRPr="00973D6E">
        <w:rPr>
          <w:rFonts w:ascii="Times New Roman" w:hAnsi="Times New Roman" w:cs="Times New Roman"/>
          <w:sz w:val="24"/>
          <w:szCs w:val="24"/>
        </w:rPr>
        <w:t>e</w:t>
      </w:r>
      <w:r w:rsidRPr="00973D6E">
        <w:rPr>
          <w:rFonts w:ascii="Times New Roman" w:hAnsi="Times New Roman" w:cs="Times New Roman"/>
          <w:sz w:val="24"/>
          <w:szCs w:val="24"/>
        </w:rPr>
        <w:t xml:space="preserve">ur, z toho nedaňové </w:t>
      </w:r>
      <w:r w:rsidR="00FA5EAA" w:rsidRPr="00973D6E">
        <w:rPr>
          <w:rFonts w:ascii="Times New Roman" w:hAnsi="Times New Roman" w:cs="Times New Roman"/>
          <w:sz w:val="24"/>
          <w:szCs w:val="24"/>
        </w:rPr>
        <w:t xml:space="preserve">príjmy </w:t>
      </w:r>
      <w:r w:rsidRPr="00973D6E">
        <w:rPr>
          <w:rFonts w:ascii="Times New Roman" w:hAnsi="Times New Roman" w:cs="Times New Roman"/>
          <w:sz w:val="24"/>
          <w:szCs w:val="24"/>
        </w:rPr>
        <w:t xml:space="preserve">boli </w:t>
      </w:r>
      <w:r w:rsidR="002F6CBA" w:rsidRPr="00973D6E">
        <w:rPr>
          <w:rFonts w:ascii="Times New Roman" w:hAnsi="Times New Roman" w:cs="Times New Roman"/>
          <w:sz w:val="24"/>
          <w:szCs w:val="24"/>
        </w:rPr>
        <w:t xml:space="preserve">naplnené </w:t>
      </w:r>
      <w:r w:rsidR="00F628EF">
        <w:rPr>
          <w:rFonts w:ascii="Times New Roman" w:hAnsi="Times New Roman" w:cs="Times New Roman"/>
          <w:sz w:val="24"/>
          <w:szCs w:val="24"/>
        </w:rPr>
        <w:t>v</w:t>
      </w:r>
      <w:r w:rsidR="002F15FF">
        <w:rPr>
          <w:rFonts w:ascii="Times New Roman" w:hAnsi="Times New Roman" w:cs="Times New Roman"/>
          <w:sz w:val="24"/>
          <w:szCs w:val="24"/>
        </w:rPr>
        <w:t> </w:t>
      </w:r>
      <w:r w:rsidR="00F628EF">
        <w:rPr>
          <w:rFonts w:ascii="Times New Roman" w:hAnsi="Times New Roman" w:cs="Times New Roman"/>
          <w:sz w:val="24"/>
          <w:szCs w:val="24"/>
        </w:rPr>
        <w:t>sume</w:t>
      </w:r>
      <w:r w:rsidR="002F15FF">
        <w:rPr>
          <w:rFonts w:ascii="Times New Roman" w:hAnsi="Times New Roman" w:cs="Times New Roman"/>
          <w:sz w:val="24"/>
          <w:szCs w:val="24"/>
        </w:rPr>
        <w:t xml:space="preserve"> 100 533 403,62</w:t>
      </w:r>
      <w:r w:rsidR="00F628EF" w:rsidRPr="00973D6E">
        <w:rPr>
          <w:rFonts w:ascii="Times New Roman" w:hAnsi="Times New Roman" w:cs="Times New Roman"/>
          <w:sz w:val="24"/>
          <w:szCs w:val="24"/>
        </w:rPr>
        <w:t xml:space="preserve"> </w:t>
      </w:r>
      <w:r w:rsidR="00504721" w:rsidRPr="00973D6E">
        <w:rPr>
          <w:rFonts w:ascii="Times New Roman" w:hAnsi="Times New Roman" w:cs="Times New Roman"/>
          <w:sz w:val="24"/>
          <w:szCs w:val="24"/>
        </w:rPr>
        <w:t>e</w:t>
      </w:r>
      <w:r w:rsidRPr="00973D6E">
        <w:rPr>
          <w:rFonts w:ascii="Times New Roman" w:hAnsi="Times New Roman" w:cs="Times New Roman"/>
          <w:sz w:val="24"/>
          <w:szCs w:val="24"/>
        </w:rPr>
        <w:t xml:space="preserve">ur a granty a transfery </w:t>
      </w:r>
      <w:r w:rsidR="00F628EF">
        <w:rPr>
          <w:rFonts w:ascii="Times New Roman" w:hAnsi="Times New Roman" w:cs="Times New Roman"/>
          <w:sz w:val="24"/>
          <w:szCs w:val="24"/>
        </w:rPr>
        <w:t>v</w:t>
      </w:r>
      <w:r w:rsidR="002F15FF">
        <w:rPr>
          <w:rFonts w:ascii="Times New Roman" w:hAnsi="Times New Roman" w:cs="Times New Roman"/>
          <w:sz w:val="24"/>
          <w:szCs w:val="24"/>
        </w:rPr>
        <w:t> </w:t>
      </w:r>
      <w:r w:rsidR="00F628EF">
        <w:rPr>
          <w:rFonts w:ascii="Times New Roman" w:hAnsi="Times New Roman" w:cs="Times New Roman"/>
          <w:sz w:val="24"/>
          <w:szCs w:val="24"/>
        </w:rPr>
        <w:t>sume</w:t>
      </w:r>
      <w:r w:rsidR="002F15FF">
        <w:rPr>
          <w:rFonts w:ascii="Times New Roman" w:hAnsi="Times New Roman" w:cs="Times New Roman"/>
          <w:sz w:val="24"/>
          <w:szCs w:val="24"/>
        </w:rPr>
        <w:t xml:space="preserve"> 268 551 600,95</w:t>
      </w:r>
      <w:r w:rsidR="00F628EF" w:rsidRPr="00973D6E">
        <w:rPr>
          <w:rFonts w:ascii="Times New Roman" w:hAnsi="Times New Roman" w:cs="Times New Roman"/>
          <w:sz w:val="24"/>
          <w:szCs w:val="24"/>
        </w:rPr>
        <w:t xml:space="preserve"> </w:t>
      </w:r>
      <w:r w:rsidR="00504721" w:rsidRPr="00973D6E">
        <w:rPr>
          <w:rFonts w:ascii="Times New Roman" w:hAnsi="Times New Roman" w:cs="Times New Roman"/>
          <w:sz w:val="24"/>
          <w:szCs w:val="24"/>
        </w:rPr>
        <w:t>e</w:t>
      </w:r>
      <w:r w:rsidRPr="00973D6E">
        <w:rPr>
          <w:rFonts w:ascii="Times New Roman" w:hAnsi="Times New Roman" w:cs="Times New Roman"/>
          <w:sz w:val="24"/>
          <w:szCs w:val="24"/>
        </w:rPr>
        <w:t>ur.</w:t>
      </w:r>
    </w:p>
    <w:p w:rsidR="008A5E0F" w:rsidRDefault="008A5E0F" w:rsidP="009A2830">
      <w:pPr>
        <w:tabs>
          <w:tab w:val="left" w:pos="9054"/>
          <w:tab w:val="left" w:pos="10184"/>
        </w:tabs>
        <w:spacing w:after="0" w:line="240" w:lineRule="auto"/>
        <w:jc w:val="both"/>
        <w:rPr>
          <w:rFonts w:ascii="Times New Roman" w:hAnsi="Times New Roman" w:cs="Times New Roman"/>
          <w:b/>
          <w:sz w:val="24"/>
          <w:szCs w:val="24"/>
        </w:rPr>
      </w:pPr>
    </w:p>
    <w:p w:rsidR="00293961" w:rsidRPr="00B81EAE" w:rsidRDefault="00293961" w:rsidP="009A2830">
      <w:pPr>
        <w:tabs>
          <w:tab w:val="left" w:pos="9054"/>
          <w:tab w:val="left" w:pos="10184"/>
        </w:tabs>
        <w:spacing w:after="0" w:line="240" w:lineRule="auto"/>
        <w:jc w:val="both"/>
        <w:rPr>
          <w:rFonts w:ascii="Times New Roman" w:hAnsi="Times New Roman" w:cs="Times New Roman"/>
          <w:b/>
          <w:sz w:val="24"/>
          <w:szCs w:val="24"/>
        </w:rPr>
      </w:pPr>
      <w:r w:rsidRPr="00B81EAE">
        <w:rPr>
          <w:rFonts w:ascii="Times New Roman" w:hAnsi="Times New Roman" w:cs="Times New Roman"/>
          <w:b/>
          <w:sz w:val="24"/>
          <w:szCs w:val="24"/>
        </w:rPr>
        <w:t>Nedaňové príjmy a</w:t>
      </w:r>
      <w:r w:rsidR="00C20CA7" w:rsidRPr="00B81EAE">
        <w:rPr>
          <w:rFonts w:ascii="Times New Roman" w:hAnsi="Times New Roman" w:cs="Times New Roman"/>
          <w:b/>
          <w:sz w:val="24"/>
          <w:szCs w:val="24"/>
        </w:rPr>
        <w:t> </w:t>
      </w:r>
      <w:r w:rsidRPr="00B81EAE">
        <w:rPr>
          <w:rFonts w:ascii="Times New Roman" w:hAnsi="Times New Roman" w:cs="Times New Roman"/>
          <w:b/>
          <w:sz w:val="24"/>
          <w:szCs w:val="24"/>
        </w:rPr>
        <w:t>granty</w:t>
      </w:r>
    </w:p>
    <w:p w:rsidR="009A2830" w:rsidRDefault="009A2830" w:rsidP="009A2830">
      <w:pPr>
        <w:tabs>
          <w:tab w:val="left" w:pos="9054"/>
          <w:tab w:val="left" w:pos="10184"/>
        </w:tabs>
        <w:spacing w:after="0" w:line="240" w:lineRule="auto"/>
        <w:jc w:val="both"/>
        <w:rPr>
          <w:rFonts w:ascii="Times New Roman" w:hAnsi="Times New Roman" w:cs="Times New Roman"/>
          <w:b/>
          <w:sz w:val="24"/>
          <w:szCs w:val="24"/>
        </w:rPr>
      </w:pPr>
    </w:p>
    <w:p w:rsidR="00135AF8" w:rsidRPr="00B81EAE" w:rsidRDefault="00372166" w:rsidP="009A2830">
      <w:pPr>
        <w:tabs>
          <w:tab w:val="left" w:pos="9054"/>
          <w:tab w:val="left" w:pos="10184"/>
        </w:tabs>
        <w:spacing w:after="0" w:line="240" w:lineRule="auto"/>
        <w:jc w:val="both"/>
        <w:rPr>
          <w:rFonts w:ascii="Times New Roman" w:hAnsi="Times New Roman" w:cs="Times New Roman"/>
          <w:b/>
          <w:sz w:val="24"/>
          <w:szCs w:val="24"/>
        </w:rPr>
      </w:pPr>
      <w:r w:rsidRPr="00B81EAE">
        <w:rPr>
          <w:rFonts w:ascii="Times New Roman" w:hAnsi="Times New Roman" w:cs="Times New Roman"/>
          <w:b/>
          <w:sz w:val="24"/>
          <w:szCs w:val="24"/>
        </w:rPr>
        <w:t xml:space="preserve">Kategória 200 - </w:t>
      </w:r>
      <w:r w:rsidR="0012367D" w:rsidRPr="00B81EAE">
        <w:rPr>
          <w:rFonts w:ascii="Times New Roman" w:hAnsi="Times New Roman" w:cs="Times New Roman"/>
          <w:b/>
          <w:sz w:val="24"/>
          <w:szCs w:val="24"/>
        </w:rPr>
        <w:t>Nedaňové príjmy</w:t>
      </w:r>
    </w:p>
    <w:p w:rsidR="00135AF8" w:rsidRPr="00B81EAE" w:rsidRDefault="00135AF8" w:rsidP="009A2830">
      <w:pPr>
        <w:pStyle w:val="Odsekzoznamu"/>
        <w:spacing w:after="0" w:line="240" w:lineRule="auto"/>
        <w:ind w:left="0"/>
        <w:jc w:val="both"/>
        <w:rPr>
          <w:rFonts w:ascii="Times New Roman" w:hAnsi="Times New Roman" w:cs="Times New Roman"/>
          <w:sz w:val="24"/>
          <w:szCs w:val="24"/>
        </w:rPr>
      </w:pPr>
    </w:p>
    <w:p w:rsidR="009579D2" w:rsidRPr="00B81EAE" w:rsidRDefault="00135AF8" w:rsidP="007F70BD">
      <w:pPr>
        <w:pStyle w:val="Odsekzoznamu"/>
        <w:spacing w:after="0" w:line="240" w:lineRule="auto"/>
        <w:ind w:left="0" w:firstLine="709"/>
        <w:jc w:val="both"/>
        <w:rPr>
          <w:rFonts w:ascii="Times New Roman" w:hAnsi="Times New Roman" w:cs="Times New Roman"/>
          <w:sz w:val="24"/>
          <w:szCs w:val="24"/>
        </w:rPr>
      </w:pPr>
      <w:r w:rsidRPr="00B81EAE">
        <w:rPr>
          <w:rFonts w:ascii="Times New Roman" w:hAnsi="Times New Roman" w:cs="Times New Roman"/>
          <w:sz w:val="24"/>
          <w:szCs w:val="24"/>
        </w:rPr>
        <w:t xml:space="preserve">Nedaňové príjmy </w:t>
      </w:r>
      <w:r w:rsidR="0012367D" w:rsidRPr="00B81EAE">
        <w:rPr>
          <w:rFonts w:ascii="Times New Roman" w:hAnsi="Times New Roman" w:cs="Times New Roman"/>
          <w:sz w:val="24"/>
          <w:szCs w:val="24"/>
        </w:rPr>
        <w:t>v roku 201</w:t>
      </w:r>
      <w:r w:rsidR="004505F2">
        <w:rPr>
          <w:rFonts w:ascii="Times New Roman" w:hAnsi="Times New Roman" w:cs="Times New Roman"/>
          <w:sz w:val="24"/>
          <w:szCs w:val="24"/>
        </w:rPr>
        <w:t>5</w:t>
      </w:r>
      <w:r w:rsidR="0012367D" w:rsidRPr="00B81EAE">
        <w:rPr>
          <w:rFonts w:ascii="Times New Roman" w:hAnsi="Times New Roman" w:cs="Times New Roman"/>
          <w:sz w:val="24"/>
          <w:szCs w:val="24"/>
        </w:rPr>
        <w:t xml:space="preserve"> </w:t>
      </w:r>
      <w:r w:rsidR="00792253">
        <w:rPr>
          <w:rFonts w:ascii="Times New Roman" w:hAnsi="Times New Roman" w:cs="Times New Roman"/>
          <w:sz w:val="24"/>
          <w:szCs w:val="24"/>
        </w:rPr>
        <w:t xml:space="preserve">boli </w:t>
      </w:r>
      <w:r w:rsidR="0012367D" w:rsidRPr="00B81EAE">
        <w:rPr>
          <w:rFonts w:ascii="Times New Roman" w:hAnsi="Times New Roman" w:cs="Times New Roman"/>
          <w:sz w:val="24"/>
          <w:szCs w:val="24"/>
        </w:rPr>
        <w:t>dosiah</w:t>
      </w:r>
      <w:r w:rsidR="00792253">
        <w:rPr>
          <w:rFonts w:ascii="Times New Roman" w:hAnsi="Times New Roman" w:cs="Times New Roman"/>
          <w:sz w:val="24"/>
          <w:szCs w:val="24"/>
        </w:rPr>
        <w:t>nuté v</w:t>
      </w:r>
      <w:r w:rsidR="0012367D" w:rsidRPr="00B81EAE">
        <w:rPr>
          <w:rFonts w:ascii="Times New Roman" w:hAnsi="Times New Roman" w:cs="Times New Roman"/>
          <w:sz w:val="24"/>
          <w:szCs w:val="24"/>
        </w:rPr>
        <w:t xml:space="preserve"> </w:t>
      </w:r>
      <w:r w:rsidR="00010BA2">
        <w:rPr>
          <w:rFonts w:ascii="Times New Roman" w:hAnsi="Times New Roman" w:cs="Times New Roman"/>
          <w:sz w:val="24"/>
          <w:szCs w:val="24"/>
        </w:rPr>
        <w:t>sum</w:t>
      </w:r>
      <w:r w:rsidR="00792253">
        <w:rPr>
          <w:rFonts w:ascii="Times New Roman" w:hAnsi="Times New Roman" w:cs="Times New Roman"/>
          <w:sz w:val="24"/>
          <w:szCs w:val="24"/>
        </w:rPr>
        <w:t>e</w:t>
      </w:r>
      <w:r w:rsidR="00010BA2">
        <w:rPr>
          <w:rFonts w:ascii="Times New Roman" w:hAnsi="Times New Roman" w:cs="Times New Roman"/>
          <w:sz w:val="24"/>
          <w:szCs w:val="24"/>
        </w:rPr>
        <w:t xml:space="preserve"> </w:t>
      </w:r>
      <w:r w:rsidR="00792253">
        <w:rPr>
          <w:rFonts w:ascii="Times New Roman" w:hAnsi="Times New Roman" w:cs="Times New Roman"/>
          <w:sz w:val="24"/>
          <w:szCs w:val="24"/>
        </w:rPr>
        <w:t>100 533 403,62</w:t>
      </w:r>
      <w:r w:rsidR="00792253" w:rsidRPr="00973D6E">
        <w:rPr>
          <w:rFonts w:ascii="Times New Roman" w:hAnsi="Times New Roman" w:cs="Times New Roman"/>
          <w:sz w:val="24"/>
          <w:szCs w:val="24"/>
        </w:rPr>
        <w:t xml:space="preserve"> </w:t>
      </w:r>
      <w:r w:rsidR="0012367D" w:rsidRPr="00B81EAE">
        <w:rPr>
          <w:rFonts w:ascii="Times New Roman" w:hAnsi="Times New Roman" w:cs="Times New Roman"/>
          <w:sz w:val="24"/>
          <w:szCs w:val="24"/>
        </w:rPr>
        <w:t xml:space="preserve"> </w:t>
      </w:r>
      <w:r w:rsidR="00D83D4F" w:rsidRPr="00B81EAE">
        <w:rPr>
          <w:rFonts w:ascii="Times New Roman" w:hAnsi="Times New Roman" w:cs="Times New Roman"/>
          <w:sz w:val="24"/>
          <w:szCs w:val="24"/>
        </w:rPr>
        <w:t xml:space="preserve">eur </w:t>
      </w:r>
      <w:r w:rsidR="0012367D" w:rsidRPr="00B81EAE">
        <w:rPr>
          <w:rFonts w:ascii="Times New Roman" w:hAnsi="Times New Roman" w:cs="Times New Roman"/>
          <w:sz w:val="24"/>
          <w:szCs w:val="24"/>
        </w:rPr>
        <w:t>a tvori</w:t>
      </w:r>
      <w:r w:rsidR="0031727F" w:rsidRPr="00B81EAE">
        <w:rPr>
          <w:rFonts w:ascii="Times New Roman" w:hAnsi="Times New Roman" w:cs="Times New Roman"/>
          <w:sz w:val="24"/>
          <w:szCs w:val="24"/>
        </w:rPr>
        <w:t>li</w:t>
      </w:r>
      <w:r w:rsidR="0012367D" w:rsidRPr="00B81EAE">
        <w:rPr>
          <w:rFonts w:ascii="Times New Roman" w:hAnsi="Times New Roman" w:cs="Times New Roman"/>
          <w:sz w:val="24"/>
          <w:szCs w:val="24"/>
        </w:rPr>
        <w:t xml:space="preserve"> ich hlavne príjmy z dividend, </w:t>
      </w:r>
      <w:r w:rsidR="009435E5" w:rsidRPr="00FA188B">
        <w:rPr>
          <w:rFonts w:ascii="Times New Roman" w:hAnsi="Times New Roman" w:cs="Times New Roman"/>
          <w:sz w:val="24"/>
          <w:szCs w:val="24"/>
        </w:rPr>
        <w:t xml:space="preserve">príjmy z  odvodov od prevádzkovateľov prenosovej sústavy </w:t>
      </w:r>
      <w:r w:rsidR="007F70BD">
        <w:rPr>
          <w:rFonts w:ascii="Times New Roman" w:hAnsi="Times New Roman" w:cs="Times New Roman"/>
          <w:sz w:val="24"/>
          <w:szCs w:val="24"/>
        </w:rPr>
        <w:t xml:space="preserve">             </w:t>
      </w:r>
      <w:r w:rsidR="009435E5" w:rsidRPr="00FA188B">
        <w:rPr>
          <w:rFonts w:ascii="Times New Roman" w:hAnsi="Times New Roman" w:cs="Times New Roman"/>
          <w:sz w:val="24"/>
          <w:szCs w:val="24"/>
        </w:rPr>
        <w:t xml:space="preserve"> a distribučných  sústav</w:t>
      </w:r>
      <w:r w:rsidR="0009619D">
        <w:rPr>
          <w:rFonts w:ascii="Times New Roman" w:hAnsi="Times New Roman" w:cs="Times New Roman"/>
          <w:sz w:val="24"/>
          <w:szCs w:val="24"/>
        </w:rPr>
        <w:t>,</w:t>
      </w:r>
      <w:r w:rsidR="009435E5">
        <w:rPr>
          <w:rFonts w:ascii="Times New Roman" w:hAnsi="Times New Roman" w:cs="Times New Roman"/>
          <w:sz w:val="24"/>
          <w:szCs w:val="24"/>
        </w:rPr>
        <w:t xml:space="preserve"> z </w:t>
      </w:r>
      <w:r w:rsidR="0012367D" w:rsidRPr="00B81EAE">
        <w:rPr>
          <w:rFonts w:ascii="Times New Roman" w:hAnsi="Times New Roman" w:cs="Times New Roman"/>
          <w:sz w:val="24"/>
          <w:szCs w:val="24"/>
        </w:rPr>
        <w:t>prenájmu majetku a administratívnych poplatkov</w:t>
      </w:r>
      <w:r w:rsidR="001B3F35" w:rsidRPr="00B81EAE">
        <w:rPr>
          <w:rFonts w:ascii="Times New Roman" w:hAnsi="Times New Roman" w:cs="Times New Roman"/>
          <w:sz w:val="24"/>
          <w:szCs w:val="24"/>
        </w:rPr>
        <w:t xml:space="preserve"> v nasledovnej štruktúre:</w:t>
      </w:r>
    </w:p>
    <w:p w:rsidR="001B3F35" w:rsidRDefault="001B3F35" w:rsidP="009A2830">
      <w:pPr>
        <w:spacing w:after="0" w:line="240" w:lineRule="auto"/>
        <w:jc w:val="both"/>
        <w:rPr>
          <w:rFonts w:ascii="Times New Roman" w:hAnsi="Times New Roman" w:cs="Times New Roman"/>
          <w:b/>
          <w:sz w:val="24"/>
          <w:szCs w:val="24"/>
        </w:rPr>
      </w:pPr>
    </w:p>
    <w:p w:rsidR="00C20CA7" w:rsidRPr="00B81EAE" w:rsidRDefault="001B3F35" w:rsidP="009A2830">
      <w:pPr>
        <w:spacing w:after="0" w:line="240" w:lineRule="auto"/>
        <w:jc w:val="both"/>
        <w:rPr>
          <w:rFonts w:ascii="Times New Roman" w:hAnsi="Times New Roman" w:cs="Times New Roman"/>
          <w:sz w:val="24"/>
          <w:szCs w:val="24"/>
        </w:rPr>
      </w:pPr>
      <w:r w:rsidRPr="00B81EAE">
        <w:rPr>
          <w:rFonts w:ascii="Times New Roman" w:hAnsi="Times New Roman" w:cs="Times New Roman"/>
          <w:i/>
          <w:sz w:val="24"/>
          <w:szCs w:val="24"/>
        </w:rPr>
        <w:t>Kategória 210</w:t>
      </w:r>
      <w:r w:rsidRPr="00B81EAE">
        <w:rPr>
          <w:rFonts w:ascii="Times New Roman" w:hAnsi="Times New Roman" w:cs="Times New Roman"/>
          <w:b/>
          <w:sz w:val="24"/>
          <w:szCs w:val="24"/>
        </w:rPr>
        <w:t xml:space="preserve"> – </w:t>
      </w:r>
      <w:r w:rsidRPr="00B81EAE">
        <w:rPr>
          <w:rFonts w:ascii="Times New Roman" w:hAnsi="Times New Roman" w:cs="Times New Roman"/>
          <w:sz w:val="24"/>
          <w:szCs w:val="24"/>
        </w:rPr>
        <w:t>Príjmy z podn</w:t>
      </w:r>
      <w:r w:rsidR="00792253">
        <w:rPr>
          <w:rFonts w:ascii="Times New Roman" w:hAnsi="Times New Roman" w:cs="Times New Roman"/>
          <w:sz w:val="24"/>
          <w:szCs w:val="24"/>
        </w:rPr>
        <w:t xml:space="preserve">ikania a z vlastníctva majetku </w:t>
      </w:r>
      <w:r w:rsidR="00841F53">
        <w:rPr>
          <w:rFonts w:ascii="Times New Roman" w:hAnsi="Times New Roman" w:cs="Times New Roman"/>
          <w:sz w:val="24"/>
          <w:szCs w:val="24"/>
        </w:rPr>
        <w:t>– 23 091 784,62 eur</w:t>
      </w:r>
    </w:p>
    <w:p w:rsidR="00D83D4F" w:rsidRPr="00B81EAE" w:rsidRDefault="00D83D4F" w:rsidP="009A2830">
      <w:pPr>
        <w:spacing w:after="0" w:line="240" w:lineRule="auto"/>
        <w:jc w:val="both"/>
        <w:rPr>
          <w:rFonts w:ascii="Times New Roman" w:hAnsi="Times New Roman" w:cs="Times New Roman"/>
          <w:sz w:val="24"/>
          <w:szCs w:val="24"/>
        </w:rPr>
      </w:pPr>
      <w:r w:rsidRPr="00B81EAE">
        <w:rPr>
          <w:rFonts w:ascii="Times New Roman" w:hAnsi="Times New Roman" w:cs="Times New Roman"/>
          <w:sz w:val="24"/>
          <w:szCs w:val="24"/>
        </w:rPr>
        <w:t>v tom:</w:t>
      </w:r>
    </w:p>
    <w:p w:rsidR="00310450" w:rsidRDefault="001B3F35" w:rsidP="001120ED">
      <w:pPr>
        <w:pStyle w:val="Zarkazkladnhotextu"/>
        <w:numPr>
          <w:ilvl w:val="0"/>
          <w:numId w:val="10"/>
        </w:numPr>
        <w:spacing w:after="0" w:line="240" w:lineRule="auto"/>
        <w:ind w:left="426" w:hanging="284"/>
        <w:jc w:val="both"/>
        <w:rPr>
          <w:rFonts w:ascii="Times New Roman" w:hAnsi="Times New Roman" w:cs="Times New Roman"/>
          <w:sz w:val="24"/>
          <w:szCs w:val="24"/>
        </w:rPr>
      </w:pPr>
      <w:r w:rsidRPr="00B81EAE">
        <w:rPr>
          <w:rFonts w:ascii="Times New Roman" w:hAnsi="Times New Roman" w:cs="Times New Roman"/>
          <w:sz w:val="24"/>
          <w:szCs w:val="24"/>
        </w:rPr>
        <w:t xml:space="preserve">príjmy z dividend </w:t>
      </w:r>
      <w:r w:rsidR="00841F53">
        <w:rPr>
          <w:rFonts w:ascii="Times New Roman" w:hAnsi="Times New Roman" w:cs="Times New Roman"/>
          <w:sz w:val="24"/>
          <w:szCs w:val="24"/>
        </w:rPr>
        <w:t xml:space="preserve">v sume </w:t>
      </w:r>
      <w:r w:rsidR="00841F53" w:rsidRPr="00841F53">
        <w:rPr>
          <w:rFonts w:ascii="Times New Roman" w:hAnsi="Times New Roman" w:cs="Times New Roman"/>
          <w:sz w:val="24"/>
          <w:szCs w:val="24"/>
        </w:rPr>
        <w:t xml:space="preserve">23 065 371,34 eur, </w:t>
      </w:r>
    </w:p>
    <w:p w:rsidR="00841F53" w:rsidRPr="00841F53" w:rsidRDefault="001120ED" w:rsidP="0077413C">
      <w:pPr>
        <w:pStyle w:val="Zarkazkladnhotextu"/>
        <w:tabs>
          <w:tab w:val="left" w:pos="0"/>
          <w:tab w:val="left" w:pos="567"/>
          <w:tab w:val="left" w:pos="1276"/>
        </w:tabs>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                     </w:t>
      </w:r>
      <w:r w:rsidR="00AF7CA4">
        <w:rPr>
          <w:rFonts w:ascii="Times New Roman" w:hAnsi="Times New Roman" w:cs="Times New Roman"/>
          <w:sz w:val="24"/>
          <w:szCs w:val="24"/>
        </w:rPr>
        <w:t>z toho</w:t>
      </w:r>
      <w:r w:rsidR="00841F53" w:rsidRPr="00841F53">
        <w:rPr>
          <w:rFonts w:ascii="Times New Roman" w:hAnsi="Times New Roman" w:cs="Times New Roman"/>
          <w:sz w:val="24"/>
          <w:szCs w:val="24"/>
        </w:rPr>
        <w:t xml:space="preserve">: - </w:t>
      </w:r>
      <w:r w:rsidR="00310450" w:rsidRPr="00B81EAE">
        <w:rPr>
          <w:rFonts w:ascii="Times New Roman" w:hAnsi="Times New Roman" w:cs="Times New Roman"/>
          <w:sz w:val="24"/>
          <w:szCs w:val="24"/>
        </w:rPr>
        <w:t xml:space="preserve">Jadrová a vyraďovacia spoločnosť, a. s. </w:t>
      </w:r>
      <w:r w:rsidR="00310450">
        <w:rPr>
          <w:rFonts w:ascii="Times New Roman" w:hAnsi="Times New Roman" w:cs="Times New Roman"/>
          <w:sz w:val="24"/>
          <w:szCs w:val="24"/>
        </w:rPr>
        <w:t xml:space="preserve">- </w:t>
      </w:r>
      <w:r w:rsidR="00841F53" w:rsidRPr="00841F53">
        <w:rPr>
          <w:rFonts w:ascii="Times New Roman" w:hAnsi="Times New Roman" w:cs="Times New Roman"/>
          <w:sz w:val="24"/>
          <w:szCs w:val="24"/>
        </w:rPr>
        <w:t>5 000 000,00 eur,</w:t>
      </w:r>
    </w:p>
    <w:p w:rsidR="00841F53" w:rsidRPr="00841F53" w:rsidRDefault="00841F53" w:rsidP="0077413C">
      <w:pPr>
        <w:pStyle w:val="Zarkazkladnhotextu"/>
        <w:tabs>
          <w:tab w:val="left" w:pos="0"/>
          <w:tab w:val="left" w:pos="567"/>
        </w:tabs>
        <w:spacing w:after="0" w:line="240" w:lineRule="auto"/>
        <w:ind w:left="426" w:hanging="426"/>
        <w:jc w:val="both"/>
        <w:rPr>
          <w:rFonts w:ascii="Times New Roman" w:hAnsi="Times New Roman" w:cs="Times New Roman"/>
          <w:sz w:val="24"/>
          <w:szCs w:val="24"/>
        </w:rPr>
      </w:pPr>
      <w:r w:rsidRPr="00841F53">
        <w:rPr>
          <w:rFonts w:ascii="Times New Roman" w:hAnsi="Times New Roman" w:cs="Times New Roman"/>
          <w:sz w:val="24"/>
          <w:szCs w:val="24"/>
        </w:rPr>
        <w:t xml:space="preserve">   </w:t>
      </w:r>
      <w:r w:rsidRPr="00841F53">
        <w:rPr>
          <w:rFonts w:ascii="Times New Roman" w:hAnsi="Times New Roman" w:cs="Times New Roman"/>
          <w:sz w:val="24"/>
          <w:szCs w:val="24"/>
        </w:rPr>
        <w:tab/>
      </w:r>
      <w:r w:rsidR="001120ED">
        <w:rPr>
          <w:rFonts w:ascii="Times New Roman" w:hAnsi="Times New Roman" w:cs="Times New Roman"/>
          <w:sz w:val="24"/>
          <w:szCs w:val="24"/>
        </w:rPr>
        <w:t xml:space="preserve">                         </w:t>
      </w:r>
      <w:r w:rsidR="0077413C">
        <w:rPr>
          <w:rFonts w:ascii="Times New Roman" w:hAnsi="Times New Roman" w:cs="Times New Roman"/>
          <w:sz w:val="24"/>
          <w:szCs w:val="24"/>
        </w:rPr>
        <w:t xml:space="preserve"> </w:t>
      </w:r>
      <w:r w:rsidRPr="00841F53">
        <w:rPr>
          <w:rFonts w:ascii="Times New Roman" w:hAnsi="Times New Roman" w:cs="Times New Roman"/>
          <w:sz w:val="24"/>
          <w:szCs w:val="24"/>
        </w:rPr>
        <w:t xml:space="preserve">- Slovak Telekom, a.s. </w:t>
      </w:r>
      <w:r w:rsidR="00310450">
        <w:rPr>
          <w:rFonts w:ascii="Times New Roman" w:hAnsi="Times New Roman" w:cs="Times New Roman"/>
          <w:sz w:val="24"/>
          <w:szCs w:val="24"/>
        </w:rPr>
        <w:t xml:space="preserve">- </w:t>
      </w:r>
      <w:r w:rsidRPr="00841F53">
        <w:rPr>
          <w:rFonts w:ascii="Times New Roman" w:hAnsi="Times New Roman" w:cs="Times New Roman"/>
          <w:sz w:val="24"/>
          <w:szCs w:val="24"/>
        </w:rPr>
        <w:t>11 065 371,34 eur,</w:t>
      </w:r>
    </w:p>
    <w:p w:rsidR="00841F53" w:rsidRPr="00841F53" w:rsidRDefault="00841F53" w:rsidP="0077413C">
      <w:pPr>
        <w:pStyle w:val="Zarkazkladnhotextu"/>
        <w:tabs>
          <w:tab w:val="left" w:pos="1418"/>
        </w:tabs>
        <w:spacing w:after="0" w:line="240" w:lineRule="auto"/>
        <w:ind w:left="426" w:hanging="426"/>
        <w:jc w:val="both"/>
        <w:rPr>
          <w:rFonts w:ascii="Times New Roman" w:hAnsi="Times New Roman" w:cs="Times New Roman"/>
          <w:sz w:val="24"/>
          <w:szCs w:val="24"/>
        </w:rPr>
      </w:pPr>
      <w:r w:rsidRPr="00841F53">
        <w:rPr>
          <w:rFonts w:ascii="Times New Roman" w:hAnsi="Times New Roman" w:cs="Times New Roman"/>
          <w:sz w:val="24"/>
          <w:szCs w:val="24"/>
        </w:rPr>
        <w:tab/>
      </w:r>
      <w:r w:rsidR="001120ED">
        <w:rPr>
          <w:rFonts w:ascii="Times New Roman" w:hAnsi="Times New Roman" w:cs="Times New Roman"/>
          <w:sz w:val="24"/>
          <w:szCs w:val="24"/>
        </w:rPr>
        <w:t xml:space="preserve">                         </w:t>
      </w:r>
      <w:r w:rsidR="0077413C">
        <w:rPr>
          <w:rFonts w:ascii="Times New Roman" w:hAnsi="Times New Roman" w:cs="Times New Roman"/>
          <w:sz w:val="24"/>
          <w:szCs w:val="24"/>
        </w:rPr>
        <w:t xml:space="preserve"> </w:t>
      </w:r>
      <w:r w:rsidRPr="00841F53">
        <w:rPr>
          <w:rFonts w:ascii="Times New Roman" w:hAnsi="Times New Roman" w:cs="Times New Roman"/>
          <w:sz w:val="24"/>
          <w:szCs w:val="24"/>
        </w:rPr>
        <w:t>- Transpetrol, a.s.</w:t>
      </w:r>
      <w:r w:rsidR="001120ED">
        <w:rPr>
          <w:rFonts w:ascii="Times New Roman" w:hAnsi="Times New Roman" w:cs="Times New Roman"/>
          <w:sz w:val="24"/>
          <w:szCs w:val="24"/>
        </w:rPr>
        <w:t xml:space="preserve"> </w:t>
      </w:r>
      <w:r w:rsidR="00310450">
        <w:rPr>
          <w:rFonts w:ascii="Times New Roman" w:hAnsi="Times New Roman" w:cs="Times New Roman"/>
          <w:sz w:val="24"/>
          <w:szCs w:val="24"/>
        </w:rPr>
        <w:t xml:space="preserve">- </w:t>
      </w:r>
      <w:r w:rsidRPr="00841F53">
        <w:rPr>
          <w:rFonts w:ascii="Times New Roman" w:hAnsi="Times New Roman" w:cs="Times New Roman"/>
          <w:sz w:val="24"/>
          <w:szCs w:val="24"/>
        </w:rPr>
        <w:t>7 000</w:t>
      </w:r>
      <w:r w:rsidR="001120ED">
        <w:rPr>
          <w:rFonts w:ascii="Times New Roman" w:hAnsi="Times New Roman" w:cs="Times New Roman"/>
          <w:sz w:val="24"/>
          <w:szCs w:val="24"/>
        </w:rPr>
        <w:t> </w:t>
      </w:r>
      <w:r w:rsidRPr="00841F53">
        <w:rPr>
          <w:rFonts w:ascii="Times New Roman" w:hAnsi="Times New Roman" w:cs="Times New Roman"/>
          <w:sz w:val="24"/>
          <w:szCs w:val="24"/>
        </w:rPr>
        <w:t>000</w:t>
      </w:r>
      <w:r w:rsidR="001120ED">
        <w:rPr>
          <w:rFonts w:ascii="Times New Roman" w:hAnsi="Times New Roman" w:cs="Times New Roman"/>
          <w:sz w:val="24"/>
          <w:szCs w:val="24"/>
        </w:rPr>
        <w:t>,00</w:t>
      </w:r>
      <w:r w:rsidRPr="00841F53">
        <w:rPr>
          <w:rFonts w:ascii="Times New Roman" w:hAnsi="Times New Roman" w:cs="Times New Roman"/>
          <w:sz w:val="24"/>
          <w:szCs w:val="24"/>
        </w:rPr>
        <w:t xml:space="preserve"> eur.</w:t>
      </w:r>
    </w:p>
    <w:p w:rsidR="001120ED" w:rsidRDefault="001120ED" w:rsidP="001120ED">
      <w:pPr>
        <w:pStyle w:val="Odsekzoznamu"/>
        <w:spacing w:after="0" w:line="240" w:lineRule="auto"/>
        <w:ind w:left="426" w:hanging="28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B3F35" w:rsidRPr="00B81EAE">
        <w:rPr>
          <w:rFonts w:ascii="Times New Roman" w:hAnsi="Times New Roman" w:cs="Times New Roman"/>
          <w:sz w:val="24"/>
          <w:szCs w:val="24"/>
        </w:rPr>
        <w:t xml:space="preserve">príjmy z vlastníctva </w:t>
      </w:r>
      <w:r>
        <w:rPr>
          <w:rFonts w:ascii="Times New Roman" w:hAnsi="Times New Roman" w:cs="Times New Roman"/>
          <w:sz w:val="24"/>
          <w:szCs w:val="24"/>
        </w:rPr>
        <w:t>26 413,28</w:t>
      </w:r>
      <w:r w:rsidR="005A6907" w:rsidRPr="00B81EAE">
        <w:rPr>
          <w:rFonts w:ascii="Times New Roman" w:hAnsi="Times New Roman" w:cs="Times New Roman"/>
          <w:sz w:val="24"/>
          <w:szCs w:val="24"/>
        </w:rPr>
        <w:t xml:space="preserve"> e</w:t>
      </w:r>
      <w:r w:rsidR="001B3F35" w:rsidRPr="00B81EAE">
        <w:rPr>
          <w:rFonts w:ascii="Times New Roman" w:hAnsi="Times New Roman" w:cs="Times New Roman"/>
          <w:sz w:val="24"/>
          <w:szCs w:val="24"/>
        </w:rPr>
        <w:t xml:space="preserve">ur </w:t>
      </w:r>
    </w:p>
    <w:p w:rsidR="001120ED" w:rsidRDefault="008F65AB" w:rsidP="001120ED">
      <w:pPr>
        <w:pStyle w:val="Odsekzoznamu"/>
        <w:spacing w:after="0" w:line="240" w:lineRule="auto"/>
        <w:ind w:left="0" w:firstLine="1276"/>
        <w:contextualSpacing/>
        <w:jc w:val="both"/>
        <w:rPr>
          <w:rFonts w:ascii="Times New Roman" w:hAnsi="Times New Roman" w:cs="Times New Roman"/>
          <w:sz w:val="24"/>
          <w:szCs w:val="24"/>
        </w:rPr>
      </w:pPr>
      <w:r>
        <w:rPr>
          <w:rFonts w:ascii="Times New Roman" w:hAnsi="Times New Roman" w:cs="Times New Roman"/>
          <w:sz w:val="24"/>
          <w:szCs w:val="24"/>
        </w:rPr>
        <w:t>z</w:t>
      </w:r>
      <w:r w:rsidR="00AF7CA4">
        <w:rPr>
          <w:rFonts w:ascii="Times New Roman" w:hAnsi="Times New Roman" w:cs="Times New Roman"/>
          <w:sz w:val="24"/>
          <w:szCs w:val="24"/>
        </w:rPr>
        <w:t xml:space="preserve"> toho</w:t>
      </w:r>
      <w:r w:rsidR="001120ED">
        <w:rPr>
          <w:rFonts w:ascii="Times New Roman" w:hAnsi="Times New Roman" w:cs="Times New Roman"/>
          <w:sz w:val="24"/>
          <w:szCs w:val="24"/>
        </w:rPr>
        <w:t>: -</w:t>
      </w:r>
      <w:r w:rsidR="001B3F35" w:rsidRPr="00B81EAE">
        <w:rPr>
          <w:rFonts w:ascii="Times New Roman" w:hAnsi="Times New Roman" w:cs="Times New Roman"/>
          <w:sz w:val="24"/>
          <w:szCs w:val="24"/>
        </w:rPr>
        <w:t xml:space="preserve"> Slovenská obchodná inšpekcia</w:t>
      </w:r>
      <w:r w:rsidR="00973D6E" w:rsidRPr="00B81EAE">
        <w:rPr>
          <w:rFonts w:ascii="Times New Roman" w:hAnsi="Times New Roman" w:cs="Times New Roman"/>
          <w:sz w:val="24"/>
          <w:szCs w:val="24"/>
        </w:rPr>
        <w:t xml:space="preserve"> (</w:t>
      </w:r>
      <w:proofErr w:type="spellStart"/>
      <w:r w:rsidR="00973D6E" w:rsidRPr="00B81EAE">
        <w:rPr>
          <w:rFonts w:ascii="Times New Roman" w:hAnsi="Times New Roman" w:cs="Times New Roman"/>
          <w:sz w:val="24"/>
          <w:szCs w:val="24"/>
        </w:rPr>
        <w:t>SOI</w:t>
      </w:r>
      <w:proofErr w:type="spellEnd"/>
      <w:r w:rsidR="00973D6E" w:rsidRPr="00B81EAE">
        <w:rPr>
          <w:rFonts w:ascii="Times New Roman" w:hAnsi="Times New Roman" w:cs="Times New Roman"/>
          <w:sz w:val="24"/>
          <w:szCs w:val="24"/>
        </w:rPr>
        <w:t xml:space="preserve">) - </w:t>
      </w:r>
      <w:r w:rsidR="001120ED" w:rsidRPr="001120ED">
        <w:rPr>
          <w:rFonts w:ascii="Times New Roman" w:hAnsi="Times New Roman" w:cs="Times New Roman"/>
          <w:sz w:val="24"/>
          <w:szCs w:val="24"/>
        </w:rPr>
        <w:t>11 599,02</w:t>
      </w:r>
      <w:r w:rsidR="001120ED" w:rsidRPr="00695344">
        <w:rPr>
          <w:b/>
        </w:rPr>
        <w:t xml:space="preserve"> </w:t>
      </w:r>
      <w:r w:rsidR="005A6907" w:rsidRPr="00B81EAE">
        <w:rPr>
          <w:rFonts w:ascii="Times New Roman" w:hAnsi="Times New Roman" w:cs="Times New Roman"/>
          <w:sz w:val="24"/>
          <w:szCs w:val="24"/>
        </w:rPr>
        <w:t>e</w:t>
      </w:r>
      <w:r w:rsidR="001B3F35" w:rsidRPr="00B81EAE">
        <w:rPr>
          <w:rFonts w:ascii="Times New Roman" w:hAnsi="Times New Roman" w:cs="Times New Roman"/>
          <w:sz w:val="24"/>
          <w:szCs w:val="24"/>
        </w:rPr>
        <w:t xml:space="preserve">ur, </w:t>
      </w:r>
    </w:p>
    <w:p w:rsidR="001120ED" w:rsidRDefault="001B3F35" w:rsidP="001120ED">
      <w:pPr>
        <w:pStyle w:val="Odsekzoznamu"/>
        <w:numPr>
          <w:ilvl w:val="0"/>
          <w:numId w:val="10"/>
        </w:numPr>
        <w:spacing w:after="0" w:line="240" w:lineRule="auto"/>
        <w:ind w:firstLine="1430"/>
        <w:contextualSpacing/>
        <w:jc w:val="both"/>
        <w:rPr>
          <w:rFonts w:ascii="Times New Roman" w:hAnsi="Times New Roman" w:cs="Times New Roman"/>
          <w:sz w:val="24"/>
          <w:szCs w:val="24"/>
        </w:rPr>
      </w:pPr>
      <w:r w:rsidRPr="00B81EAE">
        <w:rPr>
          <w:rFonts w:ascii="Times New Roman" w:hAnsi="Times New Roman" w:cs="Times New Roman"/>
          <w:sz w:val="24"/>
          <w:szCs w:val="24"/>
        </w:rPr>
        <w:t>Hlavný banský úrad</w:t>
      </w:r>
      <w:r w:rsidR="00973D6E" w:rsidRPr="00B81EAE">
        <w:rPr>
          <w:rFonts w:ascii="Times New Roman" w:hAnsi="Times New Roman" w:cs="Times New Roman"/>
          <w:sz w:val="24"/>
          <w:szCs w:val="24"/>
        </w:rPr>
        <w:t xml:space="preserve"> (</w:t>
      </w:r>
      <w:proofErr w:type="spellStart"/>
      <w:r w:rsidR="00973D6E" w:rsidRPr="00B81EAE">
        <w:rPr>
          <w:rFonts w:ascii="Times New Roman" w:hAnsi="Times New Roman" w:cs="Times New Roman"/>
          <w:sz w:val="24"/>
          <w:szCs w:val="24"/>
        </w:rPr>
        <w:t>HBÚ</w:t>
      </w:r>
      <w:proofErr w:type="spellEnd"/>
      <w:r w:rsidR="00973D6E" w:rsidRPr="00B81EAE">
        <w:rPr>
          <w:rFonts w:ascii="Times New Roman" w:hAnsi="Times New Roman" w:cs="Times New Roman"/>
          <w:sz w:val="24"/>
          <w:szCs w:val="24"/>
        </w:rPr>
        <w:t>)</w:t>
      </w:r>
      <w:r w:rsidRPr="00B81EAE">
        <w:rPr>
          <w:rFonts w:ascii="Times New Roman" w:hAnsi="Times New Roman" w:cs="Times New Roman"/>
          <w:sz w:val="24"/>
          <w:szCs w:val="24"/>
        </w:rPr>
        <w:t xml:space="preserve"> </w:t>
      </w:r>
      <w:r w:rsidR="00973D6E" w:rsidRPr="00B81EAE">
        <w:rPr>
          <w:rFonts w:ascii="Times New Roman" w:hAnsi="Times New Roman" w:cs="Times New Roman"/>
          <w:sz w:val="24"/>
          <w:szCs w:val="24"/>
        </w:rPr>
        <w:t xml:space="preserve">- </w:t>
      </w:r>
      <w:r w:rsidR="005A6907" w:rsidRPr="00B81EAE">
        <w:rPr>
          <w:rFonts w:ascii="Times New Roman" w:hAnsi="Times New Roman" w:cs="Times New Roman"/>
          <w:sz w:val="24"/>
          <w:szCs w:val="24"/>
        </w:rPr>
        <w:t>1 392,92 eu</w:t>
      </w:r>
      <w:r w:rsidRPr="00B81EAE">
        <w:rPr>
          <w:rFonts w:ascii="Times New Roman" w:hAnsi="Times New Roman" w:cs="Times New Roman"/>
          <w:sz w:val="24"/>
          <w:szCs w:val="24"/>
        </w:rPr>
        <w:t xml:space="preserve">r, </w:t>
      </w:r>
    </w:p>
    <w:p w:rsidR="001B3F35" w:rsidRPr="00B81EAE" w:rsidRDefault="001B3F35" w:rsidP="001120ED">
      <w:pPr>
        <w:pStyle w:val="Odsekzoznamu"/>
        <w:numPr>
          <w:ilvl w:val="0"/>
          <w:numId w:val="10"/>
        </w:numPr>
        <w:spacing w:after="0" w:line="240" w:lineRule="auto"/>
        <w:ind w:firstLine="1430"/>
        <w:contextualSpacing/>
        <w:jc w:val="both"/>
        <w:rPr>
          <w:rFonts w:ascii="Times New Roman" w:hAnsi="Times New Roman" w:cs="Times New Roman"/>
          <w:sz w:val="24"/>
          <w:szCs w:val="24"/>
        </w:rPr>
      </w:pPr>
      <w:r w:rsidRPr="00B81EAE">
        <w:rPr>
          <w:rFonts w:ascii="Times New Roman" w:hAnsi="Times New Roman" w:cs="Times New Roman"/>
          <w:sz w:val="24"/>
          <w:szCs w:val="24"/>
        </w:rPr>
        <w:t xml:space="preserve">úrad MH SR </w:t>
      </w:r>
      <w:r w:rsidR="00AF7CA4">
        <w:rPr>
          <w:rFonts w:ascii="Times New Roman" w:hAnsi="Times New Roman" w:cs="Times New Roman"/>
          <w:sz w:val="24"/>
          <w:szCs w:val="24"/>
        </w:rPr>
        <w:t>–</w:t>
      </w:r>
      <w:r w:rsidR="00973D6E" w:rsidRPr="00B81EAE">
        <w:rPr>
          <w:rFonts w:ascii="Times New Roman" w:hAnsi="Times New Roman" w:cs="Times New Roman"/>
          <w:sz w:val="24"/>
          <w:szCs w:val="24"/>
        </w:rPr>
        <w:t xml:space="preserve"> </w:t>
      </w:r>
      <w:r w:rsidR="00AF7CA4">
        <w:rPr>
          <w:rFonts w:ascii="Times New Roman" w:hAnsi="Times New Roman" w:cs="Times New Roman"/>
          <w:sz w:val="24"/>
          <w:szCs w:val="24"/>
        </w:rPr>
        <w:t>13 421,34</w:t>
      </w:r>
      <w:r w:rsidR="001120ED" w:rsidRPr="001120ED">
        <w:rPr>
          <w:rFonts w:ascii="Times New Roman" w:hAnsi="Times New Roman" w:cs="Times New Roman"/>
          <w:sz w:val="24"/>
          <w:szCs w:val="24"/>
        </w:rPr>
        <w:t xml:space="preserve"> </w:t>
      </w:r>
      <w:r w:rsidR="005A6907" w:rsidRPr="00B81EAE">
        <w:rPr>
          <w:rFonts w:ascii="Times New Roman" w:hAnsi="Times New Roman" w:cs="Times New Roman"/>
          <w:sz w:val="24"/>
          <w:szCs w:val="24"/>
        </w:rPr>
        <w:t>e</w:t>
      </w:r>
      <w:r w:rsidRPr="00B81EAE">
        <w:rPr>
          <w:rFonts w:ascii="Times New Roman" w:hAnsi="Times New Roman" w:cs="Times New Roman"/>
          <w:sz w:val="24"/>
          <w:szCs w:val="24"/>
        </w:rPr>
        <w:t>ur</w:t>
      </w:r>
      <w:r w:rsidR="00252D10" w:rsidRPr="00B81EAE">
        <w:rPr>
          <w:rFonts w:ascii="Times New Roman" w:hAnsi="Times New Roman" w:cs="Times New Roman"/>
          <w:sz w:val="24"/>
          <w:szCs w:val="24"/>
        </w:rPr>
        <w:t>.</w:t>
      </w:r>
    </w:p>
    <w:p w:rsidR="001B3F35" w:rsidRPr="00B81EAE" w:rsidRDefault="001B3F35" w:rsidP="009A2830">
      <w:pPr>
        <w:pStyle w:val="Odsekzoznamu"/>
        <w:spacing w:after="0" w:line="240" w:lineRule="auto"/>
        <w:ind w:left="284"/>
        <w:jc w:val="both"/>
        <w:rPr>
          <w:rFonts w:ascii="Times New Roman" w:hAnsi="Times New Roman" w:cs="Times New Roman"/>
          <w:sz w:val="24"/>
          <w:szCs w:val="24"/>
        </w:rPr>
      </w:pPr>
    </w:p>
    <w:p w:rsidR="00C20CA7" w:rsidRPr="00B81EAE" w:rsidRDefault="001B3F35" w:rsidP="009A2830">
      <w:pPr>
        <w:spacing w:after="0" w:line="240" w:lineRule="auto"/>
        <w:jc w:val="both"/>
        <w:rPr>
          <w:rFonts w:ascii="Times New Roman" w:hAnsi="Times New Roman" w:cs="Times New Roman"/>
          <w:sz w:val="24"/>
          <w:szCs w:val="24"/>
        </w:rPr>
      </w:pPr>
      <w:r w:rsidRPr="001341B3">
        <w:rPr>
          <w:rFonts w:ascii="Times New Roman" w:hAnsi="Times New Roman" w:cs="Times New Roman"/>
          <w:i/>
          <w:sz w:val="24"/>
          <w:szCs w:val="24"/>
        </w:rPr>
        <w:t>Kategória 220</w:t>
      </w:r>
      <w:r w:rsidRPr="001341B3">
        <w:rPr>
          <w:rFonts w:ascii="Times New Roman" w:hAnsi="Times New Roman" w:cs="Times New Roman"/>
          <w:sz w:val="24"/>
          <w:szCs w:val="24"/>
        </w:rPr>
        <w:t xml:space="preserve"> – Administratívne poplatky a iné poplatky a platby – 2</w:t>
      </w:r>
      <w:r w:rsidR="00AF7CA4" w:rsidRPr="001341B3">
        <w:rPr>
          <w:rFonts w:ascii="Times New Roman" w:hAnsi="Times New Roman" w:cs="Times New Roman"/>
          <w:sz w:val="24"/>
          <w:szCs w:val="24"/>
        </w:rPr>
        <w:t> 823 123,26</w:t>
      </w:r>
      <w:r w:rsidR="005A6907" w:rsidRPr="001341B3">
        <w:rPr>
          <w:rFonts w:ascii="Times New Roman" w:hAnsi="Times New Roman" w:cs="Times New Roman"/>
          <w:sz w:val="24"/>
          <w:szCs w:val="24"/>
        </w:rPr>
        <w:t xml:space="preserve"> e</w:t>
      </w:r>
      <w:r w:rsidRPr="001341B3">
        <w:rPr>
          <w:rFonts w:ascii="Times New Roman" w:hAnsi="Times New Roman" w:cs="Times New Roman"/>
          <w:sz w:val="24"/>
          <w:szCs w:val="24"/>
        </w:rPr>
        <w:t>ur</w:t>
      </w:r>
    </w:p>
    <w:p w:rsidR="001B3F35" w:rsidRPr="00B81EAE" w:rsidRDefault="002B2419" w:rsidP="009A2830">
      <w:pPr>
        <w:spacing w:after="0" w:line="240" w:lineRule="auto"/>
        <w:jc w:val="both"/>
        <w:rPr>
          <w:rFonts w:ascii="Times New Roman" w:hAnsi="Times New Roman" w:cs="Times New Roman"/>
          <w:sz w:val="24"/>
          <w:szCs w:val="24"/>
        </w:rPr>
      </w:pPr>
      <w:r w:rsidRPr="00B81EAE">
        <w:rPr>
          <w:rFonts w:ascii="Times New Roman" w:hAnsi="Times New Roman" w:cs="Times New Roman"/>
          <w:sz w:val="24"/>
          <w:szCs w:val="24"/>
        </w:rPr>
        <w:t>v tom:</w:t>
      </w:r>
    </w:p>
    <w:p w:rsidR="00973D6E" w:rsidRPr="00B81EAE" w:rsidRDefault="001B3F35" w:rsidP="00AF7CA4">
      <w:pPr>
        <w:pStyle w:val="Odsekzoznamu"/>
        <w:numPr>
          <w:ilvl w:val="0"/>
          <w:numId w:val="10"/>
        </w:numPr>
        <w:spacing w:after="0" w:line="240" w:lineRule="auto"/>
        <w:ind w:left="426" w:hanging="284"/>
        <w:contextualSpacing/>
        <w:jc w:val="both"/>
        <w:rPr>
          <w:rFonts w:ascii="Times New Roman" w:hAnsi="Times New Roman" w:cs="Times New Roman"/>
          <w:sz w:val="24"/>
          <w:szCs w:val="24"/>
        </w:rPr>
      </w:pPr>
      <w:r w:rsidRPr="00B81EAE">
        <w:rPr>
          <w:rFonts w:ascii="Times New Roman" w:hAnsi="Times New Roman" w:cs="Times New Roman"/>
          <w:sz w:val="24"/>
          <w:szCs w:val="24"/>
        </w:rPr>
        <w:t xml:space="preserve">administratívne poplatky – </w:t>
      </w:r>
      <w:r w:rsidR="00AF7CA4">
        <w:rPr>
          <w:rFonts w:ascii="Times New Roman" w:hAnsi="Times New Roman" w:cs="Times New Roman"/>
          <w:sz w:val="24"/>
          <w:szCs w:val="24"/>
        </w:rPr>
        <w:t>907 853,69</w:t>
      </w:r>
      <w:r w:rsidR="004F50A0" w:rsidRPr="00B81EAE">
        <w:rPr>
          <w:rFonts w:ascii="Times New Roman" w:hAnsi="Times New Roman" w:cs="Times New Roman"/>
          <w:sz w:val="24"/>
          <w:szCs w:val="24"/>
        </w:rPr>
        <w:t xml:space="preserve"> e</w:t>
      </w:r>
      <w:r w:rsidRPr="00B81EAE">
        <w:rPr>
          <w:rFonts w:ascii="Times New Roman" w:hAnsi="Times New Roman" w:cs="Times New Roman"/>
          <w:sz w:val="24"/>
          <w:szCs w:val="24"/>
        </w:rPr>
        <w:t xml:space="preserve">ur </w:t>
      </w:r>
    </w:p>
    <w:p w:rsidR="00AF7CA4" w:rsidRDefault="00AF7CA4" w:rsidP="00AF7CA4">
      <w:pPr>
        <w:pStyle w:val="Odsekzoznamu"/>
        <w:tabs>
          <w:tab w:val="left" w:pos="1276"/>
        </w:tabs>
        <w:spacing w:after="0" w:line="240" w:lineRule="auto"/>
        <w:ind w:left="567" w:hanging="283"/>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z toho: </w:t>
      </w:r>
      <w:r w:rsidR="008F65AB">
        <w:rPr>
          <w:rFonts w:ascii="Times New Roman" w:hAnsi="Times New Roman" w:cs="Times New Roman"/>
          <w:sz w:val="24"/>
          <w:szCs w:val="24"/>
        </w:rPr>
        <w:t xml:space="preserve"> </w:t>
      </w:r>
      <w:r>
        <w:rPr>
          <w:rFonts w:ascii="Times New Roman" w:hAnsi="Times New Roman" w:cs="Times New Roman"/>
          <w:sz w:val="24"/>
          <w:szCs w:val="24"/>
        </w:rPr>
        <w:t xml:space="preserve">- </w:t>
      </w:r>
      <w:r w:rsidR="001B3F35" w:rsidRPr="00B81EAE">
        <w:rPr>
          <w:rFonts w:ascii="Times New Roman" w:hAnsi="Times New Roman" w:cs="Times New Roman"/>
          <w:sz w:val="24"/>
          <w:szCs w:val="24"/>
        </w:rPr>
        <w:t>Puncový úrad</w:t>
      </w:r>
      <w:r w:rsidR="004F50A0" w:rsidRPr="00B81EAE">
        <w:rPr>
          <w:rFonts w:ascii="Times New Roman" w:hAnsi="Times New Roman" w:cs="Times New Roman"/>
          <w:sz w:val="24"/>
          <w:szCs w:val="24"/>
        </w:rPr>
        <w:t xml:space="preserve"> </w:t>
      </w:r>
      <w:r w:rsidR="00973D6E" w:rsidRPr="00B81EAE">
        <w:rPr>
          <w:rFonts w:ascii="Times New Roman" w:hAnsi="Times New Roman" w:cs="Times New Roman"/>
          <w:sz w:val="24"/>
          <w:szCs w:val="24"/>
        </w:rPr>
        <w:t xml:space="preserve"> (</w:t>
      </w:r>
      <w:proofErr w:type="spellStart"/>
      <w:r w:rsidR="00973D6E" w:rsidRPr="00B81EAE">
        <w:rPr>
          <w:rFonts w:ascii="Times New Roman" w:hAnsi="Times New Roman" w:cs="Times New Roman"/>
          <w:sz w:val="24"/>
          <w:szCs w:val="24"/>
        </w:rPr>
        <w:t>PÚ</w:t>
      </w:r>
      <w:proofErr w:type="spellEnd"/>
      <w:r w:rsidR="00973D6E" w:rsidRPr="00B81EAE">
        <w:rPr>
          <w:rFonts w:ascii="Times New Roman" w:hAnsi="Times New Roman" w:cs="Times New Roman"/>
          <w:sz w:val="24"/>
          <w:szCs w:val="24"/>
        </w:rPr>
        <w:t xml:space="preserve">) - </w:t>
      </w:r>
      <w:r w:rsidR="00625C1E" w:rsidRPr="00B81EAE">
        <w:rPr>
          <w:rFonts w:ascii="Times New Roman" w:hAnsi="Times New Roman" w:cs="Times New Roman"/>
          <w:sz w:val="24"/>
          <w:szCs w:val="24"/>
        </w:rPr>
        <w:t xml:space="preserve">za výkon puncovej kontroly </w:t>
      </w:r>
      <w:r w:rsidR="00F830D5" w:rsidRPr="00B81EAE">
        <w:rPr>
          <w:rFonts w:ascii="Times New Roman" w:hAnsi="Times New Roman" w:cs="Times New Roman"/>
          <w:sz w:val="24"/>
          <w:szCs w:val="24"/>
        </w:rPr>
        <w:t>–</w:t>
      </w:r>
      <w:r w:rsidR="00625C1E" w:rsidRPr="00B81EAE">
        <w:rPr>
          <w:rFonts w:ascii="Times New Roman" w:hAnsi="Times New Roman" w:cs="Times New Roman"/>
          <w:sz w:val="24"/>
          <w:szCs w:val="24"/>
        </w:rPr>
        <w:t xml:space="preserve"> </w:t>
      </w:r>
      <w:r w:rsidR="008F65AB" w:rsidRPr="008F65AB">
        <w:rPr>
          <w:rFonts w:ascii="Times New Roman" w:hAnsi="Times New Roman" w:cs="Times New Roman"/>
          <w:sz w:val="24"/>
          <w:szCs w:val="24"/>
        </w:rPr>
        <w:t>599 919,69</w:t>
      </w:r>
      <w:r w:rsidR="008F65AB" w:rsidRPr="00695344">
        <w:rPr>
          <w:bCs/>
          <w:szCs w:val="24"/>
        </w:rPr>
        <w:t xml:space="preserve"> </w:t>
      </w:r>
      <w:r w:rsidR="004F50A0" w:rsidRPr="00B81EAE">
        <w:rPr>
          <w:rFonts w:ascii="Times New Roman" w:hAnsi="Times New Roman" w:cs="Times New Roman"/>
          <w:sz w:val="24"/>
          <w:szCs w:val="24"/>
        </w:rPr>
        <w:t xml:space="preserve">eur, </w:t>
      </w:r>
    </w:p>
    <w:p w:rsidR="00F830D5" w:rsidRDefault="00AF7CA4" w:rsidP="00AF7CA4">
      <w:pPr>
        <w:pStyle w:val="Odsekzoznamu"/>
        <w:numPr>
          <w:ilvl w:val="0"/>
          <w:numId w:val="8"/>
        </w:numPr>
        <w:tabs>
          <w:tab w:val="left" w:pos="1276"/>
        </w:tabs>
        <w:spacing w:after="0" w:line="240" w:lineRule="auto"/>
        <w:ind w:firstLine="774"/>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73D6E" w:rsidRPr="00B81EAE">
        <w:rPr>
          <w:rFonts w:ascii="Times New Roman" w:hAnsi="Times New Roman" w:cs="Times New Roman"/>
          <w:sz w:val="24"/>
          <w:szCs w:val="24"/>
        </w:rPr>
        <w:t xml:space="preserve">úrad MH SR - </w:t>
      </w:r>
      <w:r w:rsidR="006D7528" w:rsidRPr="00B81EAE">
        <w:rPr>
          <w:rFonts w:ascii="Times New Roman" w:hAnsi="Times New Roman" w:cs="Times New Roman"/>
          <w:sz w:val="24"/>
          <w:szCs w:val="24"/>
        </w:rPr>
        <w:t xml:space="preserve">súdne a ostatné poplatky – </w:t>
      </w:r>
      <w:r w:rsidR="008F65AB">
        <w:rPr>
          <w:rFonts w:ascii="Times New Roman" w:hAnsi="Times New Roman" w:cs="Times New Roman"/>
          <w:sz w:val="24"/>
          <w:szCs w:val="24"/>
        </w:rPr>
        <w:t>307 851,50</w:t>
      </w:r>
      <w:r w:rsidR="006D7528" w:rsidRPr="00B81EAE">
        <w:rPr>
          <w:rFonts w:ascii="Times New Roman" w:hAnsi="Times New Roman" w:cs="Times New Roman"/>
          <w:sz w:val="24"/>
          <w:szCs w:val="24"/>
        </w:rPr>
        <w:t xml:space="preserve"> eur</w:t>
      </w:r>
      <w:r w:rsidR="00F830D5" w:rsidRPr="00B81EAE">
        <w:rPr>
          <w:rFonts w:ascii="Times New Roman" w:hAnsi="Times New Roman" w:cs="Times New Roman"/>
          <w:sz w:val="24"/>
          <w:szCs w:val="24"/>
        </w:rPr>
        <w:t>,</w:t>
      </w:r>
    </w:p>
    <w:p w:rsidR="008F65AB" w:rsidRDefault="008F65AB" w:rsidP="008F65AB">
      <w:pPr>
        <w:pStyle w:val="Odsekzoznamu"/>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sidRPr="00B81EAE">
        <w:rPr>
          <w:rFonts w:ascii="Times New Roman" w:hAnsi="Times New Roman" w:cs="Times New Roman"/>
          <w:sz w:val="24"/>
          <w:szCs w:val="24"/>
        </w:rPr>
        <w:t>HBÚ</w:t>
      </w:r>
      <w:proofErr w:type="spellEnd"/>
      <w:r w:rsidRPr="00B81EAE">
        <w:rPr>
          <w:rFonts w:ascii="Times New Roman" w:hAnsi="Times New Roman" w:cs="Times New Roman"/>
          <w:sz w:val="24"/>
          <w:szCs w:val="24"/>
        </w:rPr>
        <w:t xml:space="preserve"> </w:t>
      </w:r>
      <w:r>
        <w:rPr>
          <w:rFonts w:ascii="Times New Roman" w:hAnsi="Times New Roman" w:cs="Times New Roman"/>
          <w:sz w:val="24"/>
          <w:szCs w:val="24"/>
        </w:rPr>
        <w:t>–</w:t>
      </w:r>
      <w:r w:rsidRPr="00B81EAE">
        <w:rPr>
          <w:rFonts w:ascii="Times New Roman" w:hAnsi="Times New Roman" w:cs="Times New Roman"/>
          <w:sz w:val="24"/>
          <w:szCs w:val="24"/>
        </w:rPr>
        <w:t xml:space="preserve"> </w:t>
      </w:r>
      <w:r>
        <w:rPr>
          <w:rFonts w:ascii="Times New Roman" w:hAnsi="Times New Roman" w:cs="Times New Roman"/>
          <w:sz w:val="24"/>
          <w:szCs w:val="24"/>
        </w:rPr>
        <w:t>82,50</w:t>
      </w:r>
      <w:r w:rsidRPr="00B81EAE">
        <w:rPr>
          <w:rFonts w:ascii="Times New Roman" w:hAnsi="Times New Roman" w:cs="Times New Roman"/>
          <w:sz w:val="24"/>
          <w:szCs w:val="24"/>
        </w:rPr>
        <w:t xml:space="preserve"> eur</w:t>
      </w:r>
      <w:r>
        <w:rPr>
          <w:rFonts w:ascii="Times New Roman" w:hAnsi="Times New Roman" w:cs="Times New Roman"/>
          <w:sz w:val="24"/>
          <w:szCs w:val="24"/>
        </w:rPr>
        <w:t>.</w:t>
      </w:r>
    </w:p>
    <w:p w:rsidR="00973D6E" w:rsidRPr="00B81EAE" w:rsidRDefault="001B3F35" w:rsidP="008F65AB">
      <w:pPr>
        <w:pStyle w:val="Odsekzoznamu"/>
        <w:numPr>
          <w:ilvl w:val="0"/>
          <w:numId w:val="8"/>
        </w:numPr>
        <w:spacing w:after="0" w:line="240" w:lineRule="auto"/>
        <w:ind w:left="426" w:hanging="284"/>
        <w:contextualSpacing/>
        <w:jc w:val="both"/>
        <w:rPr>
          <w:rFonts w:ascii="Times New Roman" w:hAnsi="Times New Roman" w:cs="Times New Roman"/>
          <w:sz w:val="24"/>
          <w:szCs w:val="24"/>
        </w:rPr>
      </w:pPr>
      <w:r w:rsidRPr="00B81EAE">
        <w:rPr>
          <w:rFonts w:ascii="Times New Roman" w:hAnsi="Times New Roman" w:cs="Times New Roman"/>
          <w:sz w:val="24"/>
          <w:szCs w:val="24"/>
        </w:rPr>
        <w:t>pokuty, penále</w:t>
      </w:r>
      <w:r w:rsidR="008F65AB">
        <w:rPr>
          <w:rFonts w:ascii="Times New Roman" w:hAnsi="Times New Roman" w:cs="Times New Roman"/>
          <w:sz w:val="24"/>
          <w:szCs w:val="24"/>
        </w:rPr>
        <w:t xml:space="preserve"> a iné sankcie</w:t>
      </w:r>
      <w:r w:rsidRPr="00B81EAE">
        <w:rPr>
          <w:rFonts w:ascii="Times New Roman" w:hAnsi="Times New Roman" w:cs="Times New Roman"/>
          <w:sz w:val="24"/>
          <w:szCs w:val="24"/>
        </w:rPr>
        <w:t xml:space="preserve"> – 1</w:t>
      </w:r>
      <w:r w:rsidR="008F65AB">
        <w:rPr>
          <w:rFonts w:ascii="Times New Roman" w:hAnsi="Times New Roman" w:cs="Times New Roman"/>
          <w:sz w:val="24"/>
          <w:szCs w:val="24"/>
        </w:rPr>
        <w:t> 857 794,52</w:t>
      </w:r>
      <w:r w:rsidR="004F50A0" w:rsidRPr="00B81EAE">
        <w:rPr>
          <w:rFonts w:ascii="Times New Roman" w:hAnsi="Times New Roman" w:cs="Times New Roman"/>
          <w:sz w:val="24"/>
          <w:szCs w:val="24"/>
        </w:rPr>
        <w:t xml:space="preserve"> e</w:t>
      </w:r>
      <w:r w:rsidRPr="00B81EAE">
        <w:rPr>
          <w:rFonts w:ascii="Times New Roman" w:hAnsi="Times New Roman" w:cs="Times New Roman"/>
          <w:sz w:val="24"/>
          <w:szCs w:val="24"/>
        </w:rPr>
        <w:t xml:space="preserve">ur </w:t>
      </w:r>
    </w:p>
    <w:p w:rsidR="008F65AB" w:rsidRDefault="008F65AB" w:rsidP="008F65AB">
      <w:pPr>
        <w:pStyle w:val="Odsekzoznamu"/>
        <w:spacing w:after="0" w:line="240" w:lineRule="auto"/>
        <w:ind w:left="284" w:firstLine="992"/>
        <w:contextualSpacing/>
        <w:jc w:val="both"/>
        <w:rPr>
          <w:rFonts w:ascii="Times New Roman" w:hAnsi="Times New Roman" w:cs="Times New Roman"/>
          <w:sz w:val="24"/>
          <w:szCs w:val="24"/>
        </w:rPr>
      </w:pPr>
      <w:r>
        <w:rPr>
          <w:rFonts w:ascii="Times New Roman" w:hAnsi="Times New Roman" w:cs="Times New Roman"/>
          <w:sz w:val="24"/>
          <w:szCs w:val="24"/>
        </w:rPr>
        <w:t>z toho: -</w:t>
      </w:r>
      <w:r w:rsidR="001B3F35" w:rsidRPr="00B81EAE">
        <w:rPr>
          <w:rFonts w:ascii="Times New Roman" w:hAnsi="Times New Roman" w:cs="Times New Roman"/>
          <w:sz w:val="24"/>
          <w:szCs w:val="24"/>
        </w:rPr>
        <w:t xml:space="preserve"> </w:t>
      </w:r>
      <w:proofErr w:type="spellStart"/>
      <w:r w:rsidR="001B3F35" w:rsidRPr="00B81EAE">
        <w:rPr>
          <w:rFonts w:ascii="Times New Roman" w:hAnsi="Times New Roman" w:cs="Times New Roman"/>
          <w:sz w:val="24"/>
          <w:szCs w:val="24"/>
        </w:rPr>
        <w:t>P</w:t>
      </w:r>
      <w:r w:rsidR="00973D6E" w:rsidRPr="00B81EAE">
        <w:rPr>
          <w:rFonts w:ascii="Times New Roman" w:hAnsi="Times New Roman" w:cs="Times New Roman"/>
          <w:sz w:val="24"/>
          <w:szCs w:val="24"/>
        </w:rPr>
        <w:t>Ú</w:t>
      </w:r>
      <w:proofErr w:type="spellEnd"/>
      <w:r w:rsidR="00973D6E" w:rsidRPr="00B81EAE">
        <w:rPr>
          <w:rFonts w:ascii="Times New Roman" w:hAnsi="Times New Roman" w:cs="Times New Roman"/>
          <w:sz w:val="24"/>
          <w:szCs w:val="24"/>
        </w:rPr>
        <w:t xml:space="preserve"> - </w:t>
      </w:r>
      <w:r w:rsidR="001341B3" w:rsidRPr="001341B3">
        <w:rPr>
          <w:rFonts w:ascii="Times New Roman" w:hAnsi="Times New Roman" w:cs="Times New Roman"/>
          <w:sz w:val="24"/>
          <w:szCs w:val="24"/>
        </w:rPr>
        <w:t xml:space="preserve">37 585,87 </w:t>
      </w:r>
      <w:r w:rsidR="00625C1E" w:rsidRPr="00B81EAE">
        <w:rPr>
          <w:rFonts w:ascii="Times New Roman" w:hAnsi="Times New Roman" w:cs="Times New Roman"/>
          <w:sz w:val="24"/>
          <w:szCs w:val="24"/>
        </w:rPr>
        <w:t>eur</w:t>
      </w:r>
      <w:r w:rsidR="001B3F35" w:rsidRPr="00B81EAE">
        <w:rPr>
          <w:rFonts w:ascii="Times New Roman" w:hAnsi="Times New Roman" w:cs="Times New Roman"/>
          <w:sz w:val="24"/>
          <w:szCs w:val="24"/>
        </w:rPr>
        <w:t xml:space="preserve">, </w:t>
      </w:r>
    </w:p>
    <w:p w:rsidR="001341B3" w:rsidRDefault="001B3F35" w:rsidP="001341B3">
      <w:pPr>
        <w:pStyle w:val="Odsekzoznamu"/>
        <w:numPr>
          <w:ilvl w:val="0"/>
          <w:numId w:val="8"/>
        </w:numPr>
        <w:spacing w:after="0" w:line="240" w:lineRule="auto"/>
        <w:ind w:left="2127" w:hanging="142"/>
        <w:contextualSpacing/>
        <w:jc w:val="both"/>
        <w:rPr>
          <w:rFonts w:ascii="Times New Roman" w:hAnsi="Times New Roman" w:cs="Times New Roman"/>
          <w:sz w:val="24"/>
          <w:szCs w:val="24"/>
        </w:rPr>
      </w:pPr>
      <w:proofErr w:type="spellStart"/>
      <w:r w:rsidRPr="00B81EAE">
        <w:rPr>
          <w:rFonts w:ascii="Times New Roman" w:hAnsi="Times New Roman" w:cs="Times New Roman"/>
          <w:sz w:val="24"/>
          <w:szCs w:val="24"/>
        </w:rPr>
        <w:t>S</w:t>
      </w:r>
      <w:r w:rsidR="00973D6E" w:rsidRPr="00B81EAE">
        <w:rPr>
          <w:rFonts w:ascii="Times New Roman" w:hAnsi="Times New Roman" w:cs="Times New Roman"/>
          <w:sz w:val="24"/>
          <w:szCs w:val="24"/>
        </w:rPr>
        <w:t>OI</w:t>
      </w:r>
      <w:proofErr w:type="spellEnd"/>
      <w:r w:rsidR="00973D6E" w:rsidRPr="00B81EAE">
        <w:rPr>
          <w:rFonts w:ascii="Times New Roman" w:hAnsi="Times New Roman" w:cs="Times New Roman"/>
          <w:sz w:val="24"/>
          <w:szCs w:val="24"/>
        </w:rPr>
        <w:t xml:space="preserve"> - </w:t>
      </w:r>
      <w:r w:rsidR="001341B3" w:rsidRPr="001341B3">
        <w:rPr>
          <w:rFonts w:ascii="Times New Roman" w:hAnsi="Times New Roman" w:cs="Times New Roman"/>
          <w:sz w:val="24"/>
          <w:szCs w:val="24"/>
        </w:rPr>
        <w:t>1 749 705,27</w:t>
      </w:r>
      <w:r w:rsidRPr="00B81EAE">
        <w:rPr>
          <w:rFonts w:ascii="Times New Roman" w:hAnsi="Times New Roman" w:cs="Times New Roman"/>
          <w:sz w:val="24"/>
          <w:szCs w:val="24"/>
        </w:rPr>
        <w:t xml:space="preserve">, </w:t>
      </w:r>
    </w:p>
    <w:p w:rsidR="001341B3" w:rsidRDefault="001B3F35" w:rsidP="001341B3">
      <w:pPr>
        <w:pStyle w:val="Odsekzoznamu"/>
        <w:numPr>
          <w:ilvl w:val="0"/>
          <w:numId w:val="8"/>
        </w:numPr>
        <w:spacing w:after="0" w:line="240" w:lineRule="auto"/>
        <w:ind w:left="2127" w:hanging="142"/>
        <w:contextualSpacing/>
        <w:jc w:val="both"/>
        <w:rPr>
          <w:rFonts w:ascii="Times New Roman" w:hAnsi="Times New Roman" w:cs="Times New Roman"/>
          <w:sz w:val="24"/>
          <w:szCs w:val="24"/>
        </w:rPr>
      </w:pPr>
      <w:proofErr w:type="spellStart"/>
      <w:r w:rsidRPr="00B81EAE">
        <w:rPr>
          <w:rFonts w:ascii="Times New Roman" w:hAnsi="Times New Roman" w:cs="Times New Roman"/>
          <w:sz w:val="24"/>
          <w:szCs w:val="24"/>
        </w:rPr>
        <w:t>H</w:t>
      </w:r>
      <w:r w:rsidR="00973D6E" w:rsidRPr="00B81EAE">
        <w:rPr>
          <w:rFonts w:ascii="Times New Roman" w:hAnsi="Times New Roman" w:cs="Times New Roman"/>
          <w:sz w:val="24"/>
          <w:szCs w:val="24"/>
        </w:rPr>
        <w:t>BÚ</w:t>
      </w:r>
      <w:proofErr w:type="spellEnd"/>
      <w:r w:rsidR="00973D6E" w:rsidRPr="00B81EAE">
        <w:rPr>
          <w:rFonts w:ascii="Times New Roman" w:hAnsi="Times New Roman" w:cs="Times New Roman"/>
          <w:sz w:val="24"/>
          <w:szCs w:val="24"/>
        </w:rPr>
        <w:t xml:space="preserve"> - </w:t>
      </w:r>
      <w:r w:rsidR="001341B3" w:rsidRPr="001341B3">
        <w:rPr>
          <w:rFonts w:ascii="Times New Roman" w:hAnsi="Times New Roman" w:cs="Times New Roman"/>
          <w:sz w:val="24"/>
          <w:szCs w:val="24"/>
        </w:rPr>
        <w:t xml:space="preserve">63 863,38 </w:t>
      </w:r>
      <w:r w:rsidR="004F50A0" w:rsidRPr="00B81EAE">
        <w:rPr>
          <w:rFonts w:ascii="Times New Roman" w:hAnsi="Times New Roman" w:cs="Times New Roman"/>
          <w:sz w:val="24"/>
          <w:szCs w:val="24"/>
        </w:rPr>
        <w:t>eur</w:t>
      </w:r>
      <w:r w:rsidRPr="00B81EAE">
        <w:rPr>
          <w:rFonts w:ascii="Times New Roman" w:hAnsi="Times New Roman" w:cs="Times New Roman"/>
          <w:sz w:val="24"/>
          <w:szCs w:val="24"/>
        </w:rPr>
        <w:t xml:space="preserve">, </w:t>
      </w:r>
    </w:p>
    <w:p w:rsidR="002B2419" w:rsidRDefault="004D5293" w:rsidP="001341B3">
      <w:pPr>
        <w:pStyle w:val="Odsekzoznamu"/>
        <w:numPr>
          <w:ilvl w:val="0"/>
          <w:numId w:val="8"/>
        </w:numPr>
        <w:spacing w:after="0" w:line="240" w:lineRule="auto"/>
        <w:ind w:left="2127" w:hanging="142"/>
        <w:contextualSpacing/>
        <w:jc w:val="both"/>
        <w:rPr>
          <w:rFonts w:ascii="Times New Roman" w:hAnsi="Times New Roman" w:cs="Times New Roman"/>
          <w:sz w:val="24"/>
          <w:szCs w:val="24"/>
        </w:rPr>
      </w:pPr>
      <w:r w:rsidRPr="00B81EAE">
        <w:rPr>
          <w:rFonts w:ascii="Times New Roman" w:hAnsi="Times New Roman" w:cs="Times New Roman"/>
          <w:sz w:val="24"/>
          <w:szCs w:val="24"/>
        </w:rPr>
        <w:t xml:space="preserve">úrad MH SR </w:t>
      </w:r>
      <w:r w:rsidR="001341B3">
        <w:rPr>
          <w:rFonts w:ascii="Times New Roman" w:hAnsi="Times New Roman" w:cs="Times New Roman"/>
          <w:sz w:val="24"/>
          <w:szCs w:val="24"/>
        </w:rPr>
        <w:t>–</w:t>
      </w:r>
      <w:r w:rsidR="00973D6E" w:rsidRPr="00B81EAE">
        <w:rPr>
          <w:rFonts w:ascii="Times New Roman" w:hAnsi="Times New Roman" w:cs="Times New Roman"/>
          <w:sz w:val="24"/>
          <w:szCs w:val="24"/>
        </w:rPr>
        <w:t xml:space="preserve"> </w:t>
      </w:r>
      <w:r w:rsidR="001341B3">
        <w:rPr>
          <w:rFonts w:ascii="Times New Roman" w:hAnsi="Times New Roman" w:cs="Times New Roman"/>
          <w:sz w:val="24"/>
          <w:szCs w:val="24"/>
        </w:rPr>
        <w:t>6 640,00 eur.</w:t>
      </w:r>
    </w:p>
    <w:p w:rsidR="001341B3" w:rsidRDefault="001B3F35" w:rsidP="001341B3">
      <w:pPr>
        <w:pStyle w:val="Odsekzoznamu"/>
        <w:numPr>
          <w:ilvl w:val="0"/>
          <w:numId w:val="8"/>
        </w:numPr>
        <w:spacing w:after="0" w:line="240" w:lineRule="auto"/>
        <w:ind w:left="426" w:hanging="284"/>
        <w:contextualSpacing/>
        <w:jc w:val="both"/>
        <w:rPr>
          <w:rFonts w:ascii="Times New Roman" w:hAnsi="Times New Roman" w:cs="Times New Roman"/>
          <w:sz w:val="24"/>
          <w:szCs w:val="24"/>
        </w:rPr>
      </w:pPr>
      <w:r w:rsidRPr="00B81EAE">
        <w:rPr>
          <w:rFonts w:ascii="Times New Roman" w:hAnsi="Times New Roman" w:cs="Times New Roman"/>
          <w:sz w:val="24"/>
          <w:szCs w:val="24"/>
        </w:rPr>
        <w:t>poplatky a </w:t>
      </w:r>
      <w:r w:rsidR="00625F8E" w:rsidRPr="00B81EAE">
        <w:rPr>
          <w:rFonts w:ascii="Times New Roman" w:hAnsi="Times New Roman" w:cs="Times New Roman"/>
          <w:sz w:val="24"/>
          <w:szCs w:val="24"/>
        </w:rPr>
        <w:t xml:space="preserve"> </w:t>
      </w:r>
      <w:r w:rsidRPr="00B81EAE">
        <w:rPr>
          <w:rFonts w:ascii="Times New Roman" w:hAnsi="Times New Roman" w:cs="Times New Roman"/>
          <w:sz w:val="24"/>
          <w:szCs w:val="24"/>
        </w:rPr>
        <w:t>platby z nepriemyselného a náhodného predaja</w:t>
      </w:r>
      <w:r w:rsidR="00625F8E" w:rsidRPr="00B81EAE">
        <w:rPr>
          <w:rFonts w:ascii="Times New Roman" w:hAnsi="Times New Roman" w:cs="Times New Roman"/>
          <w:sz w:val="24"/>
          <w:szCs w:val="24"/>
        </w:rPr>
        <w:t xml:space="preserve"> tovarov </w:t>
      </w:r>
      <w:r w:rsidRPr="00B81EAE">
        <w:rPr>
          <w:rFonts w:ascii="Times New Roman" w:hAnsi="Times New Roman" w:cs="Times New Roman"/>
          <w:sz w:val="24"/>
          <w:szCs w:val="24"/>
        </w:rPr>
        <w:t xml:space="preserve">a služieb – </w:t>
      </w:r>
      <w:r w:rsidR="007F70BD">
        <w:rPr>
          <w:rFonts w:ascii="Times New Roman" w:hAnsi="Times New Roman" w:cs="Times New Roman"/>
          <w:sz w:val="24"/>
          <w:szCs w:val="24"/>
        </w:rPr>
        <w:t xml:space="preserve">   </w:t>
      </w:r>
      <w:r w:rsidR="001341B3">
        <w:rPr>
          <w:rFonts w:ascii="Times New Roman" w:hAnsi="Times New Roman" w:cs="Times New Roman"/>
          <w:sz w:val="24"/>
          <w:szCs w:val="24"/>
        </w:rPr>
        <w:t>57 475,05</w:t>
      </w:r>
      <w:r w:rsidRPr="00B81EAE">
        <w:rPr>
          <w:rFonts w:ascii="Times New Roman" w:hAnsi="Times New Roman" w:cs="Times New Roman"/>
          <w:sz w:val="24"/>
          <w:szCs w:val="24"/>
        </w:rPr>
        <w:t xml:space="preserve"> </w:t>
      </w:r>
      <w:r w:rsidR="00F830D5" w:rsidRPr="00B81EAE">
        <w:rPr>
          <w:rFonts w:ascii="Times New Roman" w:hAnsi="Times New Roman" w:cs="Times New Roman"/>
          <w:sz w:val="24"/>
          <w:szCs w:val="24"/>
        </w:rPr>
        <w:t>e</w:t>
      </w:r>
      <w:r w:rsidRPr="00B81EAE">
        <w:rPr>
          <w:rFonts w:ascii="Times New Roman" w:hAnsi="Times New Roman" w:cs="Times New Roman"/>
          <w:sz w:val="24"/>
          <w:szCs w:val="24"/>
        </w:rPr>
        <w:t>ur</w:t>
      </w:r>
    </w:p>
    <w:p w:rsidR="001341B3" w:rsidRDefault="00973D6E" w:rsidP="001341B3">
      <w:pPr>
        <w:pStyle w:val="Odsekzoznamu"/>
        <w:spacing w:after="0" w:line="240" w:lineRule="auto"/>
        <w:ind w:left="284" w:firstLine="992"/>
        <w:contextualSpacing/>
        <w:jc w:val="both"/>
        <w:rPr>
          <w:rFonts w:ascii="Times New Roman" w:hAnsi="Times New Roman" w:cs="Times New Roman"/>
          <w:sz w:val="24"/>
          <w:szCs w:val="24"/>
        </w:rPr>
      </w:pPr>
      <w:r w:rsidRPr="00B81EAE">
        <w:rPr>
          <w:rFonts w:ascii="Times New Roman" w:hAnsi="Times New Roman" w:cs="Times New Roman"/>
          <w:sz w:val="24"/>
          <w:szCs w:val="24"/>
        </w:rPr>
        <w:t xml:space="preserve">  </w:t>
      </w:r>
      <w:r w:rsidR="001341B3">
        <w:rPr>
          <w:rFonts w:ascii="Times New Roman" w:hAnsi="Times New Roman" w:cs="Times New Roman"/>
          <w:sz w:val="24"/>
          <w:szCs w:val="24"/>
        </w:rPr>
        <w:t>z toho: -</w:t>
      </w:r>
      <w:r w:rsidR="001341B3" w:rsidRPr="00B81EAE">
        <w:rPr>
          <w:rFonts w:ascii="Times New Roman" w:hAnsi="Times New Roman" w:cs="Times New Roman"/>
          <w:sz w:val="24"/>
          <w:szCs w:val="24"/>
        </w:rPr>
        <w:t xml:space="preserve"> </w:t>
      </w:r>
      <w:proofErr w:type="spellStart"/>
      <w:r w:rsidR="001341B3">
        <w:rPr>
          <w:rFonts w:ascii="Times New Roman" w:hAnsi="Times New Roman" w:cs="Times New Roman"/>
          <w:sz w:val="24"/>
          <w:szCs w:val="24"/>
        </w:rPr>
        <w:t>SOI</w:t>
      </w:r>
      <w:proofErr w:type="spellEnd"/>
      <w:r w:rsidR="001341B3" w:rsidRPr="00B81EAE">
        <w:rPr>
          <w:rFonts w:ascii="Times New Roman" w:hAnsi="Times New Roman" w:cs="Times New Roman"/>
          <w:sz w:val="24"/>
          <w:szCs w:val="24"/>
        </w:rPr>
        <w:t xml:space="preserve"> - </w:t>
      </w:r>
      <w:r w:rsidR="001341B3" w:rsidRPr="001341B3">
        <w:rPr>
          <w:rFonts w:ascii="Times New Roman" w:hAnsi="Times New Roman" w:cs="Times New Roman"/>
          <w:sz w:val="24"/>
          <w:szCs w:val="24"/>
        </w:rPr>
        <w:t xml:space="preserve">57 271,65 </w:t>
      </w:r>
      <w:r w:rsidR="001341B3" w:rsidRPr="00B81EAE">
        <w:rPr>
          <w:rFonts w:ascii="Times New Roman" w:hAnsi="Times New Roman" w:cs="Times New Roman"/>
          <w:sz w:val="24"/>
          <w:szCs w:val="24"/>
        </w:rPr>
        <w:t xml:space="preserve">eur, </w:t>
      </w:r>
    </w:p>
    <w:p w:rsidR="001B3F35" w:rsidRPr="00B81EAE" w:rsidRDefault="002B2419" w:rsidP="001341B3">
      <w:pPr>
        <w:pStyle w:val="Odsekzoznamu"/>
        <w:numPr>
          <w:ilvl w:val="0"/>
          <w:numId w:val="8"/>
        </w:numPr>
        <w:spacing w:after="0" w:line="240" w:lineRule="auto"/>
        <w:ind w:left="2268" w:hanging="141"/>
        <w:contextualSpacing/>
        <w:jc w:val="both"/>
        <w:rPr>
          <w:rFonts w:ascii="Times New Roman" w:hAnsi="Times New Roman" w:cs="Times New Roman"/>
          <w:sz w:val="24"/>
          <w:szCs w:val="24"/>
        </w:rPr>
      </w:pPr>
      <w:proofErr w:type="spellStart"/>
      <w:r w:rsidRPr="00B81EAE">
        <w:rPr>
          <w:rFonts w:ascii="Times New Roman" w:hAnsi="Times New Roman" w:cs="Times New Roman"/>
          <w:sz w:val="24"/>
          <w:szCs w:val="24"/>
        </w:rPr>
        <w:t>P</w:t>
      </w:r>
      <w:r w:rsidR="00973D6E" w:rsidRPr="00B81EAE">
        <w:rPr>
          <w:rFonts w:ascii="Times New Roman" w:hAnsi="Times New Roman" w:cs="Times New Roman"/>
          <w:sz w:val="24"/>
          <w:szCs w:val="24"/>
        </w:rPr>
        <w:t>Ú</w:t>
      </w:r>
      <w:proofErr w:type="spellEnd"/>
      <w:r w:rsidR="00973D6E" w:rsidRPr="00B81EAE">
        <w:rPr>
          <w:rFonts w:ascii="Times New Roman" w:hAnsi="Times New Roman" w:cs="Times New Roman"/>
          <w:sz w:val="24"/>
          <w:szCs w:val="24"/>
        </w:rPr>
        <w:t xml:space="preserve"> </w:t>
      </w:r>
      <w:r w:rsidR="001341B3">
        <w:rPr>
          <w:rFonts w:ascii="Times New Roman" w:hAnsi="Times New Roman" w:cs="Times New Roman"/>
          <w:sz w:val="24"/>
          <w:szCs w:val="24"/>
        </w:rPr>
        <w:t>–</w:t>
      </w:r>
      <w:r w:rsidR="008F72CF">
        <w:rPr>
          <w:rFonts w:ascii="Times New Roman" w:hAnsi="Times New Roman" w:cs="Times New Roman"/>
          <w:sz w:val="24"/>
          <w:szCs w:val="24"/>
        </w:rPr>
        <w:t xml:space="preserve"> </w:t>
      </w:r>
      <w:r w:rsidR="001341B3">
        <w:rPr>
          <w:rFonts w:ascii="Times New Roman" w:hAnsi="Times New Roman" w:cs="Times New Roman"/>
          <w:sz w:val="24"/>
          <w:szCs w:val="24"/>
        </w:rPr>
        <w:t>203,40</w:t>
      </w:r>
      <w:r w:rsidR="00F61291" w:rsidRPr="00B81EAE">
        <w:rPr>
          <w:rFonts w:ascii="Times New Roman" w:hAnsi="Times New Roman" w:cs="Times New Roman"/>
          <w:sz w:val="24"/>
          <w:szCs w:val="24"/>
        </w:rPr>
        <w:t xml:space="preserve"> eur</w:t>
      </w:r>
      <w:r w:rsidR="004830E7" w:rsidRPr="00B81EAE">
        <w:rPr>
          <w:rFonts w:ascii="Times New Roman" w:hAnsi="Times New Roman" w:cs="Times New Roman"/>
          <w:sz w:val="24"/>
          <w:szCs w:val="24"/>
        </w:rPr>
        <w:t>.</w:t>
      </w:r>
    </w:p>
    <w:p w:rsidR="00F830D5" w:rsidRPr="00B81EAE" w:rsidRDefault="00F830D5" w:rsidP="009A2830">
      <w:pPr>
        <w:pStyle w:val="Odsekzoznamu"/>
        <w:spacing w:after="0" w:line="240" w:lineRule="auto"/>
        <w:ind w:left="426"/>
        <w:contextualSpacing/>
        <w:jc w:val="both"/>
        <w:rPr>
          <w:rFonts w:ascii="Times New Roman" w:hAnsi="Times New Roman" w:cs="Times New Roman"/>
          <w:i/>
          <w:sz w:val="24"/>
          <w:szCs w:val="24"/>
        </w:rPr>
      </w:pPr>
    </w:p>
    <w:p w:rsidR="001B3F35" w:rsidRDefault="001B3F35" w:rsidP="009A2830">
      <w:pPr>
        <w:spacing w:after="0" w:line="240" w:lineRule="auto"/>
        <w:jc w:val="both"/>
        <w:rPr>
          <w:rFonts w:ascii="Times New Roman" w:hAnsi="Times New Roman" w:cs="Times New Roman"/>
          <w:sz w:val="24"/>
          <w:szCs w:val="24"/>
        </w:rPr>
      </w:pPr>
      <w:r w:rsidRPr="00333F57">
        <w:rPr>
          <w:rFonts w:ascii="Times New Roman" w:hAnsi="Times New Roman" w:cs="Times New Roman"/>
          <w:i/>
          <w:sz w:val="24"/>
          <w:szCs w:val="24"/>
        </w:rPr>
        <w:t>Kategória 230</w:t>
      </w:r>
      <w:r w:rsidRPr="00333F57">
        <w:rPr>
          <w:rFonts w:ascii="Times New Roman" w:hAnsi="Times New Roman" w:cs="Times New Roman"/>
          <w:b/>
          <w:sz w:val="24"/>
          <w:szCs w:val="24"/>
        </w:rPr>
        <w:t xml:space="preserve"> – </w:t>
      </w:r>
      <w:r w:rsidRPr="00333F57">
        <w:rPr>
          <w:rFonts w:ascii="Times New Roman" w:hAnsi="Times New Roman" w:cs="Times New Roman"/>
          <w:sz w:val="24"/>
          <w:szCs w:val="24"/>
        </w:rPr>
        <w:t xml:space="preserve">Kapitálové príjmy – </w:t>
      </w:r>
      <w:r w:rsidR="00B6127C" w:rsidRPr="00333F57">
        <w:rPr>
          <w:rFonts w:ascii="Times New Roman" w:hAnsi="Times New Roman" w:cs="Times New Roman"/>
          <w:sz w:val="24"/>
          <w:szCs w:val="24"/>
        </w:rPr>
        <w:t>1 082 070,49</w:t>
      </w:r>
      <w:r w:rsidR="00F61291" w:rsidRPr="00333F57">
        <w:rPr>
          <w:rFonts w:ascii="Times New Roman" w:hAnsi="Times New Roman" w:cs="Times New Roman"/>
          <w:sz w:val="24"/>
          <w:szCs w:val="24"/>
        </w:rPr>
        <w:t xml:space="preserve"> eur</w:t>
      </w:r>
    </w:p>
    <w:p w:rsidR="00A62BB9" w:rsidRPr="00B81EAE" w:rsidRDefault="00A62BB9" w:rsidP="00A62BB9">
      <w:pPr>
        <w:spacing w:after="0" w:line="240" w:lineRule="auto"/>
        <w:jc w:val="both"/>
        <w:rPr>
          <w:rFonts w:ascii="Times New Roman" w:hAnsi="Times New Roman" w:cs="Times New Roman"/>
          <w:sz w:val="24"/>
          <w:szCs w:val="24"/>
        </w:rPr>
      </w:pPr>
      <w:r w:rsidRPr="00B81EAE">
        <w:rPr>
          <w:rFonts w:ascii="Times New Roman" w:hAnsi="Times New Roman" w:cs="Times New Roman"/>
          <w:sz w:val="24"/>
          <w:szCs w:val="24"/>
        </w:rPr>
        <w:t>v tom:</w:t>
      </w:r>
    </w:p>
    <w:p w:rsidR="00A62BB9" w:rsidRPr="00B81EAE" w:rsidRDefault="00333F57" w:rsidP="00A62BB9">
      <w:pPr>
        <w:pStyle w:val="Odsekzoznamu"/>
        <w:numPr>
          <w:ilvl w:val="0"/>
          <w:numId w:val="10"/>
        </w:numPr>
        <w:spacing w:after="0" w:line="240" w:lineRule="auto"/>
        <w:ind w:left="426" w:hanging="284"/>
        <w:contextualSpacing/>
        <w:jc w:val="both"/>
        <w:rPr>
          <w:rFonts w:ascii="Times New Roman" w:hAnsi="Times New Roman" w:cs="Times New Roman"/>
          <w:sz w:val="24"/>
          <w:szCs w:val="24"/>
        </w:rPr>
      </w:pPr>
      <w:r>
        <w:rPr>
          <w:rFonts w:ascii="Times New Roman" w:hAnsi="Times New Roman" w:cs="Times New Roman"/>
          <w:sz w:val="24"/>
          <w:szCs w:val="24"/>
        </w:rPr>
        <w:t>p</w:t>
      </w:r>
      <w:r w:rsidR="00A62BB9">
        <w:rPr>
          <w:rFonts w:ascii="Times New Roman" w:hAnsi="Times New Roman" w:cs="Times New Roman"/>
          <w:sz w:val="24"/>
          <w:szCs w:val="24"/>
        </w:rPr>
        <w:t>ríjem z predaja kapitálových aktív</w:t>
      </w:r>
      <w:r w:rsidR="00A62BB9" w:rsidRPr="00B81EAE">
        <w:rPr>
          <w:rFonts w:ascii="Times New Roman" w:hAnsi="Times New Roman" w:cs="Times New Roman"/>
          <w:sz w:val="24"/>
          <w:szCs w:val="24"/>
        </w:rPr>
        <w:t xml:space="preserve"> – </w:t>
      </w:r>
      <w:r w:rsidR="00A62BB9">
        <w:rPr>
          <w:rFonts w:ascii="Times New Roman" w:hAnsi="Times New Roman" w:cs="Times New Roman"/>
          <w:sz w:val="24"/>
          <w:szCs w:val="24"/>
        </w:rPr>
        <w:t>21 194,80</w:t>
      </w:r>
      <w:r w:rsidR="00A62BB9" w:rsidRPr="00B81EAE">
        <w:rPr>
          <w:rFonts w:ascii="Times New Roman" w:hAnsi="Times New Roman" w:cs="Times New Roman"/>
          <w:sz w:val="24"/>
          <w:szCs w:val="24"/>
        </w:rPr>
        <w:t xml:space="preserve"> eur </w:t>
      </w:r>
    </w:p>
    <w:p w:rsidR="00A62BB9" w:rsidRDefault="00A62BB9" w:rsidP="00333F57">
      <w:pPr>
        <w:pStyle w:val="Odsekzoznamu"/>
        <w:tabs>
          <w:tab w:val="left" w:pos="1276"/>
        </w:tabs>
        <w:spacing w:after="0" w:line="240" w:lineRule="auto"/>
        <w:ind w:left="567" w:hanging="283"/>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z toho:  - </w:t>
      </w:r>
      <w:r w:rsidRPr="00B81EAE">
        <w:rPr>
          <w:rFonts w:ascii="Times New Roman" w:hAnsi="Times New Roman" w:cs="Times New Roman"/>
          <w:sz w:val="24"/>
          <w:szCs w:val="24"/>
        </w:rPr>
        <w:t xml:space="preserve">úrad MH SR </w:t>
      </w:r>
      <w:r w:rsidR="00C92C52">
        <w:rPr>
          <w:rFonts w:ascii="Times New Roman" w:hAnsi="Times New Roman" w:cs="Times New Roman"/>
          <w:sz w:val="24"/>
          <w:szCs w:val="24"/>
        </w:rPr>
        <w:t>–</w:t>
      </w:r>
      <w:r w:rsidRPr="00B81EAE">
        <w:rPr>
          <w:rFonts w:ascii="Times New Roman" w:hAnsi="Times New Roman" w:cs="Times New Roman"/>
          <w:sz w:val="24"/>
          <w:szCs w:val="24"/>
        </w:rPr>
        <w:t xml:space="preserve"> </w:t>
      </w:r>
      <w:r w:rsidR="00C92C52">
        <w:rPr>
          <w:rFonts w:ascii="Times New Roman" w:hAnsi="Times New Roman" w:cs="Times New Roman"/>
          <w:sz w:val="24"/>
          <w:szCs w:val="24"/>
        </w:rPr>
        <w:t xml:space="preserve">za predaj majetku - </w:t>
      </w:r>
      <w:r>
        <w:rPr>
          <w:rFonts w:ascii="Times New Roman" w:hAnsi="Times New Roman" w:cs="Times New Roman"/>
          <w:sz w:val="24"/>
          <w:szCs w:val="24"/>
        </w:rPr>
        <w:t>12 883,80</w:t>
      </w:r>
      <w:r w:rsidRPr="00B81EAE">
        <w:rPr>
          <w:rFonts w:ascii="Times New Roman" w:hAnsi="Times New Roman" w:cs="Times New Roman"/>
          <w:sz w:val="24"/>
          <w:szCs w:val="24"/>
        </w:rPr>
        <w:t xml:space="preserve"> eur,</w:t>
      </w:r>
    </w:p>
    <w:p w:rsidR="00A62BB9" w:rsidRDefault="00A62BB9" w:rsidP="00A62BB9">
      <w:pPr>
        <w:pStyle w:val="Odsekzoznamu"/>
        <w:numPr>
          <w:ilvl w:val="0"/>
          <w:numId w:val="8"/>
        </w:numPr>
        <w:tabs>
          <w:tab w:val="left" w:pos="1276"/>
        </w:tabs>
        <w:spacing w:after="0" w:line="240" w:lineRule="auto"/>
        <w:ind w:firstLine="774"/>
        <w:contextualSpacing/>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B81EAE">
        <w:rPr>
          <w:rFonts w:ascii="Times New Roman" w:hAnsi="Times New Roman" w:cs="Times New Roman"/>
          <w:sz w:val="24"/>
          <w:szCs w:val="24"/>
        </w:rPr>
        <w:t>SOI</w:t>
      </w:r>
      <w:proofErr w:type="spellEnd"/>
      <w:r w:rsidRPr="00B81EAE">
        <w:rPr>
          <w:rFonts w:ascii="Times New Roman" w:hAnsi="Times New Roman" w:cs="Times New Roman"/>
          <w:sz w:val="24"/>
          <w:szCs w:val="24"/>
        </w:rPr>
        <w:t xml:space="preserve"> </w:t>
      </w:r>
      <w:r>
        <w:rPr>
          <w:rFonts w:ascii="Times New Roman" w:hAnsi="Times New Roman" w:cs="Times New Roman"/>
          <w:sz w:val="24"/>
          <w:szCs w:val="24"/>
        </w:rPr>
        <w:t>– za odpredaj vyradených služobných motorových vozidiel –</w:t>
      </w:r>
    </w:p>
    <w:p w:rsidR="00A62BB9" w:rsidRDefault="00A62BB9" w:rsidP="00333F57">
      <w:pPr>
        <w:pStyle w:val="Odsekzoznamu"/>
        <w:tabs>
          <w:tab w:val="left" w:pos="1276"/>
        </w:tabs>
        <w:spacing w:after="0" w:line="240" w:lineRule="auto"/>
        <w:ind w:left="2835"/>
        <w:contextualSpacing/>
        <w:jc w:val="both"/>
        <w:rPr>
          <w:rFonts w:ascii="Times New Roman" w:hAnsi="Times New Roman" w:cs="Times New Roman"/>
          <w:sz w:val="24"/>
          <w:szCs w:val="24"/>
        </w:rPr>
      </w:pPr>
      <w:r>
        <w:rPr>
          <w:rFonts w:ascii="Times New Roman" w:hAnsi="Times New Roman" w:cs="Times New Roman"/>
          <w:sz w:val="24"/>
          <w:szCs w:val="24"/>
        </w:rPr>
        <w:t xml:space="preserve"> 8 311,00 eur</w:t>
      </w:r>
      <w:r w:rsidR="00333F57">
        <w:rPr>
          <w:rFonts w:ascii="Times New Roman" w:hAnsi="Times New Roman" w:cs="Times New Roman"/>
          <w:sz w:val="24"/>
          <w:szCs w:val="24"/>
        </w:rPr>
        <w:t>.</w:t>
      </w:r>
    </w:p>
    <w:p w:rsidR="00333F57" w:rsidRDefault="001B3F35" w:rsidP="00333F57">
      <w:pPr>
        <w:pStyle w:val="Odsekzoznamu"/>
        <w:numPr>
          <w:ilvl w:val="0"/>
          <w:numId w:val="10"/>
        </w:numPr>
        <w:spacing w:after="0" w:line="240" w:lineRule="auto"/>
        <w:ind w:left="426" w:hanging="284"/>
        <w:contextualSpacing/>
        <w:jc w:val="both"/>
        <w:rPr>
          <w:rFonts w:ascii="Times New Roman" w:hAnsi="Times New Roman" w:cs="Times New Roman"/>
          <w:sz w:val="24"/>
          <w:szCs w:val="24"/>
        </w:rPr>
      </w:pPr>
      <w:r w:rsidRPr="00B81EAE">
        <w:rPr>
          <w:rFonts w:ascii="Times New Roman" w:hAnsi="Times New Roman" w:cs="Times New Roman"/>
          <w:sz w:val="24"/>
          <w:szCs w:val="24"/>
        </w:rPr>
        <w:t xml:space="preserve">ďalšie kapitálové príjmy </w:t>
      </w:r>
      <w:r w:rsidR="00333F57">
        <w:rPr>
          <w:rFonts w:ascii="Times New Roman" w:hAnsi="Times New Roman" w:cs="Times New Roman"/>
          <w:sz w:val="24"/>
          <w:szCs w:val="24"/>
        </w:rPr>
        <w:t>–</w:t>
      </w:r>
      <w:r w:rsidR="00D326BB">
        <w:rPr>
          <w:rFonts w:ascii="Times New Roman" w:hAnsi="Times New Roman" w:cs="Times New Roman"/>
          <w:sz w:val="24"/>
          <w:szCs w:val="24"/>
        </w:rPr>
        <w:t xml:space="preserve"> 1 060 875,69</w:t>
      </w:r>
    </w:p>
    <w:p w:rsidR="000C17A2" w:rsidRPr="00A67CB0" w:rsidRDefault="00333F57" w:rsidP="00333F57">
      <w:pPr>
        <w:pStyle w:val="Odsekzoznamu"/>
        <w:tabs>
          <w:tab w:val="left" w:pos="1276"/>
        </w:tabs>
        <w:spacing w:after="0" w:line="240" w:lineRule="auto"/>
        <w:ind w:left="4395" w:hanging="3119"/>
        <w:contextualSpacing/>
        <w:jc w:val="both"/>
        <w:rPr>
          <w:rFonts w:ascii="Times New Roman" w:hAnsi="Times New Roman" w:cs="Times New Roman"/>
          <w:sz w:val="24"/>
          <w:szCs w:val="24"/>
        </w:rPr>
      </w:pPr>
      <w:r>
        <w:rPr>
          <w:rFonts w:ascii="Times New Roman" w:hAnsi="Times New Roman" w:cs="Times New Roman"/>
          <w:sz w:val="24"/>
          <w:szCs w:val="24"/>
        </w:rPr>
        <w:t xml:space="preserve">z toho: - </w:t>
      </w:r>
      <w:r w:rsidR="00135AF8" w:rsidRPr="00B81EAE">
        <w:rPr>
          <w:rFonts w:ascii="Times New Roman" w:hAnsi="Times New Roman" w:cs="Times New Roman"/>
          <w:sz w:val="24"/>
          <w:szCs w:val="24"/>
        </w:rPr>
        <w:t>ú</w:t>
      </w:r>
      <w:r w:rsidR="001B3F35" w:rsidRPr="00B81EAE">
        <w:rPr>
          <w:rFonts w:ascii="Times New Roman" w:hAnsi="Times New Roman" w:cs="Times New Roman"/>
          <w:sz w:val="24"/>
          <w:szCs w:val="24"/>
        </w:rPr>
        <w:t>rad MH SR – vr</w:t>
      </w:r>
      <w:r w:rsidR="00A67CB0">
        <w:rPr>
          <w:rFonts w:ascii="Times New Roman" w:hAnsi="Times New Roman" w:cs="Times New Roman"/>
          <w:sz w:val="24"/>
          <w:szCs w:val="24"/>
        </w:rPr>
        <w:t>a</w:t>
      </w:r>
      <w:r w:rsidR="001B3F35" w:rsidRPr="00A67CB0">
        <w:rPr>
          <w:rFonts w:ascii="Times New Roman" w:hAnsi="Times New Roman" w:cs="Times New Roman"/>
          <w:sz w:val="24"/>
          <w:szCs w:val="24"/>
        </w:rPr>
        <w:t>tky nevyčerpaných kapitálových transferov</w:t>
      </w:r>
      <w:r>
        <w:rPr>
          <w:rFonts w:ascii="Times New Roman" w:hAnsi="Times New Roman" w:cs="Times New Roman"/>
          <w:sz w:val="24"/>
          <w:szCs w:val="24"/>
        </w:rPr>
        <w:t xml:space="preserve"> –   1 060 875,69 eur.</w:t>
      </w:r>
    </w:p>
    <w:p w:rsidR="00A176A6" w:rsidRPr="00B81EAE" w:rsidRDefault="00A176A6" w:rsidP="009A2830">
      <w:pPr>
        <w:spacing w:after="0" w:line="240" w:lineRule="auto"/>
        <w:jc w:val="both"/>
        <w:rPr>
          <w:rFonts w:ascii="Times New Roman" w:hAnsi="Times New Roman" w:cs="Times New Roman"/>
          <w:i/>
          <w:sz w:val="24"/>
          <w:szCs w:val="24"/>
        </w:rPr>
      </w:pPr>
    </w:p>
    <w:p w:rsidR="00C20CA7" w:rsidRPr="00B81EAE" w:rsidRDefault="001B3F35" w:rsidP="009A2830">
      <w:pPr>
        <w:spacing w:after="0" w:line="240" w:lineRule="auto"/>
        <w:jc w:val="both"/>
        <w:rPr>
          <w:rFonts w:ascii="Times New Roman" w:hAnsi="Times New Roman" w:cs="Times New Roman"/>
          <w:sz w:val="24"/>
          <w:szCs w:val="24"/>
        </w:rPr>
      </w:pPr>
      <w:r w:rsidRPr="00B81EAE">
        <w:rPr>
          <w:rFonts w:ascii="Times New Roman" w:hAnsi="Times New Roman" w:cs="Times New Roman"/>
          <w:i/>
          <w:sz w:val="24"/>
          <w:szCs w:val="24"/>
        </w:rPr>
        <w:t>Kategória 290</w:t>
      </w:r>
      <w:r w:rsidRPr="00B81EAE">
        <w:rPr>
          <w:rFonts w:ascii="Times New Roman" w:hAnsi="Times New Roman" w:cs="Times New Roman"/>
          <w:b/>
          <w:sz w:val="24"/>
          <w:szCs w:val="24"/>
        </w:rPr>
        <w:t xml:space="preserve"> – </w:t>
      </w:r>
      <w:r w:rsidRPr="00B81EAE">
        <w:rPr>
          <w:rFonts w:ascii="Times New Roman" w:hAnsi="Times New Roman" w:cs="Times New Roman"/>
          <w:sz w:val="24"/>
          <w:szCs w:val="24"/>
        </w:rPr>
        <w:t xml:space="preserve">Iné nedaňové  príjmy – </w:t>
      </w:r>
      <w:r w:rsidR="00601837">
        <w:rPr>
          <w:rFonts w:ascii="Times New Roman" w:hAnsi="Times New Roman" w:cs="Times New Roman"/>
          <w:sz w:val="24"/>
          <w:szCs w:val="24"/>
        </w:rPr>
        <w:t>73 536 425,25</w:t>
      </w:r>
      <w:r w:rsidR="00D34F82" w:rsidRPr="00B81EAE">
        <w:rPr>
          <w:rFonts w:ascii="Times New Roman" w:hAnsi="Times New Roman" w:cs="Times New Roman"/>
          <w:sz w:val="24"/>
          <w:szCs w:val="24"/>
        </w:rPr>
        <w:t xml:space="preserve"> e</w:t>
      </w:r>
      <w:r w:rsidRPr="00B81EAE">
        <w:rPr>
          <w:rFonts w:ascii="Times New Roman" w:hAnsi="Times New Roman" w:cs="Times New Roman"/>
          <w:sz w:val="24"/>
          <w:szCs w:val="24"/>
        </w:rPr>
        <w:t>ur</w:t>
      </w:r>
      <w:r w:rsidR="002B2419" w:rsidRPr="00B81EAE">
        <w:rPr>
          <w:rFonts w:ascii="Times New Roman" w:hAnsi="Times New Roman" w:cs="Times New Roman"/>
          <w:sz w:val="24"/>
          <w:szCs w:val="24"/>
        </w:rPr>
        <w:t>,</w:t>
      </w:r>
    </w:p>
    <w:p w:rsidR="001B3F35" w:rsidRPr="00B81EAE" w:rsidRDefault="002B2419" w:rsidP="009A2830">
      <w:pPr>
        <w:spacing w:after="0" w:line="240" w:lineRule="auto"/>
        <w:jc w:val="both"/>
        <w:rPr>
          <w:rFonts w:ascii="Times New Roman" w:hAnsi="Times New Roman" w:cs="Times New Roman"/>
          <w:sz w:val="24"/>
          <w:szCs w:val="24"/>
        </w:rPr>
      </w:pPr>
      <w:r w:rsidRPr="00B81EAE">
        <w:rPr>
          <w:rFonts w:ascii="Times New Roman" w:hAnsi="Times New Roman" w:cs="Times New Roman"/>
          <w:sz w:val="24"/>
          <w:szCs w:val="24"/>
        </w:rPr>
        <w:t>v tom:</w:t>
      </w:r>
    </w:p>
    <w:p w:rsidR="00973D6E" w:rsidRDefault="00D34F82" w:rsidP="00601837">
      <w:pPr>
        <w:numPr>
          <w:ilvl w:val="0"/>
          <w:numId w:val="8"/>
        </w:numPr>
        <w:spacing w:after="0" w:line="240" w:lineRule="auto"/>
        <w:ind w:left="426" w:hanging="284"/>
        <w:jc w:val="both"/>
        <w:rPr>
          <w:rFonts w:ascii="Times New Roman" w:hAnsi="Times New Roman" w:cs="Times New Roman"/>
          <w:sz w:val="24"/>
          <w:szCs w:val="24"/>
        </w:rPr>
      </w:pPr>
      <w:r w:rsidRPr="00B81EAE">
        <w:rPr>
          <w:rFonts w:ascii="Times New Roman" w:hAnsi="Times New Roman" w:cs="Times New Roman"/>
          <w:sz w:val="24"/>
          <w:szCs w:val="24"/>
        </w:rPr>
        <w:t>vrátené neoprávnen</w:t>
      </w:r>
      <w:r w:rsidR="00DC3BC2">
        <w:rPr>
          <w:rFonts w:ascii="Times New Roman" w:hAnsi="Times New Roman" w:cs="Times New Roman"/>
          <w:sz w:val="24"/>
          <w:szCs w:val="24"/>
        </w:rPr>
        <w:t>e</w:t>
      </w:r>
      <w:r w:rsidRPr="00B81EAE">
        <w:rPr>
          <w:rFonts w:ascii="Times New Roman" w:hAnsi="Times New Roman" w:cs="Times New Roman"/>
          <w:sz w:val="24"/>
          <w:szCs w:val="24"/>
        </w:rPr>
        <w:t xml:space="preserve"> použité </w:t>
      </w:r>
      <w:r w:rsidR="00601837">
        <w:rPr>
          <w:rFonts w:ascii="Times New Roman" w:hAnsi="Times New Roman" w:cs="Times New Roman"/>
          <w:sz w:val="24"/>
          <w:szCs w:val="24"/>
        </w:rPr>
        <w:t xml:space="preserve">alebo zadržané </w:t>
      </w:r>
      <w:r w:rsidRPr="00B81EAE">
        <w:rPr>
          <w:rFonts w:ascii="Times New Roman" w:hAnsi="Times New Roman" w:cs="Times New Roman"/>
          <w:sz w:val="24"/>
          <w:szCs w:val="24"/>
        </w:rPr>
        <w:t>finančné prostriedky –</w:t>
      </w:r>
      <w:r w:rsidR="00D2763C" w:rsidRPr="00B81EAE">
        <w:rPr>
          <w:rFonts w:ascii="Times New Roman" w:hAnsi="Times New Roman" w:cs="Times New Roman"/>
          <w:sz w:val="24"/>
          <w:szCs w:val="24"/>
        </w:rPr>
        <w:t xml:space="preserve"> </w:t>
      </w:r>
      <w:r w:rsidR="00601837">
        <w:rPr>
          <w:rFonts w:ascii="Times New Roman" w:hAnsi="Times New Roman" w:cs="Times New Roman"/>
          <w:sz w:val="24"/>
          <w:szCs w:val="24"/>
        </w:rPr>
        <w:t>487 063,06 eur,</w:t>
      </w:r>
    </w:p>
    <w:p w:rsidR="00601837" w:rsidRDefault="00601837" w:rsidP="00601837">
      <w:pPr>
        <w:numPr>
          <w:ilvl w:val="0"/>
          <w:numId w:val="8"/>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z náhrad poistného plneni</w:t>
      </w:r>
      <w:r w:rsidR="007F70BD">
        <w:rPr>
          <w:rFonts w:ascii="Times New Roman" w:hAnsi="Times New Roman" w:cs="Times New Roman"/>
          <w:sz w:val="24"/>
          <w:szCs w:val="24"/>
        </w:rPr>
        <w:t>a</w:t>
      </w:r>
      <w:r>
        <w:rPr>
          <w:rFonts w:ascii="Times New Roman" w:hAnsi="Times New Roman" w:cs="Times New Roman"/>
          <w:sz w:val="24"/>
          <w:szCs w:val="24"/>
        </w:rPr>
        <w:t xml:space="preserve"> – 5 212,65 eur,</w:t>
      </w:r>
    </w:p>
    <w:p w:rsidR="00601837" w:rsidRDefault="00601837" w:rsidP="00601837">
      <w:pPr>
        <w:numPr>
          <w:ilvl w:val="0"/>
          <w:numId w:val="8"/>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z dobropisov – 35 637,71 eur,</w:t>
      </w:r>
    </w:p>
    <w:p w:rsidR="00601837" w:rsidRDefault="00601837" w:rsidP="00601837">
      <w:pPr>
        <w:numPr>
          <w:ilvl w:val="0"/>
          <w:numId w:val="8"/>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z vratiek – 35 201,16 eur,</w:t>
      </w:r>
    </w:p>
    <w:p w:rsidR="00601837" w:rsidRDefault="00601837" w:rsidP="00601837">
      <w:pPr>
        <w:numPr>
          <w:ilvl w:val="0"/>
          <w:numId w:val="8"/>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iné – 72 973 310,67.</w:t>
      </w:r>
    </w:p>
    <w:p w:rsidR="00601837" w:rsidRDefault="00601837" w:rsidP="004666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Príjmy v uvedenej ekonomickej kategórií boli naplnené hlavne príjmami </w:t>
      </w:r>
      <w:r w:rsidRPr="00B81EAE">
        <w:rPr>
          <w:rFonts w:ascii="Times New Roman" w:hAnsi="Times New Roman" w:cs="Times New Roman"/>
          <w:sz w:val="24"/>
          <w:szCs w:val="24"/>
        </w:rPr>
        <w:t>z odvodov z prenosovej sústavy a  distribučných sústav</w:t>
      </w:r>
      <w:r w:rsidR="0077413C">
        <w:rPr>
          <w:rFonts w:ascii="Times New Roman" w:hAnsi="Times New Roman" w:cs="Times New Roman"/>
          <w:sz w:val="24"/>
          <w:szCs w:val="24"/>
        </w:rPr>
        <w:t xml:space="preserve"> NJF v sume 72 886 098,90 eur</w:t>
      </w:r>
      <w:r w:rsidR="00CF51E5">
        <w:rPr>
          <w:rFonts w:ascii="Times New Roman" w:hAnsi="Times New Roman" w:cs="Times New Roman"/>
          <w:sz w:val="24"/>
          <w:szCs w:val="24"/>
        </w:rPr>
        <w:t>.</w:t>
      </w:r>
      <w:r w:rsidR="0077413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01837" w:rsidRDefault="00601837" w:rsidP="00601837">
      <w:pPr>
        <w:spacing w:after="0" w:line="240" w:lineRule="auto"/>
        <w:jc w:val="both"/>
        <w:rPr>
          <w:rFonts w:ascii="Times New Roman" w:hAnsi="Times New Roman" w:cs="Times New Roman"/>
          <w:sz w:val="24"/>
          <w:szCs w:val="24"/>
        </w:rPr>
      </w:pPr>
    </w:p>
    <w:p w:rsidR="00713454" w:rsidRDefault="00713454" w:rsidP="00601837">
      <w:pPr>
        <w:spacing w:after="0" w:line="240" w:lineRule="auto"/>
        <w:jc w:val="both"/>
        <w:rPr>
          <w:rFonts w:ascii="Times New Roman" w:hAnsi="Times New Roman" w:cs="Times New Roman"/>
          <w:sz w:val="24"/>
          <w:szCs w:val="24"/>
        </w:rPr>
      </w:pPr>
    </w:p>
    <w:p w:rsidR="00713454" w:rsidRDefault="00713454" w:rsidP="00601837">
      <w:pPr>
        <w:spacing w:after="0" w:line="240" w:lineRule="auto"/>
        <w:jc w:val="both"/>
        <w:rPr>
          <w:rFonts w:ascii="Times New Roman" w:hAnsi="Times New Roman" w:cs="Times New Roman"/>
          <w:sz w:val="24"/>
          <w:szCs w:val="24"/>
        </w:rPr>
      </w:pPr>
    </w:p>
    <w:p w:rsidR="009A2830" w:rsidRDefault="00135AF8" w:rsidP="009A2830">
      <w:pPr>
        <w:pStyle w:val="Odsekzoznamu"/>
        <w:spacing w:after="0" w:line="240" w:lineRule="auto"/>
        <w:ind w:left="0"/>
        <w:jc w:val="both"/>
        <w:rPr>
          <w:rFonts w:ascii="Times New Roman" w:hAnsi="Times New Roman" w:cs="Times New Roman"/>
          <w:b/>
          <w:sz w:val="24"/>
          <w:szCs w:val="24"/>
        </w:rPr>
      </w:pPr>
      <w:r w:rsidRPr="00B81EAE">
        <w:rPr>
          <w:rFonts w:ascii="Times New Roman" w:hAnsi="Times New Roman" w:cs="Times New Roman"/>
          <w:b/>
          <w:sz w:val="24"/>
          <w:szCs w:val="24"/>
        </w:rPr>
        <w:t>Kat</w:t>
      </w:r>
      <w:r w:rsidR="009A2830">
        <w:rPr>
          <w:rFonts w:ascii="Times New Roman" w:hAnsi="Times New Roman" w:cs="Times New Roman"/>
          <w:b/>
          <w:sz w:val="24"/>
          <w:szCs w:val="24"/>
        </w:rPr>
        <w:t>egória 300 – Granty a transfery</w:t>
      </w:r>
    </w:p>
    <w:p w:rsidR="009A2830" w:rsidRPr="009A2830" w:rsidRDefault="009A2830" w:rsidP="009A2830">
      <w:pPr>
        <w:pStyle w:val="Odsekzoznamu"/>
        <w:spacing w:after="0" w:line="240" w:lineRule="auto"/>
        <w:ind w:left="0"/>
        <w:jc w:val="both"/>
        <w:rPr>
          <w:rFonts w:ascii="Times New Roman" w:hAnsi="Times New Roman" w:cs="Times New Roman"/>
          <w:b/>
          <w:sz w:val="24"/>
          <w:szCs w:val="24"/>
        </w:rPr>
      </w:pPr>
    </w:p>
    <w:p w:rsidR="00135AF8" w:rsidRPr="00B81EAE" w:rsidRDefault="00135AF8" w:rsidP="008A5E0F">
      <w:pPr>
        <w:pStyle w:val="Odsekzoznamu"/>
        <w:spacing w:after="0" w:line="240" w:lineRule="auto"/>
        <w:ind w:left="0" w:firstLine="709"/>
        <w:jc w:val="both"/>
        <w:rPr>
          <w:rFonts w:ascii="Times New Roman" w:hAnsi="Times New Roman" w:cs="Times New Roman"/>
          <w:sz w:val="24"/>
          <w:szCs w:val="24"/>
        </w:rPr>
      </w:pPr>
      <w:r w:rsidRPr="00B81EAE">
        <w:rPr>
          <w:rFonts w:ascii="Times New Roman" w:hAnsi="Times New Roman" w:cs="Times New Roman"/>
          <w:sz w:val="24"/>
          <w:szCs w:val="24"/>
        </w:rPr>
        <w:t xml:space="preserve">Granty a transfery </w:t>
      </w:r>
      <w:r w:rsidR="007F70BD">
        <w:rPr>
          <w:rFonts w:ascii="Times New Roman" w:hAnsi="Times New Roman" w:cs="Times New Roman"/>
          <w:sz w:val="24"/>
          <w:szCs w:val="24"/>
        </w:rPr>
        <w:t xml:space="preserve">boli </w:t>
      </w:r>
      <w:r w:rsidRPr="00B81EAE">
        <w:rPr>
          <w:rFonts w:ascii="Times New Roman" w:hAnsi="Times New Roman" w:cs="Times New Roman"/>
          <w:sz w:val="24"/>
          <w:szCs w:val="24"/>
        </w:rPr>
        <w:t>v roku 201</w:t>
      </w:r>
      <w:r w:rsidR="006B1867">
        <w:rPr>
          <w:rFonts w:ascii="Times New Roman" w:hAnsi="Times New Roman" w:cs="Times New Roman"/>
          <w:sz w:val="24"/>
          <w:szCs w:val="24"/>
        </w:rPr>
        <w:t>5</w:t>
      </w:r>
      <w:r w:rsidRPr="00B81EAE">
        <w:rPr>
          <w:rFonts w:ascii="Times New Roman" w:hAnsi="Times New Roman" w:cs="Times New Roman"/>
          <w:sz w:val="24"/>
          <w:szCs w:val="24"/>
        </w:rPr>
        <w:t xml:space="preserve"> </w:t>
      </w:r>
      <w:r w:rsidR="00A646A7" w:rsidRPr="00B81EAE">
        <w:rPr>
          <w:rFonts w:ascii="Times New Roman" w:hAnsi="Times New Roman" w:cs="Times New Roman"/>
          <w:sz w:val="24"/>
          <w:szCs w:val="24"/>
        </w:rPr>
        <w:t xml:space="preserve"> naplnené </w:t>
      </w:r>
      <w:r w:rsidR="006B1867">
        <w:rPr>
          <w:rFonts w:ascii="Times New Roman" w:hAnsi="Times New Roman" w:cs="Times New Roman"/>
          <w:sz w:val="24"/>
          <w:szCs w:val="24"/>
        </w:rPr>
        <w:t xml:space="preserve">v sume </w:t>
      </w:r>
      <w:r w:rsidRPr="00B81EAE">
        <w:rPr>
          <w:rFonts w:ascii="Times New Roman" w:hAnsi="Times New Roman" w:cs="Times New Roman"/>
          <w:sz w:val="24"/>
          <w:szCs w:val="24"/>
        </w:rPr>
        <w:t xml:space="preserve"> </w:t>
      </w:r>
      <w:r w:rsidR="006B1867">
        <w:rPr>
          <w:rFonts w:ascii="Times New Roman" w:hAnsi="Times New Roman" w:cs="Times New Roman"/>
          <w:sz w:val="24"/>
          <w:szCs w:val="24"/>
        </w:rPr>
        <w:t>268 551 600,95</w:t>
      </w:r>
      <w:r w:rsidR="00916D5F" w:rsidRPr="00B81EAE">
        <w:rPr>
          <w:rFonts w:ascii="Times New Roman" w:hAnsi="Times New Roman" w:cs="Times New Roman"/>
          <w:sz w:val="24"/>
          <w:szCs w:val="24"/>
        </w:rPr>
        <w:t xml:space="preserve"> e</w:t>
      </w:r>
      <w:r w:rsidRPr="00B81EAE">
        <w:rPr>
          <w:rFonts w:ascii="Times New Roman" w:hAnsi="Times New Roman" w:cs="Times New Roman"/>
          <w:sz w:val="24"/>
          <w:szCs w:val="24"/>
        </w:rPr>
        <w:t xml:space="preserve">ur a tvorili ich zahraničné </w:t>
      </w:r>
      <w:r w:rsidR="00916D5F" w:rsidRPr="00B81EAE">
        <w:rPr>
          <w:rFonts w:ascii="Times New Roman" w:hAnsi="Times New Roman" w:cs="Times New Roman"/>
          <w:sz w:val="24"/>
          <w:szCs w:val="24"/>
        </w:rPr>
        <w:t>granty</w:t>
      </w:r>
      <w:r w:rsidRPr="00B81EAE">
        <w:rPr>
          <w:rFonts w:ascii="Times New Roman" w:hAnsi="Times New Roman" w:cs="Times New Roman"/>
          <w:sz w:val="24"/>
          <w:szCs w:val="24"/>
        </w:rPr>
        <w:t xml:space="preserve"> a</w:t>
      </w:r>
      <w:r w:rsidR="00A646A7" w:rsidRPr="00B81EAE">
        <w:rPr>
          <w:rFonts w:ascii="Times New Roman" w:hAnsi="Times New Roman" w:cs="Times New Roman"/>
          <w:sz w:val="24"/>
          <w:szCs w:val="24"/>
        </w:rPr>
        <w:t xml:space="preserve"> zahraničné </w:t>
      </w:r>
      <w:r w:rsidR="00916D5F" w:rsidRPr="00B81EAE">
        <w:rPr>
          <w:rFonts w:ascii="Times New Roman" w:hAnsi="Times New Roman" w:cs="Times New Roman"/>
          <w:sz w:val="24"/>
          <w:szCs w:val="24"/>
        </w:rPr>
        <w:t xml:space="preserve">transfery </w:t>
      </w:r>
      <w:r w:rsidRPr="00B81EAE">
        <w:rPr>
          <w:rFonts w:ascii="Times New Roman" w:hAnsi="Times New Roman" w:cs="Times New Roman"/>
          <w:sz w:val="24"/>
          <w:szCs w:val="24"/>
        </w:rPr>
        <w:t>v nasledovnej štruktúre:</w:t>
      </w:r>
    </w:p>
    <w:p w:rsidR="00135AF8" w:rsidRPr="00B81EAE" w:rsidRDefault="00135AF8" w:rsidP="009A2830">
      <w:pPr>
        <w:pStyle w:val="Odsekzoznamu"/>
        <w:spacing w:after="0" w:line="240" w:lineRule="auto"/>
        <w:ind w:left="0"/>
        <w:jc w:val="both"/>
        <w:rPr>
          <w:rFonts w:ascii="Times New Roman" w:hAnsi="Times New Roman" w:cs="Times New Roman"/>
          <w:sz w:val="24"/>
          <w:szCs w:val="24"/>
        </w:rPr>
      </w:pPr>
    </w:p>
    <w:p w:rsidR="00642069" w:rsidRPr="00B81EAE" w:rsidRDefault="001B3F35" w:rsidP="009A2830">
      <w:pPr>
        <w:spacing w:after="0" w:line="240" w:lineRule="auto"/>
        <w:jc w:val="both"/>
        <w:rPr>
          <w:rFonts w:ascii="Times New Roman" w:hAnsi="Times New Roman" w:cs="Times New Roman"/>
          <w:sz w:val="24"/>
          <w:szCs w:val="24"/>
        </w:rPr>
      </w:pPr>
      <w:r w:rsidRPr="00B81EAE">
        <w:rPr>
          <w:rFonts w:ascii="Times New Roman" w:hAnsi="Times New Roman" w:cs="Times New Roman"/>
          <w:i/>
          <w:sz w:val="24"/>
          <w:szCs w:val="24"/>
        </w:rPr>
        <w:t>Kategória 3</w:t>
      </w:r>
      <w:r w:rsidR="00916D5F" w:rsidRPr="00B81EAE">
        <w:rPr>
          <w:rFonts w:ascii="Times New Roman" w:hAnsi="Times New Roman" w:cs="Times New Roman"/>
          <w:i/>
          <w:sz w:val="24"/>
          <w:szCs w:val="24"/>
        </w:rPr>
        <w:t>3</w:t>
      </w:r>
      <w:r w:rsidRPr="00B81EAE">
        <w:rPr>
          <w:rFonts w:ascii="Times New Roman" w:hAnsi="Times New Roman" w:cs="Times New Roman"/>
          <w:i/>
          <w:sz w:val="24"/>
          <w:szCs w:val="24"/>
        </w:rPr>
        <w:t>0</w:t>
      </w:r>
      <w:r w:rsidRPr="00B81EAE">
        <w:rPr>
          <w:rFonts w:ascii="Times New Roman" w:hAnsi="Times New Roman" w:cs="Times New Roman"/>
          <w:b/>
          <w:sz w:val="24"/>
          <w:szCs w:val="24"/>
        </w:rPr>
        <w:t xml:space="preserve"> – </w:t>
      </w:r>
      <w:r w:rsidR="00916D5F" w:rsidRPr="00B81EAE">
        <w:rPr>
          <w:rFonts w:ascii="Times New Roman" w:hAnsi="Times New Roman" w:cs="Times New Roman"/>
          <w:sz w:val="24"/>
          <w:szCs w:val="24"/>
        </w:rPr>
        <w:t>Zahraničné</w:t>
      </w:r>
      <w:r w:rsidR="00916D5F" w:rsidRPr="00B81EAE">
        <w:rPr>
          <w:rFonts w:ascii="Times New Roman" w:hAnsi="Times New Roman" w:cs="Times New Roman"/>
          <w:b/>
          <w:sz w:val="24"/>
          <w:szCs w:val="24"/>
        </w:rPr>
        <w:t xml:space="preserve"> </w:t>
      </w:r>
      <w:r w:rsidRPr="00B81EAE">
        <w:rPr>
          <w:rFonts w:ascii="Times New Roman" w:hAnsi="Times New Roman" w:cs="Times New Roman"/>
          <w:sz w:val="24"/>
          <w:szCs w:val="24"/>
        </w:rPr>
        <w:t xml:space="preserve">granty </w:t>
      </w:r>
      <w:r w:rsidR="006B1867">
        <w:rPr>
          <w:rFonts w:ascii="Times New Roman" w:hAnsi="Times New Roman" w:cs="Times New Roman"/>
          <w:sz w:val="24"/>
          <w:szCs w:val="24"/>
        </w:rPr>
        <w:t>– 512,90 eur</w:t>
      </w:r>
    </w:p>
    <w:p w:rsidR="006B1867" w:rsidRDefault="00916D5F" w:rsidP="006503B9">
      <w:pPr>
        <w:pStyle w:val="Hlavika"/>
        <w:tabs>
          <w:tab w:val="clear" w:pos="4536"/>
        </w:tabs>
        <w:ind w:firstLine="709"/>
        <w:jc w:val="both"/>
        <w:rPr>
          <w:bCs/>
          <w:color w:val="000000"/>
        </w:rPr>
      </w:pPr>
      <w:proofErr w:type="spellStart"/>
      <w:r w:rsidRPr="00B81EAE">
        <w:rPr>
          <w:rFonts w:ascii="Times New Roman" w:hAnsi="Times New Roman" w:cs="Times New Roman"/>
          <w:sz w:val="24"/>
          <w:szCs w:val="24"/>
        </w:rPr>
        <w:t>SOI</w:t>
      </w:r>
      <w:proofErr w:type="spellEnd"/>
      <w:r w:rsidR="002F6CBA" w:rsidRPr="00B81EAE">
        <w:rPr>
          <w:rFonts w:ascii="Times New Roman" w:hAnsi="Times New Roman" w:cs="Times New Roman"/>
          <w:sz w:val="24"/>
          <w:szCs w:val="24"/>
        </w:rPr>
        <w:t xml:space="preserve"> </w:t>
      </w:r>
      <w:r w:rsidR="00AF27C4" w:rsidRPr="00B81EAE">
        <w:rPr>
          <w:rFonts w:ascii="Times New Roman" w:hAnsi="Times New Roman" w:cs="Times New Roman"/>
          <w:sz w:val="24"/>
          <w:szCs w:val="24"/>
        </w:rPr>
        <w:t xml:space="preserve">prijala </w:t>
      </w:r>
      <w:r w:rsidR="009A7CFD" w:rsidRPr="00B81EAE">
        <w:rPr>
          <w:rFonts w:ascii="Times New Roman" w:hAnsi="Times New Roman" w:cs="Times New Roman"/>
          <w:bCs/>
          <w:sz w:val="24"/>
          <w:szCs w:val="24"/>
        </w:rPr>
        <w:t xml:space="preserve">grant </w:t>
      </w:r>
      <w:proofErr w:type="spellStart"/>
      <w:r w:rsidR="009A7CFD" w:rsidRPr="00B81EAE">
        <w:rPr>
          <w:rFonts w:ascii="Times New Roman" w:hAnsi="Times New Roman" w:cs="Times New Roman"/>
          <w:bCs/>
          <w:sz w:val="24"/>
          <w:szCs w:val="24"/>
        </w:rPr>
        <w:t>EK</w:t>
      </w:r>
      <w:proofErr w:type="spellEnd"/>
      <w:r w:rsidR="009A7CFD" w:rsidRPr="00B81EAE">
        <w:rPr>
          <w:rFonts w:ascii="Times New Roman" w:hAnsi="Times New Roman" w:cs="Times New Roman"/>
          <w:bCs/>
          <w:sz w:val="24"/>
          <w:szCs w:val="24"/>
        </w:rPr>
        <w:t xml:space="preserve"> </w:t>
      </w:r>
      <w:r w:rsidR="006B1867">
        <w:rPr>
          <w:rFonts w:ascii="Times New Roman" w:hAnsi="Times New Roman" w:cs="Times New Roman"/>
          <w:bCs/>
          <w:sz w:val="24"/>
          <w:szCs w:val="24"/>
        </w:rPr>
        <w:t>v sume 512,90</w:t>
      </w:r>
      <w:r w:rsidR="009A7CFD" w:rsidRPr="00B81EAE">
        <w:rPr>
          <w:rFonts w:ascii="Times New Roman" w:hAnsi="Times New Roman" w:cs="Times New Roman"/>
          <w:bCs/>
          <w:sz w:val="24"/>
          <w:szCs w:val="24"/>
        </w:rPr>
        <w:t xml:space="preserve"> eur</w:t>
      </w:r>
      <w:r w:rsidR="009A7CFD" w:rsidRPr="00B81EAE">
        <w:rPr>
          <w:rFonts w:ascii="Times New Roman" w:hAnsi="Times New Roman" w:cs="Times New Roman"/>
          <w:sz w:val="24"/>
          <w:szCs w:val="24"/>
        </w:rPr>
        <w:t xml:space="preserve"> </w:t>
      </w:r>
      <w:r w:rsidR="006B1867">
        <w:rPr>
          <w:bCs/>
          <w:color w:val="000000"/>
        </w:rPr>
        <w:t xml:space="preserve"> </w:t>
      </w:r>
      <w:r w:rsidR="006B1867" w:rsidRPr="00A33890">
        <w:rPr>
          <w:bCs/>
          <w:color w:val="000000"/>
        </w:rPr>
        <w:t>na</w:t>
      </w:r>
      <w:r w:rsidR="006B1867" w:rsidRPr="007A3C22">
        <w:rPr>
          <w:bCs/>
          <w:color w:val="000000"/>
        </w:rPr>
        <w:t xml:space="preserve"> projekt </w:t>
      </w:r>
      <w:proofErr w:type="spellStart"/>
      <w:r w:rsidR="006B1867" w:rsidRPr="007A3C22">
        <w:rPr>
          <w:bCs/>
          <w:color w:val="000000"/>
        </w:rPr>
        <w:t>EUTS</w:t>
      </w:r>
      <w:proofErr w:type="spellEnd"/>
      <w:r w:rsidR="006B1867" w:rsidRPr="007A3C22">
        <w:rPr>
          <w:bCs/>
          <w:color w:val="000000"/>
        </w:rPr>
        <w:t xml:space="preserve"> III – Európska stratégia pre nekalé obchodné praktiky III v roku 2015.</w:t>
      </w:r>
    </w:p>
    <w:p w:rsidR="006B1867" w:rsidRDefault="006B1867" w:rsidP="006B1867">
      <w:pPr>
        <w:spacing w:after="0" w:line="240" w:lineRule="auto"/>
        <w:ind w:left="284"/>
        <w:jc w:val="both"/>
        <w:rPr>
          <w:rFonts w:ascii="Times New Roman" w:hAnsi="Times New Roman" w:cs="Times New Roman"/>
          <w:sz w:val="24"/>
          <w:szCs w:val="24"/>
        </w:rPr>
      </w:pPr>
    </w:p>
    <w:p w:rsidR="001B3F35" w:rsidRPr="00B81EAE" w:rsidRDefault="001B3F35" w:rsidP="00973D6E">
      <w:pPr>
        <w:spacing w:after="0" w:line="240" w:lineRule="auto"/>
        <w:jc w:val="both"/>
        <w:rPr>
          <w:rFonts w:ascii="Times New Roman" w:hAnsi="Times New Roman" w:cs="Times New Roman"/>
          <w:sz w:val="24"/>
          <w:szCs w:val="24"/>
        </w:rPr>
      </w:pPr>
      <w:r w:rsidRPr="00B81EAE">
        <w:rPr>
          <w:rFonts w:ascii="Times New Roman" w:hAnsi="Times New Roman" w:cs="Times New Roman"/>
          <w:i/>
          <w:sz w:val="24"/>
          <w:szCs w:val="24"/>
        </w:rPr>
        <w:t>Kategória 340</w:t>
      </w:r>
      <w:r w:rsidRPr="00B81EAE">
        <w:rPr>
          <w:rFonts w:ascii="Times New Roman" w:hAnsi="Times New Roman" w:cs="Times New Roman"/>
          <w:b/>
          <w:sz w:val="24"/>
          <w:szCs w:val="24"/>
        </w:rPr>
        <w:t xml:space="preserve"> – </w:t>
      </w:r>
      <w:r w:rsidRPr="00B81EAE">
        <w:rPr>
          <w:rFonts w:ascii="Times New Roman" w:hAnsi="Times New Roman" w:cs="Times New Roman"/>
          <w:sz w:val="24"/>
          <w:szCs w:val="24"/>
        </w:rPr>
        <w:t>Zahraničné transfery</w:t>
      </w:r>
      <w:r w:rsidR="006B1867">
        <w:rPr>
          <w:rFonts w:ascii="Times New Roman" w:hAnsi="Times New Roman" w:cs="Times New Roman"/>
          <w:sz w:val="24"/>
          <w:szCs w:val="24"/>
        </w:rPr>
        <w:t xml:space="preserve"> – 268 551 088,05 eur</w:t>
      </w:r>
    </w:p>
    <w:p w:rsidR="00082DBC" w:rsidRDefault="006B1867" w:rsidP="00082DBC">
      <w:pPr>
        <w:pStyle w:val="Zarkazkladnhotextu"/>
        <w:spacing w:before="120"/>
        <w:ind w:left="142" w:firstLine="567"/>
        <w:jc w:val="both"/>
      </w:pPr>
      <w:r w:rsidRPr="00695344">
        <w:t xml:space="preserve">Príjem prostriedkov z rozpočtu EÚ bol uskutočnený na základe schválených  súhrnných žiadostí o platbu Certifikačným orgánom (Ministerstvo financií SR) a predstavoval podiel  Európskeho </w:t>
      </w:r>
      <w:r>
        <w:t xml:space="preserve"> </w:t>
      </w:r>
      <w:r w:rsidRPr="00695344">
        <w:t xml:space="preserve">fondu </w:t>
      </w:r>
      <w:r>
        <w:t xml:space="preserve"> </w:t>
      </w:r>
      <w:r w:rsidRPr="00695344">
        <w:t xml:space="preserve">regionálneho </w:t>
      </w:r>
      <w:r>
        <w:t xml:space="preserve"> </w:t>
      </w:r>
      <w:r w:rsidRPr="00695344">
        <w:t xml:space="preserve">rozvoja  pri </w:t>
      </w:r>
      <w:r>
        <w:t xml:space="preserve"> </w:t>
      </w:r>
      <w:r w:rsidRPr="00695344">
        <w:t xml:space="preserve">refundácii </w:t>
      </w:r>
      <w:r>
        <w:t xml:space="preserve"> </w:t>
      </w:r>
      <w:r w:rsidRPr="00695344">
        <w:t xml:space="preserve">oprávnených </w:t>
      </w:r>
      <w:r>
        <w:t xml:space="preserve"> </w:t>
      </w:r>
      <w:r w:rsidRPr="00695344">
        <w:t>výdavkov    a</w:t>
      </w:r>
      <w:r>
        <w:t xml:space="preserve"> </w:t>
      </w:r>
      <w:r w:rsidRPr="00695344">
        <w:t> zúčtovaní poskytnutých predfinancovaní  a  zálohových platieb z jednotlivých opatrení Operačného programu Konkurencieschopnosť a hospodársky rast.</w:t>
      </w:r>
    </w:p>
    <w:p w:rsidR="00082DBC" w:rsidRPr="00082DBC" w:rsidRDefault="00082DBC" w:rsidP="00CF51E5">
      <w:pPr>
        <w:pStyle w:val="Zarkazkladnhotextu"/>
        <w:spacing w:before="120"/>
        <w:ind w:left="0" w:firstLine="709"/>
        <w:jc w:val="both"/>
      </w:pPr>
      <w:r>
        <w:rPr>
          <w:rFonts w:ascii="Times New Roman" w:hAnsi="Times New Roman"/>
          <w:sz w:val="24"/>
          <w:szCs w:val="24"/>
        </w:rPr>
        <w:t xml:space="preserve">MH SR vykázalo k 31.12.2015 </w:t>
      </w:r>
      <w:r>
        <w:rPr>
          <w:rFonts w:ascii="Times New Roman" w:hAnsi="Times New Roman"/>
          <w:i/>
          <w:iCs/>
          <w:sz w:val="24"/>
          <w:szCs w:val="24"/>
        </w:rPr>
        <w:t>mimorozpočtové príjmy</w:t>
      </w:r>
      <w:r>
        <w:rPr>
          <w:rFonts w:ascii="Times New Roman" w:hAnsi="Times New Roman"/>
          <w:sz w:val="24"/>
          <w:szCs w:val="24"/>
        </w:rPr>
        <w:t xml:space="preserve"> v celkovej sume </w:t>
      </w:r>
      <w:r w:rsidRPr="00082DBC">
        <w:rPr>
          <w:rFonts w:ascii="Times New Roman" w:hAnsi="Times New Roman"/>
          <w:sz w:val="24"/>
          <w:szCs w:val="24"/>
        </w:rPr>
        <w:t>145 233 225,49</w:t>
      </w:r>
      <w:r>
        <w:rPr>
          <w:rFonts w:ascii="Times New Roman" w:hAnsi="Times New Roman"/>
          <w:sz w:val="24"/>
          <w:szCs w:val="24"/>
        </w:rPr>
        <w:t xml:space="preserve"> eur. </w:t>
      </w:r>
    </w:p>
    <w:p w:rsidR="00082DBC" w:rsidRDefault="00082DBC" w:rsidP="00082DBC">
      <w:pPr>
        <w:spacing w:after="0" w:line="240" w:lineRule="auto"/>
        <w:jc w:val="both"/>
        <w:rPr>
          <w:rFonts w:ascii="Times New Roman" w:hAnsi="Times New Roman"/>
          <w:sz w:val="24"/>
          <w:szCs w:val="24"/>
        </w:rPr>
      </w:pPr>
      <w:r>
        <w:rPr>
          <w:rFonts w:ascii="Times New Roman" w:hAnsi="Times New Roman"/>
          <w:sz w:val="24"/>
          <w:szCs w:val="24"/>
        </w:rPr>
        <w:t>Príjmy tvorili:</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nedaňové príjmy v sume </w:t>
      </w:r>
      <w:r w:rsidRPr="00082DBC">
        <w:rPr>
          <w:rFonts w:ascii="Times New Roman" w:hAnsi="Times New Roman" w:cs="Times New Roman"/>
          <w:sz w:val="24"/>
          <w:szCs w:val="24"/>
        </w:rPr>
        <w:t>6 525 831,37</w:t>
      </w:r>
      <w:r>
        <w:rPr>
          <w:rFonts w:ascii="Times New Roman" w:hAnsi="Times New Roman" w:cs="Times New Roman"/>
          <w:sz w:val="24"/>
          <w:szCs w:val="24"/>
        </w:rPr>
        <w:t xml:space="preserve">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granty a transfery v sume </w:t>
      </w:r>
      <w:r w:rsidRPr="00082DBC">
        <w:rPr>
          <w:rFonts w:ascii="Times New Roman" w:hAnsi="Times New Roman" w:cs="Times New Roman"/>
          <w:sz w:val="24"/>
          <w:szCs w:val="24"/>
        </w:rPr>
        <w:t>404 244,38</w:t>
      </w:r>
      <w:r>
        <w:rPr>
          <w:rFonts w:ascii="Times New Roman" w:hAnsi="Times New Roman" w:cs="Times New Roman"/>
          <w:sz w:val="24"/>
          <w:szCs w:val="24"/>
        </w:rPr>
        <w:t xml:space="preserve">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príjmy z  transakcií s  finančnými aktívami a  finančnými pasívami v sume </w:t>
      </w:r>
      <w:r w:rsidRPr="00082DB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82DBC">
        <w:rPr>
          <w:rFonts w:ascii="Times New Roman" w:hAnsi="Times New Roman" w:cs="Times New Roman"/>
          <w:sz w:val="24"/>
          <w:szCs w:val="24"/>
        </w:rPr>
        <w:t xml:space="preserve">134 503 149,74 </w:t>
      </w:r>
      <w:r>
        <w:rPr>
          <w:rFonts w:ascii="Times New Roman" w:hAnsi="Times New Roman" w:cs="Times New Roman"/>
          <w:sz w:val="24"/>
          <w:szCs w:val="24"/>
        </w:rPr>
        <w:t>eur</w:t>
      </w:r>
      <w:r w:rsidRPr="00082DBC">
        <w:rPr>
          <w:rFonts w:ascii="Times New Roman" w:hAnsi="Times New Roman" w:cs="Times New Roman"/>
          <w:sz w:val="24"/>
          <w:szCs w:val="24"/>
        </w:rPr>
        <w:t>,</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prijaté úvery, pôžičky a návratné finančné výpomoci v sume </w:t>
      </w:r>
      <w:r w:rsidRPr="00082DBC">
        <w:rPr>
          <w:rFonts w:ascii="Times New Roman" w:hAnsi="Times New Roman" w:cs="Times New Roman"/>
          <w:sz w:val="24"/>
          <w:szCs w:val="24"/>
        </w:rPr>
        <w:t>3 800 000,</w:t>
      </w:r>
      <w:r>
        <w:rPr>
          <w:rFonts w:ascii="Times New Roman" w:hAnsi="Times New Roman" w:cs="Times New Roman"/>
          <w:sz w:val="24"/>
          <w:szCs w:val="24"/>
        </w:rPr>
        <w:t>00 eur,</w:t>
      </w:r>
    </w:p>
    <w:p w:rsidR="00082DBC" w:rsidRPr="00082DBC" w:rsidRDefault="00082DBC" w:rsidP="00082DBC">
      <w:pPr>
        <w:spacing w:after="0" w:line="240" w:lineRule="auto"/>
        <w:jc w:val="both"/>
        <w:rPr>
          <w:rFonts w:ascii="Times New Roman" w:hAnsi="Times New Roman" w:cs="Times New Roman"/>
          <w:sz w:val="24"/>
          <w:szCs w:val="24"/>
        </w:rPr>
      </w:pPr>
    </w:p>
    <w:p w:rsidR="00082DBC" w:rsidRPr="00082DBC" w:rsidRDefault="00082DBC" w:rsidP="00082DBC">
      <w:pPr>
        <w:spacing w:after="0" w:line="240" w:lineRule="auto"/>
        <w:jc w:val="both"/>
        <w:rPr>
          <w:rFonts w:ascii="Times New Roman" w:hAnsi="Times New Roman" w:cs="Times New Roman"/>
          <w:sz w:val="24"/>
          <w:szCs w:val="24"/>
        </w:rPr>
      </w:pPr>
      <w:r w:rsidRPr="00082DBC">
        <w:rPr>
          <w:rFonts w:ascii="Times New Roman" w:hAnsi="Times New Roman" w:cs="Times New Roman"/>
          <w:sz w:val="24"/>
          <w:szCs w:val="24"/>
        </w:rPr>
        <w:t>Mimorozpočtovými príjmami v roku 2015 boli:</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kategória 210 – Príjmy z podnikania a z vlastníctva majetku v sume </w:t>
      </w:r>
      <w:r w:rsidRPr="00082DB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82DBC">
        <w:rPr>
          <w:rFonts w:ascii="Times New Roman" w:hAnsi="Times New Roman" w:cs="Times New Roman"/>
          <w:sz w:val="24"/>
          <w:szCs w:val="24"/>
        </w:rPr>
        <w:t>3 608 210,73</w:t>
      </w:r>
      <w:r>
        <w:rPr>
          <w:rFonts w:ascii="Times New Roman" w:hAnsi="Times New Roman" w:cs="Times New Roman"/>
          <w:sz w:val="24"/>
          <w:szCs w:val="24"/>
        </w:rPr>
        <w:t xml:space="preserve">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kategória 220 – Administratívne poplatky a iné poplatky a platby v sume </w:t>
      </w:r>
      <w:r w:rsidRPr="00082DB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82DBC">
        <w:rPr>
          <w:rFonts w:ascii="Times New Roman" w:hAnsi="Times New Roman" w:cs="Times New Roman"/>
          <w:sz w:val="24"/>
          <w:szCs w:val="24"/>
        </w:rPr>
        <w:t>1 032 945,72</w:t>
      </w:r>
      <w:r>
        <w:rPr>
          <w:rFonts w:ascii="Times New Roman" w:hAnsi="Times New Roman" w:cs="Times New Roman"/>
          <w:sz w:val="24"/>
          <w:szCs w:val="24"/>
        </w:rPr>
        <w:t xml:space="preserve">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kategória 230 – Kapitálové príjmy v sume </w:t>
      </w:r>
      <w:r w:rsidRPr="00082DBC">
        <w:rPr>
          <w:rFonts w:ascii="Times New Roman" w:hAnsi="Times New Roman" w:cs="Times New Roman"/>
          <w:sz w:val="24"/>
          <w:szCs w:val="24"/>
        </w:rPr>
        <w:t>39 865,82</w:t>
      </w:r>
      <w:r>
        <w:rPr>
          <w:rFonts w:ascii="Times New Roman" w:hAnsi="Times New Roman" w:cs="Times New Roman"/>
          <w:sz w:val="24"/>
          <w:szCs w:val="24"/>
        </w:rPr>
        <w:t xml:space="preserve">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kategória 240 – Úroky z tuzemských úverov, pôžičiek v sume </w:t>
      </w:r>
      <w:r w:rsidRPr="00082DBC">
        <w:rPr>
          <w:rFonts w:ascii="Times New Roman" w:hAnsi="Times New Roman" w:cs="Times New Roman"/>
          <w:sz w:val="24"/>
          <w:szCs w:val="24"/>
        </w:rPr>
        <w:t>2 118,41</w:t>
      </w:r>
      <w:r>
        <w:rPr>
          <w:rFonts w:ascii="Times New Roman" w:hAnsi="Times New Roman" w:cs="Times New Roman"/>
          <w:sz w:val="24"/>
          <w:szCs w:val="24"/>
        </w:rPr>
        <w:t xml:space="preserve"> eur,</w:t>
      </w:r>
    </w:p>
    <w:p w:rsidR="00082DBC" w:rsidRP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sidRPr="00082DBC">
        <w:rPr>
          <w:rFonts w:ascii="Times New Roman" w:hAnsi="Times New Roman" w:cs="Times New Roman"/>
          <w:sz w:val="24"/>
          <w:szCs w:val="24"/>
        </w:rPr>
        <w:t>kategória 290 Iné nedaňové príjmy v sume 1 842 681,69 eur</w:t>
      </w:r>
      <w:r>
        <w:rPr>
          <w:rFonts w:ascii="Times New Roman" w:hAnsi="Times New Roman" w:cs="Times New Roman"/>
          <w:sz w:val="24"/>
          <w:szCs w:val="24"/>
        </w:rPr>
        <w:t>,</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kategória 310  - Tuzemské bežné granty a transfery v sume </w:t>
      </w:r>
      <w:r w:rsidRPr="00082DBC">
        <w:rPr>
          <w:rFonts w:ascii="Times New Roman" w:hAnsi="Times New Roman" w:cs="Times New Roman"/>
          <w:sz w:val="24"/>
          <w:szCs w:val="24"/>
        </w:rPr>
        <w:t>401 500,</w:t>
      </w:r>
      <w:r>
        <w:rPr>
          <w:rFonts w:ascii="Times New Roman" w:hAnsi="Times New Roman" w:cs="Times New Roman"/>
          <w:sz w:val="24"/>
          <w:szCs w:val="24"/>
        </w:rPr>
        <w:t>00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kategória 330 – Zahraničné granty v sume </w:t>
      </w:r>
      <w:r w:rsidRPr="00082DBC">
        <w:rPr>
          <w:rFonts w:ascii="Times New Roman" w:hAnsi="Times New Roman" w:cs="Times New Roman"/>
          <w:sz w:val="24"/>
          <w:szCs w:val="24"/>
        </w:rPr>
        <w:t>2 744,38</w:t>
      </w:r>
      <w:r>
        <w:rPr>
          <w:rFonts w:ascii="Times New Roman" w:hAnsi="Times New Roman" w:cs="Times New Roman"/>
          <w:sz w:val="24"/>
          <w:szCs w:val="24"/>
        </w:rPr>
        <w:t xml:space="preserve">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kategória 450 – Z ostatných finančných operácií v sume </w:t>
      </w:r>
      <w:r w:rsidRPr="00082DBC">
        <w:rPr>
          <w:rFonts w:ascii="Times New Roman" w:hAnsi="Times New Roman" w:cs="Times New Roman"/>
          <w:sz w:val="24"/>
          <w:szCs w:val="24"/>
        </w:rPr>
        <w:t>134 503 149,74</w:t>
      </w:r>
      <w:r>
        <w:rPr>
          <w:rFonts w:ascii="Times New Roman" w:hAnsi="Times New Roman" w:cs="Times New Roman"/>
          <w:sz w:val="24"/>
          <w:szCs w:val="24"/>
        </w:rPr>
        <w:t xml:space="preserve"> eur, (z toho vklady do základného imania v sume 106 210 610,00 eur).</w:t>
      </w:r>
    </w:p>
    <w:p w:rsidR="00082DBC" w:rsidRDefault="00082DBC" w:rsidP="00082DBC">
      <w:pPr>
        <w:pStyle w:val="Odsekzoznamu"/>
        <w:numPr>
          <w:ilvl w:val="0"/>
          <w:numId w:val="31"/>
        </w:num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kategória 510 – Tuzemské úvery, pôžičky a návratné finančné výpomoci  v sume </w:t>
      </w:r>
      <w:r w:rsidRPr="00082DBC">
        <w:rPr>
          <w:rFonts w:ascii="Times New Roman" w:hAnsi="Times New Roman" w:cs="Times New Roman"/>
          <w:sz w:val="24"/>
          <w:szCs w:val="24"/>
        </w:rPr>
        <w:t>3 800,000,</w:t>
      </w:r>
      <w:r>
        <w:rPr>
          <w:rFonts w:ascii="Times New Roman" w:hAnsi="Times New Roman" w:cs="Times New Roman"/>
          <w:sz w:val="24"/>
          <w:szCs w:val="24"/>
        </w:rPr>
        <w:t>00</w:t>
      </w:r>
      <w:r w:rsidRPr="00082DBC">
        <w:rPr>
          <w:rFonts w:ascii="Times New Roman" w:hAnsi="Times New Roman" w:cs="Times New Roman"/>
          <w:sz w:val="24"/>
          <w:szCs w:val="24"/>
        </w:rPr>
        <w:t xml:space="preserve"> eur.</w:t>
      </w:r>
    </w:p>
    <w:p w:rsidR="008A5E0F" w:rsidRPr="002163AB" w:rsidRDefault="008A5E0F" w:rsidP="00082DBC">
      <w:pPr>
        <w:spacing w:after="0" w:line="240" w:lineRule="auto"/>
        <w:jc w:val="both"/>
        <w:rPr>
          <w:rFonts w:ascii="Times New Roman" w:hAnsi="Times New Roman" w:cs="Times New Roman"/>
          <w:sz w:val="24"/>
          <w:szCs w:val="24"/>
          <w:highlight w:val="yellow"/>
        </w:rPr>
      </w:pPr>
    </w:p>
    <w:p w:rsidR="001B3F35" w:rsidRPr="00B81EAE" w:rsidRDefault="001B3F35" w:rsidP="00082DBC">
      <w:pPr>
        <w:spacing w:after="0" w:line="240" w:lineRule="auto"/>
        <w:ind w:firstLine="709"/>
        <w:jc w:val="both"/>
        <w:rPr>
          <w:rFonts w:ascii="Times New Roman" w:hAnsi="Times New Roman" w:cs="Times New Roman"/>
          <w:sz w:val="24"/>
          <w:szCs w:val="24"/>
        </w:rPr>
      </w:pPr>
      <w:r w:rsidRPr="00082DBC">
        <w:rPr>
          <w:rFonts w:ascii="Times New Roman" w:hAnsi="Times New Roman" w:cs="Times New Roman"/>
          <w:sz w:val="24"/>
          <w:szCs w:val="24"/>
        </w:rPr>
        <w:t>V mimorozpočtových príjmoch bol</w:t>
      </w:r>
      <w:r w:rsidR="00E53A89" w:rsidRPr="00082DBC">
        <w:rPr>
          <w:rFonts w:ascii="Times New Roman" w:hAnsi="Times New Roman" w:cs="Times New Roman"/>
          <w:sz w:val="24"/>
          <w:szCs w:val="24"/>
        </w:rPr>
        <w:t>i</w:t>
      </w:r>
      <w:r w:rsidRPr="00082DBC">
        <w:rPr>
          <w:rFonts w:ascii="Times New Roman" w:hAnsi="Times New Roman" w:cs="Times New Roman"/>
          <w:sz w:val="24"/>
          <w:szCs w:val="24"/>
        </w:rPr>
        <w:t xml:space="preserve"> zahrnuté aj finančné prostriedky prijaté z rozpočtu EÚ, nezaradené do </w:t>
      </w:r>
      <w:r w:rsidR="004F544D" w:rsidRPr="00082DBC">
        <w:rPr>
          <w:rFonts w:ascii="Times New Roman" w:hAnsi="Times New Roman" w:cs="Times New Roman"/>
          <w:sz w:val="24"/>
          <w:szCs w:val="24"/>
        </w:rPr>
        <w:t>štátneho rozpočtu</w:t>
      </w:r>
      <w:r w:rsidRPr="00082DBC">
        <w:rPr>
          <w:rFonts w:ascii="Times New Roman" w:hAnsi="Times New Roman" w:cs="Times New Roman"/>
          <w:sz w:val="24"/>
          <w:szCs w:val="24"/>
        </w:rPr>
        <w:t xml:space="preserve"> v</w:t>
      </w:r>
      <w:r w:rsidR="004F544D" w:rsidRPr="00082DBC">
        <w:rPr>
          <w:rFonts w:ascii="Times New Roman" w:hAnsi="Times New Roman" w:cs="Times New Roman"/>
          <w:sz w:val="24"/>
          <w:szCs w:val="24"/>
        </w:rPr>
        <w:t xml:space="preserve">o výške </w:t>
      </w:r>
      <w:r w:rsidRPr="00082DBC">
        <w:rPr>
          <w:rFonts w:ascii="Times New Roman" w:hAnsi="Times New Roman" w:cs="Times New Roman"/>
          <w:sz w:val="24"/>
          <w:szCs w:val="24"/>
        </w:rPr>
        <w:t xml:space="preserve"> </w:t>
      </w:r>
      <w:r w:rsidR="00082DBC" w:rsidRPr="00082DBC">
        <w:rPr>
          <w:rFonts w:ascii="Times New Roman" w:hAnsi="Times New Roman" w:cs="Times New Roman"/>
          <w:sz w:val="24"/>
          <w:szCs w:val="24"/>
        </w:rPr>
        <w:t>512,90</w:t>
      </w:r>
      <w:r w:rsidR="004F544D" w:rsidRPr="00082DBC">
        <w:rPr>
          <w:rFonts w:ascii="Times New Roman" w:hAnsi="Times New Roman" w:cs="Times New Roman"/>
          <w:sz w:val="24"/>
          <w:szCs w:val="24"/>
        </w:rPr>
        <w:t xml:space="preserve"> eur  - </w:t>
      </w:r>
      <w:r w:rsidRPr="00082DBC">
        <w:rPr>
          <w:rFonts w:ascii="Times New Roman" w:hAnsi="Times New Roman" w:cs="Times New Roman"/>
          <w:sz w:val="24"/>
          <w:szCs w:val="24"/>
        </w:rPr>
        <w:t xml:space="preserve"> </w:t>
      </w:r>
      <w:r w:rsidR="00E53A89" w:rsidRPr="00082DBC">
        <w:rPr>
          <w:rFonts w:ascii="Times New Roman" w:hAnsi="Times New Roman" w:cs="Times New Roman"/>
          <w:sz w:val="24"/>
          <w:szCs w:val="24"/>
        </w:rPr>
        <w:t xml:space="preserve">zahraničný </w:t>
      </w:r>
      <w:r w:rsidRPr="00082DBC">
        <w:rPr>
          <w:rFonts w:ascii="Times New Roman" w:hAnsi="Times New Roman" w:cs="Times New Roman"/>
          <w:sz w:val="24"/>
          <w:szCs w:val="24"/>
        </w:rPr>
        <w:t>bežn</w:t>
      </w:r>
      <w:r w:rsidR="00E53A89" w:rsidRPr="00082DBC">
        <w:rPr>
          <w:rFonts w:ascii="Times New Roman" w:hAnsi="Times New Roman" w:cs="Times New Roman"/>
          <w:sz w:val="24"/>
          <w:szCs w:val="24"/>
        </w:rPr>
        <w:t>ý</w:t>
      </w:r>
      <w:r w:rsidRPr="00082DBC">
        <w:rPr>
          <w:rFonts w:ascii="Times New Roman" w:hAnsi="Times New Roman" w:cs="Times New Roman"/>
          <w:sz w:val="24"/>
          <w:szCs w:val="24"/>
        </w:rPr>
        <w:t xml:space="preserve"> grant </w:t>
      </w:r>
      <w:r w:rsidR="004F544D" w:rsidRPr="00082DBC">
        <w:rPr>
          <w:rFonts w:ascii="Times New Roman" w:hAnsi="Times New Roman" w:cs="Times New Roman"/>
          <w:sz w:val="24"/>
          <w:szCs w:val="24"/>
        </w:rPr>
        <w:t xml:space="preserve">podriadenej rozpočtovej organizácie </w:t>
      </w:r>
      <w:proofErr w:type="spellStart"/>
      <w:r w:rsidR="004F544D" w:rsidRPr="00082DBC">
        <w:rPr>
          <w:rFonts w:ascii="Times New Roman" w:hAnsi="Times New Roman" w:cs="Times New Roman"/>
          <w:sz w:val="24"/>
          <w:szCs w:val="24"/>
        </w:rPr>
        <w:t>SOI</w:t>
      </w:r>
      <w:proofErr w:type="spellEnd"/>
      <w:r w:rsidR="00E53A89" w:rsidRPr="00082DBC">
        <w:rPr>
          <w:rFonts w:ascii="Times New Roman" w:hAnsi="Times New Roman" w:cs="Times New Roman"/>
          <w:sz w:val="24"/>
          <w:szCs w:val="24"/>
        </w:rPr>
        <w:t>.</w:t>
      </w:r>
      <w:r w:rsidRPr="00B81EAE">
        <w:rPr>
          <w:rFonts w:ascii="Times New Roman" w:hAnsi="Times New Roman" w:cs="Times New Roman"/>
          <w:sz w:val="24"/>
          <w:szCs w:val="24"/>
        </w:rPr>
        <w:t xml:space="preserve"> </w:t>
      </w:r>
    </w:p>
    <w:p w:rsidR="008A5E0F" w:rsidRDefault="008A5E0F" w:rsidP="004E2BBD">
      <w:pPr>
        <w:pStyle w:val="Odsekzoznamu"/>
        <w:spacing w:after="0" w:line="240" w:lineRule="auto"/>
        <w:ind w:left="0" w:firstLine="540"/>
        <w:jc w:val="both"/>
        <w:rPr>
          <w:rFonts w:ascii="Times New Roman" w:hAnsi="Times New Roman" w:cs="Times New Roman"/>
          <w:sz w:val="24"/>
          <w:szCs w:val="24"/>
        </w:rPr>
      </w:pPr>
    </w:p>
    <w:p w:rsidR="0012367D" w:rsidRPr="00B81EAE" w:rsidRDefault="0012367D" w:rsidP="008A5E0F">
      <w:pPr>
        <w:pStyle w:val="Odsekzoznamu"/>
        <w:spacing w:after="0" w:line="240" w:lineRule="auto"/>
        <w:ind w:left="0" w:firstLine="709"/>
        <w:jc w:val="both"/>
        <w:rPr>
          <w:rFonts w:ascii="Times New Roman" w:hAnsi="Times New Roman" w:cs="Times New Roman"/>
          <w:sz w:val="24"/>
          <w:szCs w:val="24"/>
        </w:rPr>
      </w:pPr>
      <w:r w:rsidRPr="00B81EAE">
        <w:rPr>
          <w:rFonts w:ascii="Times New Roman" w:hAnsi="Times New Roman" w:cs="Times New Roman"/>
          <w:sz w:val="24"/>
          <w:szCs w:val="24"/>
        </w:rPr>
        <w:t xml:space="preserve">Podrobnejšie členenie dosiahnutých príjmov </w:t>
      </w:r>
      <w:r w:rsidR="00DB10E8" w:rsidRPr="00B81EAE">
        <w:rPr>
          <w:rFonts w:ascii="Times New Roman" w:hAnsi="Times New Roman" w:cs="Times New Roman"/>
          <w:sz w:val="24"/>
          <w:szCs w:val="24"/>
        </w:rPr>
        <w:t>MH SR podľa</w:t>
      </w:r>
      <w:r w:rsidR="003E1151" w:rsidRPr="00B81EAE">
        <w:rPr>
          <w:rFonts w:ascii="Times New Roman" w:hAnsi="Times New Roman" w:cs="Times New Roman"/>
          <w:sz w:val="24"/>
          <w:szCs w:val="24"/>
        </w:rPr>
        <w:t xml:space="preserve"> </w:t>
      </w:r>
      <w:r w:rsidR="00DB10E8" w:rsidRPr="00B81EAE">
        <w:rPr>
          <w:rFonts w:ascii="Times New Roman" w:hAnsi="Times New Roman" w:cs="Times New Roman"/>
          <w:sz w:val="24"/>
          <w:szCs w:val="24"/>
        </w:rPr>
        <w:t>ekonomickej klasifikácie</w:t>
      </w:r>
      <w:r w:rsidR="007A2265" w:rsidRPr="00B81EAE">
        <w:rPr>
          <w:rFonts w:ascii="Times New Roman" w:hAnsi="Times New Roman" w:cs="Times New Roman"/>
          <w:sz w:val="24"/>
          <w:szCs w:val="24"/>
        </w:rPr>
        <w:t xml:space="preserve"> </w:t>
      </w:r>
      <w:r w:rsidRPr="00B81EAE">
        <w:rPr>
          <w:rFonts w:ascii="Times New Roman" w:hAnsi="Times New Roman" w:cs="Times New Roman"/>
          <w:sz w:val="24"/>
          <w:szCs w:val="24"/>
        </w:rPr>
        <w:t xml:space="preserve">je </w:t>
      </w:r>
      <w:r w:rsidR="00DB10E8" w:rsidRPr="00B81EAE">
        <w:rPr>
          <w:rFonts w:ascii="Times New Roman" w:hAnsi="Times New Roman" w:cs="Times New Roman"/>
          <w:sz w:val="24"/>
          <w:szCs w:val="24"/>
        </w:rPr>
        <w:t>uvedené v tabuľke</w:t>
      </w:r>
      <w:r w:rsidRPr="00B81EAE">
        <w:rPr>
          <w:rFonts w:ascii="Times New Roman" w:hAnsi="Times New Roman" w:cs="Times New Roman"/>
          <w:sz w:val="24"/>
          <w:szCs w:val="24"/>
        </w:rPr>
        <w:t>:</w:t>
      </w:r>
    </w:p>
    <w:p w:rsidR="002163AB" w:rsidRDefault="002163AB" w:rsidP="007C26A8">
      <w:pPr>
        <w:pStyle w:val="Odsekzoznamu"/>
        <w:spacing w:after="0" w:line="240" w:lineRule="auto"/>
        <w:ind w:left="0" w:firstLine="540"/>
        <w:jc w:val="right"/>
        <w:rPr>
          <w:rFonts w:ascii="Times New Roman" w:hAnsi="Times New Roman" w:cs="Times New Roman"/>
          <w:sz w:val="24"/>
          <w:szCs w:val="24"/>
        </w:rPr>
      </w:pPr>
    </w:p>
    <w:p w:rsidR="002E7842" w:rsidRDefault="002E7842" w:rsidP="007C26A8">
      <w:pPr>
        <w:pStyle w:val="Odsekzoznamu"/>
        <w:spacing w:after="0" w:line="240" w:lineRule="auto"/>
        <w:ind w:left="0" w:firstLine="540"/>
        <w:jc w:val="right"/>
        <w:rPr>
          <w:rFonts w:ascii="Times New Roman" w:hAnsi="Times New Roman" w:cs="Times New Roman"/>
          <w:sz w:val="24"/>
          <w:szCs w:val="24"/>
        </w:rPr>
      </w:pPr>
    </w:p>
    <w:p w:rsidR="00713454" w:rsidRDefault="00713454" w:rsidP="007C26A8">
      <w:pPr>
        <w:pStyle w:val="Odsekzoznamu"/>
        <w:spacing w:after="0" w:line="240" w:lineRule="auto"/>
        <w:ind w:left="0" w:firstLine="540"/>
        <w:jc w:val="right"/>
        <w:rPr>
          <w:rFonts w:ascii="Times New Roman" w:hAnsi="Times New Roman" w:cs="Times New Roman"/>
          <w:sz w:val="24"/>
          <w:szCs w:val="24"/>
        </w:rPr>
      </w:pPr>
    </w:p>
    <w:p w:rsidR="00CF0542" w:rsidRPr="00B81EAE" w:rsidRDefault="00CF51E5" w:rsidP="00CF51E5">
      <w:pPr>
        <w:pStyle w:val="Odsekzoznamu"/>
        <w:spacing w:after="0" w:line="240" w:lineRule="auto"/>
        <w:ind w:left="0" w:right="-428"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004F544D" w:rsidRPr="00B81EAE">
        <w:rPr>
          <w:rFonts w:ascii="Times New Roman" w:hAnsi="Times New Roman" w:cs="Times New Roman"/>
          <w:sz w:val="24"/>
          <w:szCs w:val="24"/>
        </w:rPr>
        <w:t>v eur</w:t>
      </w:r>
      <w:r w:rsidR="002163AB">
        <w:rPr>
          <w:rFonts w:ascii="Times New Roman" w:hAnsi="Times New Roman" w:cs="Times New Roman"/>
          <w:sz w:val="24"/>
          <w:szCs w:val="24"/>
        </w:rPr>
        <w:t>ách</w:t>
      </w:r>
    </w:p>
    <w:tbl>
      <w:tblPr>
        <w:tblW w:w="9530" w:type="dxa"/>
        <w:tblInd w:w="55" w:type="dxa"/>
        <w:tblCellMar>
          <w:left w:w="70" w:type="dxa"/>
          <w:right w:w="70" w:type="dxa"/>
        </w:tblCellMar>
        <w:tblLook w:val="04A0" w:firstRow="1" w:lastRow="0" w:firstColumn="1" w:lastColumn="0" w:noHBand="0" w:noVBand="1"/>
      </w:tblPr>
      <w:tblGrid>
        <w:gridCol w:w="480"/>
        <w:gridCol w:w="3504"/>
        <w:gridCol w:w="1560"/>
        <w:gridCol w:w="1524"/>
        <w:gridCol w:w="1600"/>
        <w:gridCol w:w="862"/>
      </w:tblGrid>
      <w:tr w:rsidR="009579D2" w:rsidRPr="00B81EAE" w:rsidTr="00CF51E5">
        <w:trPr>
          <w:trHeight w:val="624"/>
        </w:trPr>
        <w:tc>
          <w:tcPr>
            <w:tcW w:w="480" w:type="dxa"/>
            <w:tcBorders>
              <w:top w:val="single" w:sz="8"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 </w:t>
            </w:r>
          </w:p>
        </w:tc>
        <w:tc>
          <w:tcPr>
            <w:tcW w:w="3504" w:type="dxa"/>
            <w:tcBorders>
              <w:top w:val="single" w:sz="8" w:space="0" w:color="auto"/>
              <w:left w:val="nil"/>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Ukazovateľ</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rsidR="009579D2" w:rsidRDefault="009579D2" w:rsidP="009579D2">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 xml:space="preserve">Schválený </w:t>
            </w:r>
            <w:proofErr w:type="spellStart"/>
            <w:r w:rsidRPr="00B81EAE">
              <w:rPr>
                <w:rFonts w:ascii="Times New Roman" w:eastAsia="Times New Roman" w:hAnsi="Times New Roman" w:cs="Times New Roman"/>
                <w:b/>
                <w:color w:val="000000"/>
                <w:lang w:eastAsia="sk-SK"/>
              </w:rPr>
              <w:t>rozp</w:t>
            </w:r>
            <w:proofErr w:type="spellEnd"/>
            <w:r w:rsidRPr="00B81EAE">
              <w:rPr>
                <w:rFonts w:ascii="Times New Roman" w:eastAsia="Times New Roman" w:hAnsi="Times New Roman" w:cs="Times New Roman"/>
                <w:b/>
                <w:color w:val="000000"/>
                <w:lang w:eastAsia="sk-SK"/>
              </w:rPr>
              <w:t>.</w:t>
            </w:r>
          </w:p>
          <w:p w:rsidR="004505F2" w:rsidRPr="00B81EAE" w:rsidRDefault="004505F2" w:rsidP="004505F2">
            <w:pPr>
              <w:spacing w:after="0" w:line="240" w:lineRule="auto"/>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k 1.1.2015</w:t>
            </w:r>
          </w:p>
        </w:tc>
        <w:tc>
          <w:tcPr>
            <w:tcW w:w="1524" w:type="dxa"/>
            <w:tcBorders>
              <w:top w:val="single" w:sz="8" w:space="0" w:color="auto"/>
              <w:left w:val="nil"/>
              <w:bottom w:val="single" w:sz="8" w:space="0" w:color="auto"/>
              <w:right w:val="nil"/>
            </w:tcBorders>
            <w:shd w:val="clear" w:color="auto" w:fill="auto"/>
            <w:noWrap/>
            <w:vAlign w:val="bottom"/>
            <w:hideMark/>
          </w:tcPr>
          <w:p w:rsidR="009579D2" w:rsidRDefault="009579D2" w:rsidP="009579D2">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 xml:space="preserve">Upravený </w:t>
            </w:r>
            <w:proofErr w:type="spellStart"/>
            <w:r w:rsidRPr="00B81EAE">
              <w:rPr>
                <w:rFonts w:ascii="Times New Roman" w:eastAsia="Times New Roman" w:hAnsi="Times New Roman" w:cs="Times New Roman"/>
                <w:b/>
                <w:color w:val="000000"/>
                <w:lang w:eastAsia="sk-SK"/>
              </w:rPr>
              <w:t>rozp</w:t>
            </w:r>
            <w:proofErr w:type="spellEnd"/>
            <w:r w:rsidRPr="00B81EAE">
              <w:rPr>
                <w:rFonts w:ascii="Times New Roman" w:eastAsia="Times New Roman" w:hAnsi="Times New Roman" w:cs="Times New Roman"/>
                <w:b/>
                <w:color w:val="000000"/>
                <w:lang w:eastAsia="sk-SK"/>
              </w:rPr>
              <w:t>.</w:t>
            </w:r>
          </w:p>
          <w:p w:rsidR="004505F2" w:rsidRPr="00B81EAE" w:rsidRDefault="004505F2" w:rsidP="004505F2">
            <w:pPr>
              <w:spacing w:after="0" w:line="240" w:lineRule="auto"/>
              <w:rPr>
                <w:rFonts w:ascii="Times New Roman" w:eastAsia="Times New Roman" w:hAnsi="Times New Roman" w:cs="Times New Roman"/>
                <w:b/>
                <w:color w:val="000000"/>
                <w:lang w:eastAsia="sk-SK"/>
              </w:rPr>
            </w:pPr>
            <w:r>
              <w:rPr>
                <w:rFonts w:ascii="Times New Roman" w:eastAsia="Times New Roman" w:hAnsi="Times New Roman" w:cs="Times New Roman"/>
                <w:b/>
                <w:color w:val="000000"/>
                <w:lang w:eastAsia="sk-SK"/>
              </w:rPr>
              <w:t>k 31.12.2015</w:t>
            </w:r>
          </w:p>
        </w:tc>
        <w:tc>
          <w:tcPr>
            <w:tcW w:w="16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Skutočnosť</w:t>
            </w:r>
            <w:r w:rsidR="004505F2">
              <w:rPr>
                <w:rFonts w:ascii="Times New Roman" w:eastAsia="Times New Roman" w:hAnsi="Times New Roman" w:cs="Times New Roman"/>
                <w:b/>
                <w:color w:val="000000"/>
                <w:lang w:eastAsia="sk-SK"/>
              </w:rPr>
              <w:t xml:space="preserve"> k 31.12.2015</w:t>
            </w:r>
          </w:p>
        </w:tc>
        <w:tc>
          <w:tcPr>
            <w:tcW w:w="862" w:type="dxa"/>
            <w:tcBorders>
              <w:top w:val="single" w:sz="8" w:space="0" w:color="auto"/>
              <w:left w:val="nil"/>
              <w:bottom w:val="single" w:sz="8" w:space="0" w:color="auto"/>
              <w:right w:val="single" w:sz="8" w:space="0" w:color="auto"/>
            </w:tcBorders>
            <w:shd w:val="clear" w:color="auto" w:fill="auto"/>
            <w:noWrap/>
            <w:vAlign w:val="bottom"/>
            <w:hideMark/>
          </w:tcPr>
          <w:p w:rsidR="009579D2" w:rsidRPr="00B81EAE" w:rsidRDefault="009579D2" w:rsidP="004F544D">
            <w:pPr>
              <w:spacing w:after="0" w:line="240" w:lineRule="auto"/>
              <w:jc w:val="center"/>
              <w:rPr>
                <w:rFonts w:ascii="Times New Roman" w:eastAsia="Times New Roman" w:hAnsi="Times New Roman" w:cs="Times New Roman"/>
                <w:b/>
                <w:color w:val="000000"/>
                <w:lang w:eastAsia="sk-SK"/>
              </w:rPr>
            </w:pPr>
            <w:r w:rsidRPr="00B81EAE">
              <w:rPr>
                <w:rFonts w:ascii="Times New Roman" w:eastAsia="Times New Roman" w:hAnsi="Times New Roman" w:cs="Times New Roman"/>
                <w:b/>
                <w:color w:val="000000"/>
                <w:lang w:eastAsia="sk-SK"/>
              </w:rPr>
              <w:t>Plnenie</w:t>
            </w:r>
            <w:r w:rsidR="004F544D" w:rsidRPr="00B81EAE">
              <w:rPr>
                <w:rFonts w:ascii="Times New Roman" w:eastAsia="Times New Roman" w:hAnsi="Times New Roman" w:cs="Times New Roman"/>
                <w:b/>
                <w:color w:val="000000"/>
                <w:lang w:eastAsia="sk-SK"/>
              </w:rPr>
              <w:t xml:space="preserve"> 3/2</w:t>
            </w:r>
            <w:r w:rsidR="008707F7">
              <w:rPr>
                <w:rFonts w:ascii="Times New Roman" w:eastAsia="Times New Roman" w:hAnsi="Times New Roman" w:cs="Times New Roman"/>
                <w:b/>
                <w:color w:val="000000"/>
                <w:lang w:eastAsia="sk-SK"/>
              </w:rPr>
              <w:t>*100</w:t>
            </w:r>
            <w:r w:rsidR="004F544D" w:rsidRPr="00B81EAE">
              <w:rPr>
                <w:rFonts w:ascii="Times New Roman" w:eastAsia="Times New Roman" w:hAnsi="Times New Roman" w:cs="Times New Roman"/>
                <w:b/>
                <w:color w:val="000000"/>
                <w:lang w:eastAsia="sk-SK"/>
              </w:rPr>
              <w:t xml:space="preserve"> (%)</w:t>
            </w:r>
          </w:p>
        </w:tc>
      </w:tr>
      <w:tr w:rsidR="009579D2" w:rsidRPr="00B81EAE" w:rsidTr="00CF51E5">
        <w:trPr>
          <w:trHeight w:val="315"/>
        </w:trPr>
        <w:tc>
          <w:tcPr>
            <w:tcW w:w="480" w:type="dxa"/>
            <w:tcBorders>
              <w:top w:val="single" w:sz="4" w:space="0" w:color="auto"/>
              <w:left w:val="single" w:sz="8" w:space="0" w:color="auto"/>
              <w:bottom w:val="single" w:sz="8" w:space="0" w:color="auto"/>
              <w:right w:val="nil"/>
            </w:tcBorders>
            <w:shd w:val="clear" w:color="auto" w:fill="auto"/>
            <w:noWrap/>
            <w:vAlign w:val="bottom"/>
            <w:hideMark/>
          </w:tcPr>
          <w:p w:rsidR="009579D2" w:rsidRPr="00B81EAE" w:rsidRDefault="00AC7004" w:rsidP="007C26A8">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A</w:t>
            </w:r>
          </w:p>
        </w:tc>
        <w:tc>
          <w:tcPr>
            <w:tcW w:w="3504"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9579D2" w:rsidRPr="00B81EAE" w:rsidRDefault="004F544D" w:rsidP="007C26A8">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b</w:t>
            </w:r>
          </w:p>
        </w:tc>
        <w:tc>
          <w:tcPr>
            <w:tcW w:w="1560" w:type="dxa"/>
            <w:tcBorders>
              <w:top w:val="nil"/>
              <w:left w:val="nil"/>
              <w:bottom w:val="nil"/>
              <w:right w:val="single" w:sz="4" w:space="0" w:color="auto"/>
            </w:tcBorders>
            <w:shd w:val="clear" w:color="auto" w:fill="auto"/>
            <w:noWrap/>
            <w:vAlign w:val="bottom"/>
            <w:hideMark/>
          </w:tcPr>
          <w:p w:rsidR="009579D2" w:rsidRPr="00B81EAE" w:rsidRDefault="009579D2" w:rsidP="007C26A8">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1</w:t>
            </w:r>
          </w:p>
        </w:tc>
        <w:tc>
          <w:tcPr>
            <w:tcW w:w="1524" w:type="dxa"/>
            <w:tcBorders>
              <w:top w:val="single" w:sz="8" w:space="0" w:color="auto"/>
              <w:left w:val="single" w:sz="4" w:space="0" w:color="auto"/>
              <w:bottom w:val="single" w:sz="8" w:space="0" w:color="auto"/>
              <w:right w:val="nil"/>
            </w:tcBorders>
            <w:shd w:val="clear" w:color="auto" w:fill="auto"/>
            <w:noWrap/>
            <w:vAlign w:val="bottom"/>
            <w:hideMark/>
          </w:tcPr>
          <w:p w:rsidR="009579D2" w:rsidRPr="00B81EAE" w:rsidRDefault="009579D2" w:rsidP="007C26A8">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w:t>
            </w:r>
          </w:p>
        </w:tc>
        <w:tc>
          <w:tcPr>
            <w:tcW w:w="1600" w:type="dxa"/>
            <w:tcBorders>
              <w:top w:val="nil"/>
              <w:left w:val="single" w:sz="8" w:space="0" w:color="auto"/>
              <w:bottom w:val="single" w:sz="8" w:space="0" w:color="auto"/>
              <w:right w:val="single" w:sz="8" w:space="0" w:color="auto"/>
            </w:tcBorders>
            <w:shd w:val="clear" w:color="auto" w:fill="auto"/>
            <w:noWrap/>
            <w:vAlign w:val="bottom"/>
            <w:hideMark/>
          </w:tcPr>
          <w:p w:rsidR="009579D2" w:rsidRPr="00B81EAE" w:rsidRDefault="009579D2" w:rsidP="007C26A8">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3</w:t>
            </w:r>
          </w:p>
        </w:tc>
        <w:tc>
          <w:tcPr>
            <w:tcW w:w="862" w:type="dxa"/>
            <w:tcBorders>
              <w:top w:val="nil"/>
              <w:left w:val="nil"/>
              <w:bottom w:val="nil"/>
              <w:right w:val="single" w:sz="8" w:space="0" w:color="auto"/>
            </w:tcBorders>
            <w:shd w:val="clear" w:color="auto" w:fill="auto"/>
            <w:noWrap/>
            <w:vAlign w:val="bottom"/>
            <w:hideMark/>
          </w:tcPr>
          <w:p w:rsidR="009579D2" w:rsidRPr="00B81EAE" w:rsidRDefault="009579D2" w:rsidP="007C26A8">
            <w:pPr>
              <w:spacing w:after="0" w:line="240" w:lineRule="auto"/>
              <w:jc w:val="center"/>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4</w:t>
            </w:r>
          </w:p>
        </w:tc>
      </w:tr>
      <w:tr w:rsidR="009579D2" w:rsidRPr="00B81EAE" w:rsidTr="00CF51E5">
        <w:trPr>
          <w:trHeight w:val="300"/>
        </w:trPr>
        <w:tc>
          <w:tcPr>
            <w:tcW w:w="480" w:type="dxa"/>
            <w:tcBorders>
              <w:top w:val="single" w:sz="8" w:space="0" w:color="auto"/>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200</w:t>
            </w:r>
          </w:p>
        </w:tc>
        <w:tc>
          <w:tcPr>
            <w:tcW w:w="3504" w:type="dxa"/>
            <w:tcBorders>
              <w:top w:val="single" w:sz="8" w:space="0" w:color="auto"/>
              <w:left w:val="single" w:sz="8" w:space="0" w:color="auto"/>
              <w:bottom w:val="nil"/>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Nedaňové príjmy</w:t>
            </w:r>
          </w:p>
        </w:tc>
        <w:tc>
          <w:tcPr>
            <w:tcW w:w="1560" w:type="dxa"/>
            <w:tcBorders>
              <w:top w:val="single" w:sz="8" w:space="0" w:color="auto"/>
              <w:left w:val="nil"/>
              <w:bottom w:val="nil"/>
              <w:right w:val="nil"/>
            </w:tcBorders>
            <w:shd w:val="clear" w:color="auto" w:fill="auto"/>
            <w:noWrap/>
            <w:vAlign w:val="bottom"/>
            <w:hideMark/>
          </w:tcPr>
          <w:p w:rsidR="009579D2" w:rsidRPr="00B81EAE" w:rsidRDefault="0097329F" w:rsidP="004505F2">
            <w:pPr>
              <w:spacing w:after="0" w:line="240" w:lineRule="auto"/>
              <w:jc w:val="right"/>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1</w:t>
            </w:r>
            <w:r w:rsidR="004505F2">
              <w:rPr>
                <w:rFonts w:ascii="Times New Roman" w:eastAsia="Times New Roman" w:hAnsi="Times New Roman" w:cs="Times New Roman"/>
                <w:b/>
                <w:bCs/>
                <w:color w:val="000000"/>
                <w:lang w:eastAsia="sk-SK"/>
              </w:rPr>
              <w:t>16 174 960</w:t>
            </w:r>
            <w:r w:rsidRPr="00B81EAE">
              <w:rPr>
                <w:rFonts w:ascii="Times New Roman" w:eastAsia="Times New Roman" w:hAnsi="Times New Roman" w:cs="Times New Roman"/>
                <w:b/>
                <w:bCs/>
                <w:color w:val="000000"/>
                <w:lang w:eastAsia="sk-SK"/>
              </w:rPr>
              <w:t>,00</w:t>
            </w:r>
          </w:p>
        </w:tc>
        <w:tc>
          <w:tcPr>
            <w:tcW w:w="1524" w:type="dxa"/>
            <w:tcBorders>
              <w:top w:val="single" w:sz="8" w:space="0" w:color="auto"/>
              <w:left w:val="single" w:sz="8" w:space="0" w:color="auto"/>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98 378 846,73</w:t>
            </w:r>
          </w:p>
        </w:tc>
        <w:tc>
          <w:tcPr>
            <w:tcW w:w="1600"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100 533 403,62</w:t>
            </w:r>
          </w:p>
        </w:tc>
        <w:tc>
          <w:tcPr>
            <w:tcW w:w="862" w:type="dxa"/>
            <w:tcBorders>
              <w:top w:val="single" w:sz="8" w:space="0" w:color="auto"/>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102,19</w:t>
            </w:r>
          </w:p>
        </w:tc>
      </w:tr>
      <w:tr w:rsidR="009579D2" w:rsidRPr="00B81EAE" w:rsidTr="00CF51E5">
        <w:trPr>
          <w:trHeight w:val="300"/>
        </w:trPr>
        <w:tc>
          <w:tcPr>
            <w:tcW w:w="480" w:type="dxa"/>
            <w:tcBorders>
              <w:top w:val="single" w:sz="4" w:space="0" w:color="auto"/>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210</w:t>
            </w:r>
          </w:p>
        </w:tc>
        <w:tc>
          <w:tcPr>
            <w:tcW w:w="3504" w:type="dxa"/>
            <w:tcBorders>
              <w:top w:val="single" w:sz="4" w:space="0" w:color="auto"/>
              <w:left w:val="single" w:sz="8" w:space="0" w:color="auto"/>
              <w:bottom w:val="nil"/>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xml:space="preserve">Príjmy z podnikania a z </w:t>
            </w:r>
          </w:p>
        </w:tc>
        <w:tc>
          <w:tcPr>
            <w:tcW w:w="1560" w:type="dxa"/>
            <w:tcBorders>
              <w:top w:val="single" w:sz="4" w:space="0" w:color="auto"/>
              <w:left w:val="nil"/>
              <w:bottom w:val="nil"/>
              <w:right w:val="nil"/>
            </w:tcBorders>
            <w:shd w:val="clear" w:color="auto" w:fill="auto"/>
            <w:noWrap/>
            <w:vAlign w:val="bottom"/>
            <w:hideMark/>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w:t>
            </w:r>
          </w:p>
        </w:tc>
        <w:tc>
          <w:tcPr>
            <w:tcW w:w="1524" w:type="dxa"/>
            <w:tcBorders>
              <w:top w:val="single" w:sz="4" w:space="0" w:color="auto"/>
              <w:left w:val="single" w:sz="8" w:space="0" w:color="auto"/>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p>
        </w:tc>
        <w:tc>
          <w:tcPr>
            <w:tcW w:w="1600" w:type="dxa"/>
            <w:tcBorders>
              <w:top w:val="single" w:sz="4" w:space="0" w:color="auto"/>
              <w:left w:val="nil"/>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p>
        </w:tc>
        <w:tc>
          <w:tcPr>
            <w:tcW w:w="862" w:type="dxa"/>
            <w:tcBorders>
              <w:top w:val="single" w:sz="4" w:space="0" w:color="auto"/>
              <w:left w:val="nil"/>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p>
        </w:tc>
      </w:tr>
      <w:tr w:rsidR="009579D2" w:rsidRPr="00B81EAE" w:rsidTr="00CF51E5">
        <w:trPr>
          <w:trHeight w:val="300"/>
        </w:trPr>
        <w:tc>
          <w:tcPr>
            <w:tcW w:w="480" w:type="dxa"/>
            <w:tcBorders>
              <w:top w:val="nil"/>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w:t>
            </w:r>
          </w:p>
        </w:tc>
        <w:tc>
          <w:tcPr>
            <w:tcW w:w="3504" w:type="dxa"/>
            <w:tcBorders>
              <w:top w:val="nil"/>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vlastníctva majetku</w:t>
            </w:r>
          </w:p>
        </w:tc>
        <w:tc>
          <w:tcPr>
            <w:tcW w:w="1560" w:type="dxa"/>
            <w:tcBorders>
              <w:top w:val="nil"/>
              <w:left w:val="nil"/>
              <w:bottom w:val="single" w:sz="4" w:space="0" w:color="auto"/>
              <w:right w:val="nil"/>
            </w:tcBorders>
            <w:shd w:val="clear" w:color="auto" w:fill="auto"/>
            <w:noWrap/>
            <w:vAlign w:val="bottom"/>
            <w:hideMark/>
          </w:tcPr>
          <w:p w:rsidR="009579D2" w:rsidRPr="00B81EAE" w:rsidRDefault="004505F2" w:rsidP="004505F2">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41 784 989</w:t>
            </w:r>
            <w:r w:rsidR="0097329F" w:rsidRPr="00B81EAE">
              <w:rPr>
                <w:rFonts w:ascii="Times New Roman" w:eastAsia="Times New Roman" w:hAnsi="Times New Roman" w:cs="Times New Roman"/>
                <w:i/>
                <w:iCs/>
                <w:color w:val="000000"/>
                <w:lang w:eastAsia="sk-SK"/>
              </w:rPr>
              <w:t>,00</w:t>
            </w:r>
          </w:p>
        </w:tc>
        <w:tc>
          <w:tcPr>
            <w:tcW w:w="1524" w:type="dxa"/>
            <w:tcBorders>
              <w:top w:val="nil"/>
              <w:left w:val="single" w:sz="8" w:space="0" w:color="auto"/>
              <w:bottom w:val="single" w:sz="4" w:space="0" w:color="auto"/>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23 080 000,34</w:t>
            </w:r>
          </w:p>
        </w:tc>
        <w:tc>
          <w:tcPr>
            <w:tcW w:w="1600" w:type="dxa"/>
            <w:tcBorders>
              <w:top w:val="nil"/>
              <w:left w:val="nil"/>
              <w:bottom w:val="single" w:sz="4" w:space="0" w:color="auto"/>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23 091 784,62</w:t>
            </w:r>
          </w:p>
        </w:tc>
        <w:tc>
          <w:tcPr>
            <w:tcW w:w="862" w:type="dxa"/>
            <w:tcBorders>
              <w:top w:val="nil"/>
              <w:left w:val="nil"/>
              <w:bottom w:val="single" w:sz="4" w:space="0" w:color="auto"/>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100,05</w:t>
            </w:r>
          </w:p>
        </w:tc>
      </w:tr>
      <w:tr w:rsidR="009579D2" w:rsidRPr="00B81EAE" w:rsidTr="00CF51E5">
        <w:trPr>
          <w:trHeight w:val="300"/>
        </w:trPr>
        <w:tc>
          <w:tcPr>
            <w:tcW w:w="480" w:type="dxa"/>
            <w:tcBorders>
              <w:top w:val="nil"/>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211</w:t>
            </w:r>
          </w:p>
        </w:tc>
        <w:tc>
          <w:tcPr>
            <w:tcW w:w="3504" w:type="dxa"/>
            <w:tcBorders>
              <w:top w:val="nil"/>
              <w:left w:val="single" w:sz="8" w:space="0" w:color="auto"/>
              <w:bottom w:val="nil"/>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 xml:space="preserve">Príjmy z podnikania </w:t>
            </w:r>
          </w:p>
        </w:tc>
        <w:tc>
          <w:tcPr>
            <w:tcW w:w="1560" w:type="dxa"/>
            <w:tcBorders>
              <w:top w:val="nil"/>
              <w:left w:val="nil"/>
              <w:bottom w:val="nil"/>
              <w:right w:val="nil"/>
            </w:tcBorders>
            <w:shd w:val="clear" w:color="auto" w:fill="auto"/>
            <w:noWrap/>
            <w:vAlign w:val="bottom"/>
            <w:hideMark/>
          </w:tcPr>
          <w:p w:rsidR="009579D2" w:rsidRPr="00B81EAE" w:rsidRDefault="004505F2" w:rsidP="004505F2">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41 770 360,</w:t>
            </w:r>
            <w:r w:rsidR="0097329F" w:rsidRPr="00B81EAE">
              <w:rPr>
                <w:rFonts w:ascii="Times New Roman" w:eastAsia="Times New Roman" w:hAnsi="Times New Roman" w:cs="Times New Roman"/>
                <w:color w:val="000000"/>
                <w:lang w:eastAsia="sk-SK"/>
              </w:rPr>
              <w:t>00</w:t>
            </w:r>
          </w:p>
        </w:tc>
        <w:tc>
          <w:tcPr>
            <w:tcW w:w="1524" w:type="dxa"/>
            <w:tcBorders>
              <w:top w:val="nil"/>
              <w:left w:val="single" w:sz="8" w:space="0" w:color="auto"/>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23 065 371,34</w:t>
            </w:r>
          </w:p>
        </w:tc>
        <w:tc>
          <w:tcPr>
            <w:tcW w:w="1600"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23 065 371,34</w:t>
            </w:r>
          </w:p>
        </w:tc>
        <w:tc>
          <w:tcPr>
            <w:tcW w:w="862"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100,00</w:t>
            </w:r>
          </w:p>
        </w:tc>
      </w:tr>
      <w:tr w:rsidR="009579D2"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212</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Príjmy z</w:t>
            </w:r>
            <w:r w:rsidR="00A8062C" w:rsidRPr="00B81EAE">
              <w:rPr>
                <w:rFonts w:ascii="Times New Roman" w:eastAsia="Times New Roman" w:hAnsi="Times New Roman" w:cs="Times New Roman"/>
                <w:color w:val="000000"/>
                <w:lang w:eastAsia="sk-SK"/>
              </w:rPr>
              <w:t> </w:t>
            </w:r>
            <w:r w:rsidRPr="00B81EAE">
              <w:rPr>
                <w:rFonts w:ascii="Times New Roman" w:eastAsia="Times New Roman" w:hAnsi="Times New Roman" w:cs="Times New Roman"/>
                <w:color w:val="000000"/>
                <w:lang w:eastAsia="sk-SK"/>
              </w:rPr>
              <w:t>vlastníctva</w:t>
            </w:r>
          </w:p>
        </w:tc>
        <w:tc>
          <w:tcPr>
            <w:tcW w:w="1560" w:type="dxa"/>
            <w:tcBorders>
              <w:top w:val="single" w:sz="4" w:space="0" w:color="auto"/>
              <w:left w:val="nil"/>
              <w:bottom w:val="single" w:sz="4" w:space="0" w:color="auto"/>
              <w:right w:val="nil"/>
            </w:tcBorders>
            <w:shd w:val="clear" w:color="auto" w:fill="auto"/>
            <w:noWrap/>
            <w:vAlign w:val="bottom"/>
            <w:hideMark/>
          </w:tcPr>
          <w:p w:rsidR="009579D2" w:rsidRPr="00B81EAE" w:rsidRDefault="004505F2" w:rsidP="004505F2">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14 629</w:t>
            </w:r>
            <w:r w:rsidR="0097329F" w:rsidRPr="00B81EAE">
              <w:rPr>
                <w:rFonts w:ascii="Times New Roman" w:eastAsia="Times New Roman" w:hAnsi="Times New Roman" w:cs="Times New Roman"/>
                <w:color w:val="000000"/>
                <w:lang w:eastAsia="sk-SK"/>
              </w:rPr>
              <w:t>,00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14 629,00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26 413,28</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180,55</w:t>
            </w:r>
          </w:p>
        </w:tc>
      </w:tr>
      <w:tr w:rsidR="009579D2" w:rsidRPr="00B81EAE" w:rsidTr="00CF51E5">
        <w:trPr>
          <w:trHeight w:val="300"/>
        </w:trPr>
        <w:tc>
          <w:tcPr>
            <w:tcW w:w="480" w:type="dxa"/>
            <w:tcBorders>
              <w:top w:val="nil"/>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220</w:t>
            </w:r>
          </w:p>
        </w:tc>
        <w:tc>
          <w:tcPr>
            <w:tcW w:w="3504" w:type="dxa"/>
            <w:tcBorders>
              <w:top w:val="nil"/>
              <w:left w:val="single" w:sz="8" w:space="0" w:color="auto"/>
              <w:bottom w:val="nil"/>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xml:space="preserve">Administratívne poplatky </w:t>
            </w:r>
          </w:p>
        </w:tc>
        <w:tc>
          <w:tcPr>
            <w:tcW w:w="1560" w:type="dxa"/>
            <w:tcBorders>
              <w:top w:val="nil"/>
              <w:left w:val="nil"/>
              <w:bottom w:val="nil"/>
              <w:right w:val="nil"/>
            </w:tcBorders>
            <w:shd w:val="clear" w:color="auto" w:fill="auto"/>
            <w:noWrap/>
            <w:vAlign w:val="bottom"/>
            <w:hideMark/>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p>
        </w:tc>
        <w:tc>
          <w:tcPr>
            <w:tcW w:w="1524" w:type="dxa"/>
            <w:tcBorders>
              <w:top w:val="nil"/>
              <w:left w:val="single" w:sz="8" w:space="0" w:color="auto"/>
              <w:bottom w:val="nil"/>
              <w:right w:val="single" w:sz="8" w:space="0" w:color="auto"/>
            </w:tcBorders>
            <w:shd w:val="clear" w:color="auto" w:fill="auto"/>
            <w:noWrap/>
            <w:vAlign w:val="bottom"/>
          </w:tcPr>
          <w:p w:rsidR="008013C2" w:rsidRPr="00B81EAE" w:rsidRDefault="008013C2" w:rsidP="004F544D">
            <w:pPr>
              <w:spacing w:after="0" w:line="240" w:lineRule="auto"/>
              <w:jc w:val="right"/>
              <w:rPr>
                <w:rFonts w:ascii="Times New Roman" w:eastAsia="Times New Roman" w:hAnsi="Times New Roman" w:cs="Times New Roman"/>
                <w:i/>
                <w:iCs/>
                <w:color w:val="000000"/>
                <w:lang w:eastAsia="sk-SK"/>
              </w:rPr>
            </w:pPr>
          </w:p>
        </w:tc>
        <w:tc>
          <w:tcPr>
            <w:tcW w:w="1600" w:type="dxa"/>
            <w:tcBorders>
              <w:top w:val="nil"/>
              <w:left w:val="nil"/>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p>
        </w:tc>
        <w:tc>
          <w:tcPr>
            <w:tcW w:w="862" w:type="dxa"/>
            <w:tcBorders>
              <w:top w:val="nil"/>
              <w:left w:val="nil"/>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i/>
                <w:iCs/>
                <w:color w:val="000000"/>
                <w:lang w:eastAsia="sk-SK"/>
              </w:rPr>
            </w:pPr>
          </w:p>
        </w:tc>
      </w:tr>
      <w:tr w:rsidR="009579D2" w:rsidRPr="00B81EAE" w:rsidTr="00CF51E5">
        <w:trPr>
          <w:trHeight w:val="300"/>
        </w:trPr>
        <w:tc>
          <w:tcPr>
            <w:tcW w:w="480" w:type="dxa"/>
            <w:tcBorders>
              <w:top w:val="nil"/>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 </w:t>
            </w:r>
          </w:p>
        </w:tc>
        <w:tc>
          <w:tcPr>
            <w:tcW w:w="3504" w:type="dxa"/>
            <w:tcBorders>
              <w:top w:val="nil"/>
              <w:left w:val="single" w:sz="8" w:space="0" w:color="auto"/>
              <w:bottom w:val="nil"/>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a iné poplatky a</w:t>
            </w:r>
            <w:r w:rsidR="00A8062C" w:rsidRPr="00B81EAE">
              <w:rPr>
                <w:rFonts w:ascii="Times New Roman" w:eastAsia="Times New Roman" w:hAnsi="Times New Roman" w:cs="Times New Roman"/>
                <w:i/>
                <w:iCs/>
                <w:color w:val="000000"/>
                <w:lang w:eastAsia="sk-SK"/>
              </w:rPr>
              <w:t> </w:t>
            </w:r>
            <w:r w:rsidRPr="00B81EAE">
              <w:rPr>
                <w:rFonts w:ascii="Times New Roman" w:eastAsia="Times New Roman" w:hAnsi="Times New Roman" w:cs="Times New Roman"/>
                <w:i/>
                <w:iCs/>
                <w:color w:val="000000"/>
                <w:lang w:eastAsia="sk-SK"/>
              </w:rPr>
              <w:t>platby</w:t>
            </w:r>
          </w:p>
        </w:tc>
        <w:tc>
          <w:tcPr>
            <w:tcW w:w="1560" w:type="dxa"/>
            <w:tcBorders>
              <w:top w:val="nil"/>
              <w:left w:val="nil"/>
              <w:bottom w:val="nil"/>
              <w:right w:val="nil"/>
            </w:tcBorders>
            <w:shd w:val="clear" w:color="auto" w:fill="auto"/>
            <w:noWrap/>
            <w:vAlign w:val="bottom"/>
            <w:hideMark/>
          </w:tcPr>
          <w:p w:rsidR="009579D2" w:rsidRPr="00B81EAE" w:rsidRDefault="0097329F" w:rsidP="004505F2">
            <w:pPr>
              <w:spacing w:after="0" w:line="240" w:lineRule="auto"/>
              <w:jc w:val="right"/>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w:t>
            </w:r>
            <w:r w:rsidR="004505F2">
              <w:rPr>
                <w:rFonts w:ascii="Times New Roman" w:eastAsia="Times New Roman" w:hAnsi="Times New Roman" w:cs="Times New Roman"/>
                <w:i/>
                <w:iCs/>
                <w:color w:val="000000"/>
                <w:lang w:eastAsia="sk-SK"/>
              </w:rPr>
              <w:t> 626 075</w:t>
            </w:r>
            <w:r w:rsidRPr="00B81EAE">
              <w:rPr>
                <w:rFonts w:ascii="Times New Roman" w:eastAsia="Times New Roman" w:hAnsi="Times New Roman" w:cs="Times New Roman"/>
                <w:i/>
                <w:iCs/>
                <w:color w:val="000000"/>
                <w:lang w:eastAsia="sk-SK"/>
              </w:rPr>
              <w:t>,00</w:t>
            </w:r>
          </w:p>
        </w:tc>
        <w:tc>
          <w:tcPr>
            <w:tcW w:w="1524" w:type="dxa"/>
            <w:tcBorders>
              <w:top w:val="nil"/>
              <w:left w:val="single" w:sz="8" w:space="0" w:color="auto"/>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2 696 075,00</w:t>
            </w:r>
          </w:p>
        </w:tc>
        <w:tc>
          <w:tcPr>
            <w:tcW w:w="1600"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2 823 123,26</w:t>
            </w:r>
          </w:p>
        </w:tc>
        <w:tc>
          <w:tcPr>
            <w:tcW w:w="862"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104,71</w:t>
            </w:r>
          </w:p>
        </w:tc>
      </w:tr>
      <w:tr w:rsidR="009579D2" w:rsidRPr="004505F2"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4505F2" w:rsidRDefault="009579D2" w:rsidP="009579D2">
            <w:pPr>
              <w:spacing w:after="0" w:line="240" w:lineRule="auto"/>
              <w:rPr>
                <w:rFonts w:ascii="Times New Roman" w:eastAsia="Times New Roman" w:hAnsi="Times New Roman" w:cs="Times New Roman"/>
                <w:color w:val="000000"/>
                <w:lang w:eastAsia="sk-SK"/>
              </w:rPr>
            </w:pPr>
            <w:r w:rsidRPr="004505F2">
              <w:rPr>
                <w:rFonts w:ascii="Times New Roman" w:eastAsia="Times New Roman" w:hAnsi="Times New Roman" w:cs="Times New Roman"/>
                <w:color w:val="000000"/>
                <w:lang w:eastAsia="sk-SK"/>
              </w:rPr>
              <w:t>221</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4505F2" w:rsidRDefault="009579D2" w:rsidP="009579D2">
            <w:pPr>
              <w:spacing w:after="0" w:line="240" w:lineRule="auto"/>
              <w:rPr>
                <w:rFonts w:ascii="Times New Roman" w:eastAsia="Times New Roman" w:hAnsi="Times New Roman" w:cs="Times New Roman"/>
                <w:color w:val="000000"/>
                <w:lang w:eastAsia="sk-SK"/>
              </w:rPr>
            </w:pPr>
            <w:r w:rsidRPr="004505F2">
              <w:rPr>
                <w:rFonts w:ascii="Times New Roman" w:eastAsia="Times New Roman" w:hAnsi="Times New Roman" w:cs="Times New Roman"/>
                <w:color w:val="000000"/>
                <w:lang w:eastAsia="sk-SK"/>
              </w:rPr>
              <w:t xml:space="preserve">Administratívne poplatky </w:t>
            </w:r>
          </w:p>
        </w:tc>
        <w:tc>
          <w:tcPr>
            <w:tcW w:w="1560" w:type="dxa"/>
            <w:tcBorders>
              <w:top w:val="single" w:sz="4" w:space="0" w:color="auto"/>
              <w:left w:val="nil"/>
              <w:bottom w:val="single" w:sz="4" w:space="0" w:color="auto"/>
              <w:right w:val="nil"/>
            </w:tcBorders>
            <w:shd w:val="clear" w:color="auto" w:fill="auto"/>
            <w:noWrap/>
            <w:vAlign w:val="bottom"/>
            <w:hideMark/>
          </w:tcPr>
          <w:p w:rsidR="009579D2" w:rsidRPr="004505F2" w:rsidRDefault="0097329F" w:rsidP="004505F2">
            <w:pPr>
              <w:spacing w:after="0" w:line="240" w:lineRule="auto"/>
              <w:jc w:val="right"/>
              <w:rPr>
                <w:rFonts w:ascii="Times New Roman" w:eastAsia="Times New Roman" w:hAnsi="Times New Roman" w:cs="Times New Roman"/>
                <w:color w:val="000000"/>
                <w:lang w:eastAsia="sk-SK"/>
              </w:rPr>
            </w:pPr>
            <w:r w:rsidRPr="004505F2">
              <w:rPr>
                <w:rFonts w:ascii="Times New Roman" w:eastAsia="Times New Roman" w:hAnsi="Times New Roman" w:cs="Times New Roman"/>
                <w:color w:val="000000"/>
                <w:lang w:eastAsia="sk-SK"/>
              </w:rPr>
              <w:t>9</w:t>
            </w:r>
            <w:r w:rsidR="004505F2" w:rsidRPr="004505F2">
              <w:rPr>
                <w:rFonts w:ascii="Times New Roman" w:eastAsia="Times New Roman" w:hAnsi="Times New Roman" w:cs="Times New Roman"/>
                <w:color w:val="000000"/>
                <w:lang w:eastAsia="sk-SK"/>
              </w:rPr>
              <w:t>41 000</w:t>
            </w:r>
            <w:r w:rsidR="009579D2" w:rsidRPr="004505F2">
              <w:rPr>
                <w:rFonts w:ascii="Times New Roman" w:eastAsia="Times New Roman" w:hAnsi="Times New Roman" w:cs="Times New Roman"/>
                <w:color w:val="000000"/>
                <w:lang w:eastAsia="sk-SK"/>
              </w:rPr>
              <w:t>,00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4505F2"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911 000,00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9579D2" w:rsidRPr="004505F2"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907 853,69</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4505F2"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99,65</w:t>
            </w:r>
          </w:p>
        </w:tc>
      </w:tr>
      <w:tr w:rsidR="009579D2" w:rsidRPr="00B81EAE" w:rsidTr="00CF51E5">
        <w:trPr>
          <w:trHeight w:val="300"/>
        </w:trPr>
        <w:tc>
          <w:tcPr>
            <w:tcW w:w="480" w:type="dxa"/>
            <w:tcBorders>
              <w:top w:val="nil"/>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222</w:t>
            </w:r>
          </w:p>
        </w:tc>
        <w:tc>
          <w:tcPr>
            <w:tcW w:w="3504" w:type="dxa"/>
            <w:tcBorders>
              <w:top w:val="nil"/>
              <w:left w:val="single" w:sz="8" w:space="0" w:color="auto"/>
              <w:bottom w:val="nil"/>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Pokuty, penále a iné sankcie</w:t>
            </w:r>
          </w:p>
        </w:tc>
        <w:tc>
          <w:tcPr>
            <w:tcW w:w="1560" w:type="dxa"/>
            <w:tcBorders>
              <w:top w:val="nil"/>
              <w:left w:val="nil"/>
              <w:bottom w:val="nil"/>
              <w:right w:val="nil"/>
            </w:tcBorders>
            <w:shd w:val="clear" w:color="auto" w:fill="auto"/>
            <w:noWrap/>
            <w:vAlign w:val="bottom"/>
            <w:hideMark/>
          </w:tcPr>
          <w:p w:rsidR="009579D2" w:rsidRPr="00B81EAE" w:rsidRDefault="008013C2" w:rsidP="004505F2">
            <w:pPr>
              <w:spacing w:after="0" w:line="240" w:lineRule="auto"/>
              <w:jc w:val="right"/>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 xml:space="preserve">1 </w:t>
            </w:r>
            <w:r w:rsidR="0097329F" w:rsidRPr="00B81EAE">
              <w:rPr>
                <w:rFonts w:ascii="Times New Roman" w:eastAsia="Times New Roman" w:hAnsi="Times New Roman" w:cs="Times New Roman"/>
                <w:color w:val="000000"/>
                <w:lang w:eastAsia="sk-SK"/>
              </w:rPr>
              <w:t xml:space="preserve"> 4</w:t>
            </w:r>
            <w:r w:rsidR="004505F2">
              <w:rPr>
                <w:rFonts w:ascii="Times New Roman" w:eastAsia="Times New Roman" w:hAnsi="Times New Roman" w:cs="Times New Roman"/>
                <w:color w:val="000000"/>
                <w:lang w:eastAsia="sk-SK"/>
              </w:rPr>
              <w:t>85 075</w:t>
            </w:r>
            <w:r w:rsidR="0097329F" w:rsidRPr="00B81EAE">
              <w:rPr>
                <w:rFonts w:ascii="Times New Roman" w:eastAsia="Times New Roman" w:hAnsi="Times New Roman" w:cs="Times New Roman"/>
                <w:color w:val="000000"/>
                <w:lang w:eastAsia="sk-SK"/>
              </w:rPr>
              <w:t>,00</w:t>
            </w:r>
          </w:p>
        </w:tc>
        <w:tc>
          <w:tcPr>
            <w:tcW w:w="1524" w:type="dxa"/>
            <w:tcBorders>
              <w:top w:val="nil"/>
              <w:left w:val="single" w:sz="8" w:space="0" w:color="auto"/>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1 585 075,00</w:t>
            </w:r>
          </w:p>
        </w:tc>
        <w:tc>
          <w:tcPr>
            <w:tcW w:w="1600"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1 857 794,52</w:t>
            </w:r>
          </w:p>
        </w:tc>
        <w:tc>
          <w:tcPr>
            <w:tcW w:w="862" w:type="dxa"/>
            <w:tcBorders>
              <w:top w:val="nil"/>
              <w:left w:val="nil"/>
              <w:bottom w:val="nil"/>
              <w:right w:val="single" w:sz="8" w:space="0" w:color="auto"/>
            </w:tcBorders>
            <w:shd w:val="clear" w:color="auto" w:fill="auto"/>
            <w:noWrap/>
            <w:vAlign w:val="bottom"/>
          </w:tcPr>
          <w:p w:rsidR="009579D2" w:rsidRPr="00B81EAE" w:rsidRDefault="002163AB"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117,21</w:t>
            </w:r>
          </w:p>
        </w:tc>
      </w:tr>
      <w:tr w:rsidR="009579D2" w:rsidRPr="00B81EAE" w:rsidTr="00CF51E5">
        <w:trPr>
          <w:trHeight w:val="300"/>
        </w:trPr>
        <w:tc>
          <w:tcPr>
            <w:tcW w:w="480" w:type="dxa"/>
            <w:tcBorders>
              <w:top w:val="single" w:sz="4" w:space="0" w:color="auto"/>
              <w:left w:val="single" w:sz="8" w:space="0" w:color="auto"/>
              <w:bottom w:val="nil"/>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223</w:t>
            </w:r>
          </w:p>
        </w:tc>
        <w:tc>
          <w:tcPr>
            <w:tcW w:w="3504" w:type="dxa"/>
            <w:tcBorders>
              <w:top w:val="single" w:sz="4" w:space="0" w:color="auto"/>
              <w:left w:val="single" w:sz="8" w:space="0" w:color="auto"/>
              <w:bottom w:val="nil"/>
              <w:right w:val="single" w:sz="8" w:space="0" w:color="auto"/>
            </w:tcBorders>
            <w:shd w:val="clear" w:color="auto" w:fill="auto"/>
            <w:noWrap/>
            <w:vAlign w:val="bottom"/>
            <w:hideMark/>
          </w:tcPr>
          <w:p w:rsidR="009579D2" w:rsidRPr="00B81EAE" w:rsidRDefault="002E75B9" w:rsidP="002E75B9">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P</w:t>
            </w:r>
            <w:r w:rsidR="002163AB">
              <w:rPr>
                <w:rFonts w:ascii="Times New Roman" w:eastAsia="Times New Roman" w:hAnsi="Times New Roman" w:cs="Times New Roman"/>
                <w:color w:val="000000"/>
                <w:lang w:eastAsia="sk-SK"/>
              </w:rPr>
              <w:t xml:space="preserve">oplatky a platby </w:t>
            </w:r>
            <w:r w:rsidR="009579D2" w:rsidRPr="00B81EAE">
              <w:rPr>
                <w:rFonts w:ascii="Times New Roman" w:eastAsia="Times New Roman" w:hAnsi="Times New Roman" w:cs="Times New Roman"/>
                <w:color w:val="000000"/>
                <w:lang w:eastAsia="sk-SK"/>
              </w:rPr>
              <w:t>z</w:t>
            </w:r>
            <w:r w:rsidR="002163AB">
              <w:rPr>
                <w:rFonts w:ascii="Times New Roman" w:eastAsia="Times New Roman" w:hAnsi="Times New Roman" w:cs="Times New Roman"/>
                <w:color w:val="000000"/>
                <w:lang w:eastAsia="sk-SK"/>
              </w:rPr>
              <w:t> </w:t>
            </w:r>
            <w:r w:rsidR="009579D2" w:rsidRPr="00B81EAE">
              <w:rPr>
                <w:rFonts w:ascii="Times New Roman" w:eastAsia="Times New Roman" w:hAnsi="Times New Roman" w:cs="Times New Roman"/>
                <w:color w:val="000000"/>
                <w:lang w:eastAsia="sk-SK"/>
              </w:rPr>
              <w:t>nepriemyselného</w:t>
            </w:r>
          </w:p>
        </w:tc>
        <w:tc>
          <w:tcPr>
            <w:tcW w:w="1560" w:type="dxa"/>
            <w:tcBorders>
              <w:top w:val="single" w:sz="4" w:space="0" w:color="auto"/>
              <w:left w:val="nil"/>
              <w:bottom w:val="nil"/>
              <w:right w:val="nil"/>
            </w:tcBorders>
            <w:shd w:val="clear" w:color="auto" w:fill="auto"/>
            <w:noWrap/>
            <w:vAlign w:val="bottom"/>
            <w:hideMark/>
          </w:tcPr>
          <w:p w:rsidR="009579D2" w:rsidRPr="00B81EAE" w:rsidRDefault="009579D2" w:rsidP="004F544D">
            <w:pPr>
              <w:spacing w:after="0" w:line="240" w:lineRule="auto"/>
              <w:jc w:val="right"/>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 </w:t>
            </w:r>
          </w:p>
        </w:tc>
        <w:tc>
          <w:tcPr>
            <w:tcW w:w="1524" w:type="dxa"/>
            <w:tcBorders>
              <w:top w:val="single" w:sz="4" w:space="0" w:color="auto"/>
              <w:left w:val="single" w:sz="8" w:space="0" w:color="auto"/>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color w:val="000000"/>
                <w:lang w:eastAsia="sk-SK"/>
              </w:rPr>
            </w:pPr>
          </w:p>
        </w:tc>
        <w:tc>
          <w:tcPr>
            <w:tcW w:w="1600" w:type="dxa"/>
            <w:tcBorders>
              <w:top w:val="single" w:sz="4" w:space="0" w:color="auto"/>
              <w:left w:val="nil"/>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color w:val="000000"/>
                <w:lang w:eastAsia="sk-SK"/>
              </w:rPr>
            </w:pPr>
          </w:p>
        </w:tc>
        <w:tc>
          <w:tcPr>
            <w:tcW w:w="862" w:type="dxa"/>
            <w:tcBorders>
              <w:top w:val="single" w:sz="4" w:space="0" w:color="auto"/>
              <w:left w:val="nil"/>
              <w:bottom w:val="nil"/>
              <w:right w:val="single" w:sz="8" w:space="0" w:color="auto"/>
            </w:tcBorders>
            <w:shd w:val="clear" w:color="auto" w:fill="auto"/>
            <w:noWrap/>
            <w:vAlign w:val="bottom"/>
          </w:tcPr>
          <w:p w:rsidR="009579D2" w:rsidRPr="00B81EAE" w:rsidRDefault="009579D2" w:rsidP="004F544D">
            <w:pPr>
              <w:spacing w:after="0" w:line="240" w:lineRule="auto"/>
              <w:jc w:val="right"/>
              <w:rPr>
                <w:rFonts w:ascii="Times New Roman" w:eastAsia="Times New Roman" w:hAnsi="Times New Roman" w:cs="Times New Roman"/>
                <w:color w:val="000000"/>
                <w:lang w:eastAsia="sk-SK"/>
              </w:rPr>
            </w:pPr>
          </w:p>
        </w:tc>
      </w:tr>
      <w:tr w:rsidR="009579D2" w:rsidRPr="00B81EAE" w:rsidTr="00CF51E5">
        <w:trPr>
          <w:trHeight w:val="300"/>
        </w:trPr>
        <w:tc>
          <w:tcPr>
            <w:tcW w:w="480" w:type="dxa"/>
            <w:tcBorders>
              <w:top w:val="nil"/>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 </w:t>
            </w:r>
          </w:p>
        </w:tc>
        <w:tc>
          <w:tcPr>
            <w:tcW w:w="3504" w:type="dxa"/>
            <w:tcBorders>
              <w:top w:val="nil"/>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2163AB">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a náhodného predaja</w:t>
            </w:r>
          </w:p>
        </w:tc>
        <w:tc>
          <w:tcPr>
            <w:tcW w:w="1560" w:type="dxa"/>
            <w:tcBorders>
              <w:top w:val="nil"/>
              <w:left w:val="nil"/>
              <w:bottom w:val="single" w:sz="4" w:space="0" w:color="auto"/>
              <w:right w:val="nil"/>
            </w:tcBorders>
            <w:shd w:val="clear" w:color="auto" w:fill="auto"/>
            <w:noWrap/>
            <w:vAlign w:val="bottom"/>
            <w:hideMark/>
          </w:tcPr>
          <w:p w:rsidR="009579D2" w:rsidRPr="00B81EAE" w:rsidRDefault="0097329F" w:rsidP="004F544D">
            <w:pPr>
              <w:spacing w:after="0" w:line="240" w:lineRule="auto"/>
              <w:jc w:val="right"/>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200 000,00</w:t>
            </w:r>
          </w:p>
        </w:tc>
        <w:tc>
          <w:tcPr>
            <w:tcW w:w="1524" w:type="dxa"/>
            <w:tcBorders>
              <w:top w:val="nil"/>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200 000,00</w:t>
            </w:r>
          </w:p>
        </w:tc>
        <w:tc>
          <w:tcPr>
            <w:tcW w:w="1600" w:type="dxa"/>
            <w:tcBorders>
              <w:top w:val="nil"/>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57 75,05</w:t>
            </w:r>
          </w:p>
        </w:tc>
        <w:tc>
          <w:tcPr>
            <w:tcW w:w="862" w:type="dxa"/>
            <w:tcBorders>
              <w:top w:val="nil"/>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28,74</w:t>
            </w:r>
          </w:p>
        </w:tc>
      </w:tr>
      <w:tr w:rsidR="009579D2" w:rsidRPr="00B81EAE" w:rsidTr="00CF51E5">
        <w:trPr>
          <w:trHeight w:val="300"/>
        </w:trPr>
        <w:tc>
          <w:tcPr>
            <w:tcW w:w="480" w:type="dxa"/>
            <w:tcBorders>
              <w:top w:val="nil"/>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230</w:t>
            </w:r>
          </w:p>
        </w:tc>
        <w:tc>
          <w:tcPr>
            <w:tcW w:w="3504" w:type="dxa"/>
            <w:tcBorders>
              <w:top w:val="nil"/>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Kapitálové príjmy</w:t>
            </w:r>
          </w:p>
        </w:tc>
        <w:tc>
          <w:tcPr>
            <w:tcW w:w="1560" w:type="dxa"/>
            <w:tcBorders>
              <w:top w:val="nil"/>
              <w:left w:val="nil"/>
              <w:bottom w:val="single" w:sz="4" w:space="0" w:color="auto"/>
              <w:right w:val="nil"/>
            </w:tcBorders>
            <w:shd w:val="clear" w:color="auto" w:fill="auto"/>
            <w:noWrap/>
            <w:vAlign w:val="bottom"/>
            <w:hideMark/>
          </w:tcPr>
          <w:p w:rsidR="009579D2" w:rsidRPr="00B81EAE" w:rsidRDefault="0097329F" w:rsidP="004F544D">
            <w:pPr>
              <w:spacing w:after="0" w:line="240" w:lineRule="auto"/>
              <w:jc w:val="right"/>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299 096,00</w:t>
            </w:r>
          </w:p>
        </w:tc>
        <w:tc>
          <w:tcPr>
            <w:tcW w:w="1524" w:type="dxa"/>
            <w:tcBorders>
              <w:top w:val="nil"/>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299 096,00</w:t>
            </w:r>
          </w:p>
        </w:tc>
        <w:tc>
          <w:tcPr>
            <w:tcW w:w="1600" w:type="dxa"/>
            <w:tcBorders>
              <w:top w:val="nil"/>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1 082 070,49</w:t>
            </w:r>
          </w:p>
        </w:tc>
        <w:tc>
          <w:tcPr>
            <w:tcW w:w="862" w:type="dxa"/>
            <w:tcBorders>
              <w:top w:val="nil"/>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361,78</w:t>
            </w:r>
          </w:p>
        </w:tc>
      </w:tr>
      <w:tr w:rsidR="009579D2"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290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Iné nedaňové príjmy</w:t>
            </w:r>
          </w:p>
        </w:tc>
        <w:tc>
          <w:tcPr>
            <w:tcW w:w="1560" w:type="dxa"/>
            <w:tcBorders>
              <w:top w:val="single" w:sz="4" w:space="0" w:color="auto"/>
              <w:left w:val="nil"/>
              <w:bottom w:val="single" w:sz="4" w:space="0" w:color="auto"/>
              <w:right w:val="nil"/>
            </w:tcBorders>
            <w:shd w:val="clear" w:color="auto" w:fill="auto"/>
            <w:noWrap/>
            <w:vAlign w:val="bottom"/>
            <w:hideMark/>
          </w:tcPr>
          <w:p w:rsidR="009579D2" w:rsidRPr="00B81EAE" w:rsidRDefault="0097329F" w:rsidP="00117886">
            <w:pPr>
              <w:spacing w:after="0" w:line="240" w:lineRule="auto"/>
              <w:jc w:val="right"/>
              <w:rPr>
                <w:rFonts w:ascii="Times New Roman" w:eastAsia="Times New Roman" w:hAnsi="Times New Roman" w:cs="Times New Roman"/>
                <w:i/>
                <w:iCs/>
                <w:color w:val="000000"/>
                <w:lang w:eastAsia="sk-SK"/>
              </w:rPr>
            </w:pPr>
            <w:r w:rsidRPr="00B81EAE">
              <w:rPr>
                <w:rFonts w:ascii="Times New Roman" w:eastAsia="Times New Roman" w:hAnsi="Times New Roman" w:cs="Times New Roman"/>
                <w:i/>
                <w:iCs/>
                <w:color w:val="000000"/>
                <w:lang w:eastAsia="sk-SK"/>
              </w:rPr>
              <w:t>7</w:t>
            </w:r>
            <w:r w:rsidR="00117886">
              <w:rPr>
                <w:rFonts w:ascii="Times New Roman" w:eastAsia="Times New Roman" w:hAnsi="Times New Roman" w:cs="Times New Roman"/>
                <w:i/>
                <w:iCs/>
                <w:color w:val="000000"/>
                <w:lang w:eastAsia="sk-SK"/>
              </w:rPr>
              <w:t>1 464 800</w:t>
            </w:r>
            <w:r w:rsidRPr="00B81EAE">
              <w:rPr>
                <w:rFonts w:ascii="Times New Roman" w:eastAsia="Times New Roman" w:hAnsi="Times New Roman" w:cs="Times New Roman"/>
                <w:i/>
                <w:iCs/>
                <w:color w:val="000000"/>
                <w:lang w:eastAsia="sk-SK"/>
              </w:rPr>
              <w:t>,00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72 303 675,39</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73 536 425,25</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i/>
                <w:iCs/>
                <w:color w:val="000000"/>
                <w:lang w:eastAsia="sk-SK"/>
              </w:rPr>
            </w:pPr>
            <w:r>
              <w:rPr>
                <w:rFonts w:ascii="Times New Roman" w:eastAsia="Times New Roman" w:hAnsi="Times New Roman" w:cs="Times New Roman"/>
                <w:i/>
                <w:iCs/>
                <w:color w:val="000000"/>
                <w:lang w:eastAsia="sk-SK"/>
              </w:rPr>
              <w:t>101,03</w:t>
            </w:r>
          </w:p>
        </w:tc>
      </w:tr>
      <w:tr w:rsidR="00117886"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tcPr>
          <w:p w:rsidR="00117886" w:rsidRPr="00B81EAE" w:rsidRDefault="00117886" w:rsidP="009579D2">
            <w:pPr>
              <w:spacing w:after="0" w:line="240" w:lineRule="auto"/>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291</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tcPr>
          <w:p w:rsidR="00117886" w:rsidRPr="00B81EAE" w:rsidRDefault="00117886" w:rsidP="009579D2">
            <w:pPr>
              <w:spacing w:after="0" w:line="240" w:lineRule="auto"/>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 xml:space="preserve">Vrátené neoprávnene použité alebo zadržané finančné prostriedky </w:t>
            </w:r>
          </w:p>
        </w:tc>
        <w:tc>
          <w:tcPr>
            <w:tcW w:w="1560" w:type="dxa"/>
            <w:tcBorders>
              <w:top w:val="single" w:sz="4" w:space="0" w:color="auto"/>
              <w:left w:val="nil"/>
              <w:bottom w:val="single" w:sz="4" w:space="0" w:color="auto"/>
              <w:right w:val="nil"/>
            </w:tcBorders>
            <w:shd w:val="clear" w:color="auto" w:fill="auto"/>
            <w:noWrap/>
            <w:vAlign w:val="bottom"/>
          </w:tcPr>
          <w:p w:rsidR="00117886" w:rsidRPr="00B81EAE" w:rsidRDefault="00117886" w:rsidP="004505F2">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0,00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117886"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0,00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117886"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487 063,06</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117886"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w:t>
            </w:r>
          </w:p>
        </w:tc>
      </w:tr>
      <w:tr w:rsidR="009579D2"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292</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Ostatné príjmy</w:t>
            </w:r>
          </w:p>
        </w:tc>
        <w:tc>
          <w:tcPr>
            <w:tcW w:w="1560" w:type="dxa"/>
            <w:tcBorders>
              <w:top w:val="single" w:sz="4" w:space="0" w:color="auto"/>
              <w:left w:val="nil"/>
              <w:bottom w:val="single" w:sz="4" w:space="0" w:color="auto"/>
              <w:right w:val="nil"/>
            </w:tcBorders>
            <w:shd w:val="clear" w:color="auto" w:fill="auto"/>
            <w:noWrap/>
            <w:vAlign w:val="bottom"/>
            <w:hideMark/>
          </w:tcPr>
          <w:p w:rsidR="009579D2" w:rsidRPr="00B81EAE" w:rsidRDefault="0097329F" w:rsidP="004505F2">
            <w:pPr>
              <w:spacing w:after="0" w:line="240" w:lineRule="auto"/>
              <w:jc w:val="right"/>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7</w:t>
            </w:r>
            <w:r w:rsidR="004505F2">
              <w:rPr>
                <w:rFonts w:ascii="Times New Roman" w:eastAsia="Times New Roman" w:hAnsi="Times New Roman" w:cs="Times New Roman"/>
                <w:color w:val="000000"/>
                <w:lang w:eastAsia="sk-SK"/>
              </w:rPr>
              <w:t>1 464 800</w:t>
            </w:r>
            <w:r w:rsidRPr="00B81EAE">
              <w:rPr>
                <w:rFonts w:ascii="Times New Roman" w:eastAsia="Times New Roman" w:hAnsi="Times New Roman" w:cs="Times New Roman"/>
                <w:color w:val="000000"/>
                <w:lang w:eastAsia="sk-SK"/>
              </w:rPr>
              <w:t>,00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72 303 675,39</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73 049 362,19</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101,03</w:t>
            </w:r>
          </w:p>
        </w:tc>
      </w:tr>
      <w:tr w:rsidR="009579D2"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300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 xml:space="preserve">Granty a transfery </w:t>
            </w:r>
          </w:p>
        </w:tc>
        <w:tc>
          <w:tcPr>
            <w:tcW w:w="1560" w:type="dxa"/>
            <w:tcBorders>
              <w:top w:val="single" w:sz="4" w:space="0" w:color="auto"/>
              <w:left w:val="nil"/>
              <w:bottom w:val="single" w:sz="4" w:space="0" w:color="auto"/>
              <w:right w:val="nil"/>
            </w:tcBorders>
            <w:shd w:val="clear" w:color="auto" w:fill="auto"/>
            <w:noWrap/>
            <w:vAlign w:val="bottom"/>
          </w:tcPr>
          <w:p w:rsidR="009579D2" w:rsidRPr="00B81EAE" w:rsidRDefault="004505F2"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170 130 029</w:t>
            </w:r>
            <w:r w:rsidR="0097329F" w:rsidRPr="00B81EAE">
              <w:rPr>
                <w:rFonts w:ascii="Times New Roman" w:eastAsia="Times New Roman" w:hAnsi="Times New Roman" w:cs="Times New Roman"/>
                <w:b/>
                <w:bCs/>
                <w:color w:val="000000"/>
                <w:lang w:eastAsia="sk-SK"/>
              </w:rPr>
              <w:t>,00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268 551 088,05</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268 551 600,95</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100,00</w:t>
            </w:r>
          </w:p>
        </w:tc>
      </w:tr>
      <w:tr w:rsidR="009579D2"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330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Zahraničné granty</w:t>
            </w:r>
          </w:p>
        </w:tc>
        <w:tc>
          <w:tcPr>
            <w:tcW w:w="1560" w:type="dxa"/>
            <w:tcBorders>
              <w:top w:val="single" w:sz="4" w:space="0" w:color="auto"/>
              <w:left w:val="nil"/>
              <w:bottom w:val="single" w:sz="4" w:space="0" w:color="auto"/>
              <w:right w:val="nil"/>
            </w:tcBorders>
            <w:shd w:val="clear" w:color="auto" w:fill="auto"/>
            <w:noWrap/>
            <w:vAlign w:val="bottom"/>
            <w:hideMark/>
          </w:tcPr>
          <w:p w:rsidR="009579D2" w:rsidRPr="00B81EAE" w:rsidRDefault="009579D2" w:rsidP="004F544D">
            <w:pPr>
              <w:spacing w:after="0" w:line="240" w:lineRule="auto"/>
              <w:jc w:val="right"/>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0,00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0,0</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512,90</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w:t>
            </w:r>
          </w:p>
        </w:tc>
      </w:tr>
      <w:tr w:rsidR="009579D2" w:rsidRPr="00B81EAE" w:rsidTr="00CF51E5">
        <w:trPr>
          <w:trHeight w:val="300"/>
        </w:trPr>
        <w:tc>
          <w:tcPr>
            <w:tcW w:w="480" w:type="dxa"/>
            <w:tcBorders>
              <w:top w:val="single" w:sz="4" w:space="0" w:color="auto"/>
              <w:left w:val="single" w:sz="8" w:space="0" w:color="auto"/>
              <w:bottom w:val="single" w:sz="4"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340</w:t>
            </w:r>
          </w:p>
        </w:tc>
        <w:tc>
          <w:tcPr>
            <w:tcW w:w="3504"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color w:val="000000"/>
                <w:lang w:eastAsia="sk-SK"/>
              </w:rPr>
            </w:pPr>
            <w:r w:rsidRPr="00B81EAE">
              <w:rPr>
                <w:rFonts w:ascii="Times New Roman" w:eastAsia="Times New Roman" w:hAnsi="Times New Roman" w:cs="Times New Roman"/>
                <w:color w:val="000000"/>
                <w:lang w:eastAsia="sk-SK"/>
              </w:rPr>
              <w:t>Zahraničné transfery</w:t>
            </w:r>
          </w:p>
        </w:tc>
        <w:tc>
          <w:tcPr>
            <w:tcW w:w="1560" w:type="dxa"/>
            <w:tcBorders>
              <w:top w:val="single" w:sz="4" w:space="0" w:color="auto"/>
              <w:left w:val="nil"/>
              <w:bottom w:val="single" w:sz="4" w:space="0" w:color="auto"/>
              <w:right w:val="nil"/>
            </w:tcBorders>
            <w:shd w:val="clear" w:color="auto" w:fill="auto"/>
            <w:noWrap/>
            <w:vAlign w:val="bottom"/>
            <w:hideMark/>
          </w:tcPr>
          <w:p w:rsidR="009579D2" w:rsidRPr="00B81EAE" w:rsidRDefault="004505F2"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b/>
                <w:bCs/>
                <w:color w:val="000000"/>
                <w:lang w:eastAsia="sk-SK"/>
              </w:rPr>
              <w:t>170 130 029</w:t>
            </w:r>
            <w:r w:rsidR="0097329F" w:rsidRPr="00B81EAE">
              <w:rPr>
                <w:rFonts w:ascii="Times New Roman" w:eastAsia="Times New Roman" w:hAnsi="Times New Roman" w:cs="Times New Roman"/>
                <w:color w:val="000000"/>
                <w:lang w:eastAsia="sk-SK"/>
              </w:rPr>
              <w:t>,00</w:t>
            </w:r>
          </w:p>
        </w:tc>
        <w:tc>
          <w:tcPr>
            <w:tcW w:w="1524" w:type="dxa"/>
            <w:tcBorders>
              <w:top w:val="single" w:sz="4" w:space="0" w:color="auto"/>
              <w:left w:val="single" w:sz="8" w:space="0" w:color="auto"/>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268 551 088,05</w:t>
            </w:r>
          </w:p>
        </w:tc>
        <w:tc>
          <w:tcPr>
            <w:tcW w:w="1600" w:type="dxa"/>
            <w:tcBorders>
              <w:top w:val="single" w:sz="4" w:space="0" w:color="auto"/>
              <w:left w:val="nil"/>
              <w:bottom w:val="single" w:sz="4" w:space="0" w:color="auto"/>
              <w:right w:val="single" w:sz="8" w:space="0" w:color="auto"/>
            </w:tcBorders>
            <w:shd w:val="clear" w:color="auto" w:fill="auto"/>
            <w:noWrap/>
            <w:vAlign w:val="bottom"/>
          </w:tcPr>
          <w:p w:rsidR="008013C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268 551 088,05</w:t>
            </w:r>
          </w:p>
        </w:tc>
        <w:tc>
          <w:tcPr>
            <w:tcW w:w="862" w:type="dxa"/>
            <w:tcBorders>
              <w:top w:val="single" w:sz="4" w:space="0" w:color="auto"/>
              <w:left w:val="nil"/>
              <w:bottom w:val="single" w:sz="4"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color w:val="000000"/>
                <w:lang w:eastAsia="sk-SK"/>
              </w:rPr>
            </w:pPr>
            <w:r>
              <w:rPr>
                <w:rFonts w:ascii="Times New Roman" w:eastAsia="Times New Roman" w:hAnsi="Times New Roman" w:cs="Times New Roman"/>
                <w:color w:val="000000"/>
                <w:lang w:eastAsia="sk-SK"/>
              </w:rPr>
              <w:t>100,00</w:t>
            </w:r>
          </w:p>
        </w:tc>
      </w:tr>
      <w:tr w:rsidR="009579D2" w:rsidRPr="00B81EAE" w:rsidTr="00CF51E5">
        <w:trPr>
          <w:trHeight w:val="315"/>
        </w:trPr>
        <w:tc>
          <w:tcPr>
            <w:tcW w:w="480" w:type="dxa"/>
            <w:tcBorders>
              <w:top w:val="nil"/>
              <w:left w:val="single" w:sz="8" w:space="0" w:color="auto"/>
              <w:bottom w:val="single" w:sz="8" w:space="0" w:color="auto"/>
              <w:right w:val="nil"/>
            </w:tcBorders>
            <w:shd w:val="clear" w:color="auto" w:fill="auto"/>
            <w:noWrap/>
            <w:vAlign w:val="bottom"/>
            <w:hideMark/>
          </w:tcPr>
          <w:p w:rsidR="009579D2" w:rsidRPr="00B81EAE" w:rsidRDefault="009579D2" w:rsidP="009579D2">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 </w:t>
            </w:r>
          </w:p>
        </w:tc>
        <w:tc>
          <w:tcPr>
            <w:tcW w:w="3504" w:type="dxa"/>
            <w:tcBorders>
              <w:top w:val="nil"/>
              <w:left w:val="single" w:sz="8" w:space="0" w:color="auto"/>
              <w:bottom w:val="single" w:sz="8" w:space="0" w:color="auto"/>
              <w:right w:val="single" w:sz="8" w:space="0" w:color="auto"/>
            </w:tcBorders>
            <w:shd w:val="clear" w:color="auto" w:fill="auto"/>
            <w:noWrap/>
            <w:vAlign w:val="bottom"/>
            <w:hideMark/>
          </w:tcPr>
          <w:p w:rsidR="009579D2" w:rsidRPr="00B81EAE" w:rsidRDefault="009579D2" w:rsidP="002E75B9">
            <w:pPr>
              <w:spacing w:after="0" w:line="240" w:lineRule="auto"/>
              <w:rPr>
                <w:rFonts w:ascii="Times New Roman" w:eastAsia="Times New Roman" w:hAnsi="Times New Roman" w:cs="Times New Roman"/>
                <w:b/>
                <w:bCs/>
                <w:color w:val="000000"/>
                <w:lang w:eastAsia="sk-SK"/>
              </w:rPr>
            </w:pPr>
            <w:r w:rsidRPr="00B81EAE">
              <w:rPr>
                <w:rFonts w:ascii="Times New Roman" w:eastAsia="Times New Roman" w:hAnsi="Times New Roman" w:cs="Times New Roman"/>
                <w:b/>
                <w:bCs/>
                <w:color w:val="000000"/>
                <w:lang w:eastAsia="sk-SK"/>
              </w:rPr>
              <w:t>Príjmy</w:t>
            </w:r>
            <w:r w:rsidR="002E75B9" w:rsidRPr="00B81EAE">
              <w:rPr>
                <w:rFonts w:ascii="Times New Roman" w:eastAsia="Times New Roman" w:hAnsi="Times New Roman" w:cs="Times New Roman"/>
                <w:b/>
                <w:bCs/>
                <w:color w:val="000000"/>
                <w:lang w:eastAsia="sk-SK"/>
              </w:rPr>
              <w:t xml:space="preserve"> MH SR </w:t>
            </w:r>
            <w:r w:rsidRPr="00B81EAE">
              <w:rPr>
                <w:rFonts w:ascii="Times New Roman" w:eastAsia="Times New Roman" w:hAnsi="Times New Roman" w:cs="Times New Roman"/>
                <w:b/>
                <w:bCs/>
                <w:color w:val="000000"/>
                <w:lang w:eastAsia="sk-SK"/>
              </w:rPr>
              <w:t>spolu (200+300)</w:t>
            </w:r>
          </w:p>
        </w:tc>
        <w:tc>
          <w:tcPr>
            <w:tcW w:w="1560" w:type="dxa"/>
            <w:tcBorders>
              <w:top w:val="nil"/>
              <w:left w:val="nil"/>
              <w:bottom w:val="single" w:sz="8" w:space="0" w:color="auto"/>
              <w:right w:val="nil"/>
            </w:tcBorders>
            <w:shd w:val="clear" w:color="auto" w:fill="auto"/>
            <w:noWrap/>
            <w:vAlign w:val="bottom"/>
            <w:hideMark/>
          </w:tcPr>
          <w:p w:rsidR="009579D2" w:rsidRPr="00B81EAE" w:rsidRDefault="004505F2"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286 304 989</w:t>
            </w:r>
            <w:r w:rsidR="0097329F" w:rsidRPr="00B81EAE">
              <w:rPr>
                <w:rFonts w:ascii="Times New Roman" w:eastAsia="Times New Roman" w:hAnsi="Times New Roman" w:cs="Times New Roman"/>
                <w:b/>
                <w:bCs/>
                <w:color w:val="000000"/>
                <w:lang w:eastAsia="sk-SK"/>
              </w:rPr>
              <w:t>,00</w:t>
            </w:r>
          </w:p>
        </w:tc>
        <w:tc>
          <w:tcPr>
            <w:tcW w:w="1524" w:type="dxa"/>
            <w:tcBorders>
              <w:top w:val="nil"/>
              <w:left w:val="single" w:sz="8" w:space="0" w:color="auto"/>
              <w:bottom w:val="single" w:sz="8"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366 929 934,78</w:t>
            </w:r>
          </w:p>
        </w:tc>
        <w:tc>
          <w:tcPr>
            <w:tcW w:w="1600" w:type="dxa"/>
            <w:tcBorders>
              <w:top w:val="nil"/>
              <w:left w:val="nil"/>
              <w:bottom w:val="single" w:sz="8" w:space="0" w:color="auto"/>
              <w:right w:val="single" w:sz="8" w:space="0" w:color="auto"/>
            </w:tcBorders>
            <w:shd w:val="clear" w:color="auto" w:fill="auto"/>
            <w:noWrap/>
            <w:vAlign w:val="bottom"/>
          </w:tcPr>
          <w:p w:rsidR="009579D2" w:rsidRPr="00B81EAE" w:rsidRDefault="00117886" w:rsidP="00117886">
            <w:pPr>
              <w:spacing w:after="0" w:line="240" w:lineRule="auto"/>
              <w:jc w:val="right"/>
              <w:rPr>
                <w:rFonts w:ascii="Times New Roman" w:eastAsia="Times New Roman" w:hAnsi="Times New Roman" w:cs="Times New Roman"/>
                <w:b/>
                <w:bCs/>
                <w:color w:val="000000"/>
                <w:lang w:eastAsia="sk-SK"/>
              </w:rPr>
            </w:pPr>
            <w:r>
              <w:rPr>
                <w:rFonts w:ascii="Times New Roman" w:eastAsia="Times New Roman" w:hAnsi="Times New Roman" w:cs="Times New Roman"/>
                <w:b/>
                <w:bCs/>
                <w:color w:val="000000"/>
                <w:lang w:eastAsia="sk-SK"/>
              </w:rPr>
              <w:t>369 085 004,57</w:t>
            </w:r>
          </w:p>
        </w:tc>
        <w:tc>
          <w:tcPr>
            <w:tcW w:w="862" w:type="dxa"/>
            <w:tcBorders>
              <w:top w:val="nil"/>
              <w:left w:val="nil"/>
              <w:bottom w:val="single" w:sz="8" w:space="0" w:color="auto"/>
              <w:right w:val="single" w:sz="8" w:space="0" w:color="auto"/>
            </w:tcBorders>
            <w:shd w:val="clear" w:color="auto" w:fill="auto"/>
            <w:noWrap/>
            <w:vAlign w:val="bottom"/>
          </w:tcPr>
          <w:p w:rsidR="009579D2" w:rsidRPr="00B81EAE" w:rsidRDefault="00117886" w:rsidP="004F544D">
            <w:pPr>
              <w:spacing w:after="0" w:line="240" w:lineRule="auto"/>
              <w:jc w:val="right"/>
              <w:rPr>
                <w:rFonts w:ascii="Times New Roman" w:eastAsia="Times New Roman" w:hAnsi="Times New Roman" w:cs="Times New Roman"/>
                <w:b/>
                <w:iCs/>
                <w:color w:val="000000"/>
                <w:lang w:eastAsia="sk-SK"/>
              </w:rPr>
            </w:pPr>
            <w:r>
              <w:rPr>
                <w:rFonts w:ascii="Times New Roman" w:eastAsia="Times New Roman" w:hAnsi="Times New Roman" w:cs="Times New Roman"/>
                <w:b/>
                <w:iCs/>
                <w:color w:val="000000"/>
                <w:lang w:eastAsia="sk-SK"/>
              </w:rPr>
              <w:t>100,59</w:t>
            </w:r>
          </w:p>
        </w:tc>
      </w:tr>
    </w:tbl>
    <w:p w:rsidR="00293961" w:rsidRDefault="00293961" w:rsidP="003E4DCE">
      <w:pPr>
        <w:pStyle w:val="Odsekzoznamu"/>
        <w:spacing w:after="0" w:line="240" w:lineRule="auto"/>
        <w:ind w:left="284" w:right="677" w:firstLine="709"/>
        <w:jc w:val="both"/>
        <w:rPr>
          <w:rFonts w:ascii="Times New Roman" w:hAnsi="Times New Roman" w:cs="Times New Roman"/>
          <w:sz w:val="24"/>
          <w:szCs w:val="24"/>
        </w:rPr>
        <w:sectPr w:rsidR="00293961" w:rsidSect="004C66CC">
          <w:pgSz w:w="11906" w:h="16838" w:code="9"/>
          <w:pgMar w:top="1418" w:right="1418" w:bottom="1418" w:left="1418" w:header="709" w:footer="709" w:gutter="0"/>
          <w:cols w:space="708"/>
          <w:docGrid w:linePitch="360"/>
        </w:sectPr>
      </w:pPr>
    </w:p>
    <w:p w:rsidR="004553B6" w:rsidRDefault="004553B6" w:rsidP="003E4DCE">
      <w:pPr>
        <w:pStyle w:val="Odsekzoznamu"/>
        <w:spacing w:after="0" w:line="240" w:lineRule="auto"/>
        <w:ind w:left="284" w:right="677" w:firstLine="709"/>
        <w:jc w:val="both"/>
        <w:rPr>
          <w:rFonts w:ascii="Times New Roman" w:hAnsi="Times New Roman" w:cs="Times New Roman"/>
          <w:sz w:val="24"/>
          <w:szCs w:val="24"/>
        </w:rPr>
      </w:pPr>
    </w:p>
    <w:p w:rsidR="00B10718" w:rsidRDefault="00DB10E8" w:rsidP="003E4DCE">
      <w:pPr>
        <w:pStyle w:val="Odsekzoznamu"/>
        <w:spacing w:after="0" w:line="240" w:lineRule="auto"/>
        <w:ind w:left="284" w:right="677" w:firstLine="709"/>
        <w:jc w:val="both"/>
        <w:rPr>
          <w:rFonts w:ascii="Times New Roman" w:hAnsi="Times New Roman" w:cs="Times New Roman"/>
          <w:sz w:val="24"/>
          <w:szCs w:val="24"/>
        </w:rPr>
      </w:pPr>
      <w:r>
        <w:rPr>
          <w:rFonts w:ascii="Times New Roman" w:hAnsi="Times New Roman" w:cs="Times New Roman"/>
          <w:sz w:val="24"/>
          <w:szCs w:val="24"/>
        </w:rPr>
        <w:t xml:space="preserve">Na plnení príjmov kapitoly MH SR sa </w:t>
      </w:r>
      <w:r w:rsidR="00FC23A4">
        <w:rPr>
          <w:rFonts w:ascii="Times New Roman" w:hAnsi="Times New Roman" w:cs="Times New Roman"/>
          <w:sz w:val="24"/>
          <w:szCs w:val="24"/>
        </w:rPr>
        <w:t xml:space="preserve">podieľali </w:t>
      </w:r>
      <w:r>
        <w:rPr>
          <w:rFonts w:ascii="Times New Roman" w:hAnsi="Times New Roman" w:cs="Times New Roman"/>
          <w:sz w:val="24"/>
          <w:szCs w:val="24"/>
        </w:rPr>
        <w:t xml:space="preserve">jednotlivé podriadené organizácie, </w:t>
      </w:r>
      <w:r w:rsidR="0031727F">
        <w:rPr>
          <w:rFonts w:ascii="Times New Roman" w:hAnsi="Times New Roman" w:cs="Times New Roman"/>
          <w:sz w:val="24"/>
          <w:szCs w:val="24"/>
        </w:rPr>
        <w:t>úrad</w:t>
      </w:r>
      <w:r>
        <w:rPr>
          <w:rFonts w:ascii="Times New Roman" w:hAnsi="Times New Roman" w:cs="Times New Roman"/>
          <w:sz w:val="24"/>
          <w:szCs w:val="24"/>
        </w:rPr>
        <w:t xml:space="preserve"> ministerstva a platobná jednotka</w:t>
      </w:r>
      <w:r w:rsidR="007A2265">
        <w:rPr>
          <w:rFonts w:ascii="Times New Roman" w:hAnsi="Times New Roman" w:cs="Times New Roman"/>
          <w:sz w:val="24"/>
          <w:szCs w:val="24"/>
        </w:rPr>
        <w:t xml:space="preserve">  </w:t>
      </w:r>
    </w:p>
    <w:p w:rsidR="00E936E6" w:rsidRPr="009D2BC6" w:rsidRDefault="00B10718" w:rsidP="003E4DCE">
      <w:pPr>
        <w:pStyle w:val="Odsekzoznamu"/>
        <w:spacing w:after="0" w:line="240" w:lineRule="auto"/>
        <w:ind w:left="284" w:right="677" w:firstLine="709"/>
        <w:jc w:val="both"/>
        <w:rPr>
          <w:rFonts w:ascii="Times New Roman" w:hAnsi="Times New Roman" w:cs="Times New Roman"/>
          <w:sz w:val="24"/>
          <w:szCs w:val="24"/>
        </w:rPr>
      </w:pPr>
      <w:r>
        <w:rPr>
          <w:rFonts w:ascii="Times New Roman" w:hAnsi="Times New Roman" w:cs="Times New Roman"/>
          <w:sz w:val="24"/>
          <w:szCs w:val="24"/>
        </w:rPr>
        <w:t xml:space="preserve">MH </w:t>
      </w:r>
      <w:r w:rsidR="00DB10E8" w:rsidRPr="009D2BC6">
        <w:rPr>
          <w:rFonts w:ascii="Times New Roman" w:hAnsi="Times New Roman" w:cs="Times New Roman"/>
          <w:sz w:val="24"/>
          <w:szCs w:val="24"/>
        </w:rPr>
        <w:t>SR nasledovne:</w:t>
      </w:r>
    </w:p>
    <w:p w:rsidR="00DB10E8" w:rsidRPr="009D2BC6" w:rsidRDefault="007A2265" w:rsidP="007A2265">
      <w:pPr>
        <w:pStyle w:val="Odsekzoznamu"/>
        <w:spacing w:after="0" w:line="240" w:lineRule="auto"/>
        <w:ind w:left="0"/>
        <w:jc w:val="center"/>
        <w:rPr>
          <w:rFonts w:ascii="Times New Roman" w:eastAsia="Times New Roman" w:hAnsi="Times New Roman" w:cs="Times New Roman"/>
          <w:sz w:val="16"/>
          <w:szCs w:val="16"/>
          <w:lang w:eastAsia="sk-SK"/>
        </w:rPr>
      </w:pPr>
      <w:r w:rsidRPr="009D2BC6">
        <w:rPr>
          <w:rFonts w:ascii="Times New Roman" w:eastAsia="Times New Roman" w:hAnsi="Times New Roman" w:cs="Times New Roman"/>
          <w:sz w:val="16"/>
          <w:szCs w:val="16"/>
          <w:lang w:eastAsia="sk-SK"/>
        </w:rPr>
        <w:t xml:space="preserve">                                                                                                                                                                                                                                                                          </w:t>
      </w:r>
      <w:r w:rsidR="00D24F2E">
        <w:rPr>
          <w:rFonts w:ascii="Times New Roman" w:eastAsia="Times New Roman" w:hAnsi="Times New Roman" w:cs="Times New Roman"/>
          <w:sz w:val="16"/>
          <w:szCs w:val="16"/>
          <w:lang w:eastAsia="sk-SK"/>
        </w:rPr>
        <w:t>v e</w:t>
      </w:r>
      <w:r w:rsidRPr="009D2BC6">
        <w:rPr>
          <w:rFonts w:ascii="Times New Roman" w:eastAsia="Times New Roman" w:hAnsi="Times New Roman" w:cs="Times New Roman"/>
          <w:sz w:val="16"/>
          <w:szCs w:val="16"/>
          <w:lang w:eastAsia="sk-SK"/>
        </w:rPr>
        <w:t>ur</w:t>
      </w:r>
    </w:p>
    <w:tbl>
      <w:tblPr>
        <w:tblW w:w="13993" w:type="dxa"/>
        <w:tblInd w:w="354" w:type="dxa"/>
        <w:tblCellMar>
          <w:left w:w="70" w:type="dxa"/>
          <w:right w:w="70" w:type="dxa"/>
        </w:tblCellMar>
        <w:tblLook w:val="04A0" w:firstRow="1" w:lastRow="0" w:firstColumn="1" w:lastColumn="0" w:noHBand="0" w:noVBand="1"/>
      </w:tblPr>
      <w:tblGrid>
        <w:gridCol w:w="1701"/>
        <w:gridCol w:w="1265"/>
        <w:gridCol w:w="1175"/>
        <w:gridCol w:w="1134"/>
        <w:gridCol w:w="1085"/>
        <w:gridCol w:w="1175"/>
        <w:gridCol w:w="1265"/>
        <w:gridCol w:w="916"/>
        <w:gridCol w:w="976"/>
        <w:gridCol w:w="850"/>
        <w:gridCol w:w="1265"/>
        <w:gridCol w:w="1276"/>
      </w:tblGrid>
      <w:tr w:rsidR="00D7471D" w:rsidRPr="007F40C5" w:rsidTr="00502C27">
        <w:trPr>
          <w:trHeight w:val="300"/>
        </w:trPr>
        <w:tc>
          <w:tcPr>
            <w:tcW w:w="1701" w:type="dxa"/>
            <w:tcBorders>
              <w:top w:val="single" w:sz="8" w:space="0" w:color="auto"/>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 </w:t>
            </w:r>
          </w:p>
        </w:tc>
        <w:tc>
          <w:tcPr>
            <w:tcW w:w="1175" w:type="dxa"/>
            <w:tcBorders>
              <w:top w:val="single" w:sz="8" w:space="0" w:color="auto"/>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200</w:t>
            </w:r>
          </w:p>
        </w:tc>
        <w:tc>
          <w:tcPr>
            <w:tcW w:w="117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210</w:t>
            </w:r>
          </w:p>
        </w:tc>
        <w:tc>
          <w:tcPr>
            <w:tcW w:w="1134"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220</w:t>
            </w:r>
          </w:p>
        </w:tc>
        <w:tc>
          <w:tcPr>
            <w:tcW w:w="108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230</w:t>
            </w:r>
          </w:p>
        </w:tc>
        <w:tc>
          <w:tcPr>
            <w:tcW w:w="117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290</w:t>
            </w:r>
          </w:p>
        </w:tc>
        <w:tc>
          <w:tcPr>
            <w:tcW w:w="1265" w:type="dxa"/>
            <w:tcBorders>
              <w:top w:val="single" w:sz="8" w:space="0" w:color="auto"/>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300</w:t>
            </w:r>
          </w:p>
        </w:tc>
        <w:tc>
          <w:tcPr>
            <w:tcW w:w="916"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310</w:t>
            </w:r>
          </w:p>
        </w:tc>
        <w:tc>
          <w:tcPr>
            <w:tcW w:w="976"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320</w:t>
            </w:r>
          </w:p>
        </w:tc>
        <w:tc>
          <w:tcPr>
            <w:tcW w:w="850" w:type="dxa"/>
            <w:tcBorders>
              <w:top w:val="single" w:sz="8" w:space="0" w:color="auto"/>
              <w:left w:val="nil"/>
              <w:bottom w:val="nil"/>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330</w:t>
            </w:r>
          </w:p>
        </w:tc>
        <w:tc>
          <w:tcPr>
            <w:tcW w:w="1265"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340</w:t>
            </w:r>
          </w:p>
        </w:tc>
        <w:tc>
          <w:tcPr>
            <w:tcW w:w="1276" w:type="dxa"/>
            <w:tcBorders>
              <w:top w:val="single" w:sz="8" w:space="0" w:color="auto"/>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Ú  h  r   n</w:t>
            </w:r>
          </w:p>
        </w:tc>
      </w:tr>
      <w:tr w:rsidR="00D7471D" w:rsidRPr="007F40C5" w:rsidTr="00502C27">
        <w:trPr>
          <w:trHeight w:val="128"/>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Nedaňové</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Príjmy z</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proofErr w:type="spellStart"/>
            <w:r w:rsidRPr="007F40C5">
              <w:rPr>
                <w:rFonts w:ascii="Times New Roman" w:eastAsia="Times New Roman" w:hAnsi="Times New Roman" w:cs="Times New Roman"/>
                <w:b/>
                <w:bCs/>
                <w:sz w:val="18"/>
                <w:szCs w:val="18"/>
                <w:lang w:eastAsia="sk-SK"/>
              </w:rPr>
              <w:t>Administr</w:t>
            </w:r>
            <w:proofErr w:type="spellEnd"/>
            <w:r w:rsidRPr="007F40C5">
              <w:rPr>
                <w:rFonts w:ascii="Times New Roman" w:eastAsia="Times New Roman" w:hAnsi="Times New Roman" w:cs="Times New Roman"/>
                <w:b/>
                <w:bCs/>
                <w:sz w:val="18"/>
                <w:szCs w:val="18"/>
                <w:lang w:eastAsia="sk-SK"/>
              </w:rPr>
              <w:t>.</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Kapitál.</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Iné</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Granty</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Bežné a</w:t>
            </w:r>
          </w:p>
        </w:tc>
        <w:tc>
          <w:tcPr>
            <w:tcW w:w="9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Tuzemské</w:t>
            </w:r>
          </w:p>
        </w:tc>
        <w:tc>
          <w:tcPr>
            <w:tcW w:w="850"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proofErr w:type="spellStart"/>
            <w:r w:rsidRPr="007F40C5">
              <w:rPr>
                <w:rFonts w:ascii="Times New Roman" w:eastAsia="Times New Roman" w:hAnsi="Times New Roman" w:cs="Times New Roman"/>
                <w:b/>
                <w:bCs/>
                <w:sz w:val="18"/>
                <w:szCs w:val="18"/>
                <w:lang w:eastAsia="sk-SK"/>
              </w:rPr>
              <w:t>Zahr</w:t>
            </w:r>
            <w:proofErr w:type="spellEnd"/>
            <w:r w:rsidRPr="007F40C5">
              <w:rPr>
                <w:rFonts w:ascii="Times New Roman" w:eastAsia="Times New Roman" w:hAnsi="Times New Roman" w:cs="Times New Roman"/>
                <w:b/>
                <w:bCs/>
                <w:sz w:val="18"/>
                <w:szCs w:val="18"/>
                <w:lang w:eastAsia="sk-SK"/>
              </w:rPr>
              <w:t>.</w:t>
            </w:r>
          </w:p>
        </w:tc>
        <w:tc>
          <w:tcPr>
            <w:tcW w:w="126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proofErr w:type="spellStart"/>
            <w:r w:rsidRPr="007F40C5">
              <w:rPr>
                <w:rFonts w:ascii="Times New Roman" w:eastAsia="Times New Roman" w:hAnsi="Times New Roman" w:cs="Times New Roman"/>
                <w:b/>
                <w:bCs/>
                <w:sz w:val="18"/>
                <w:szCs w:val="18"/>
                <w:lang w:eastAsia="sk-SK"/>
              </w:rPr>
              <w:t>Zahran</w:t>
            </w:r>
            <w:proofErr w:type="spellEnd"/>
            <w:r w:rsidRPr="007F40C5">
              <w:rPr>
                <w:rFonts w:ascii="Times New Roman" w:eastAsia="Times New Roman" w:hAnsi="Times New Roman" w:cs="Times New Roman"/>
                <w:b/>
                <w:bCs/>
                <w:sz w:val="18"/>
                <w:szCs w:val="18"/>
                <w:lang w:eastAsia="sk-SK"/>
              </w:rPr>
              <w:t>.</w:t>
            </w:r>
          </w:p>
        </w:tc>
        <w:tc>
          <w:tcPr>
            <w:tcW w:w="12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r>
      <w:tr w:rsidR="00D7471D" w:rsidRPr="007F40C5" w:rsidTr="00502C27">
        <w:trPr>
          <w:trHeight w:val="229"/>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jc w:val="right"/>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single" w:sz="8" w:space="0" w:color="auto"/>
              <w:bottom w:val="nil"/>
              <w:right w:val="single" w:sz="8" w:space="0" w:color="auto"/>
            </w:tcBorders>
            <w:shd w:val="clear" w:color="000000" w:fill="FFFFFF"/>
            <w:noWrap/>
            <w:vAlign w:val="bottom"/>
            <w:hideMark/>
          </w:tcPr>
          <w:p w:rsidR="00B22B63" w:rsidRPr="007F40C5" w:rsidRDefault="00BA5948"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w:t>
            </w:r>
            <w:r w:rsidR="00B22B63" w:rsidRPr="007F40C5">
              <w:rPr>
                <w:rFonts w:ascii="Times New Roman" w:eastAsia="Times New Roman" w:hAnsi="Times New Roman" w:cs="Times New Roman"/>
                <w:b/>
                <w:bCs/>
                <w:sz w:val="18"/>
                <w:szCs w:val="18"/>
                <w:lang w:eastAsia="sk-SK"/>
              </w:rPr>
              <w:t>ríjmy</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proofErr w:type="spellStart"/>
            <w:r w:rsidRPr="007F40C5">
              <w:rPr>
                <w:rFonts w:ascii="Times New Roman" w:eastAsia="Times New Roman" w:hAnsi="Times New Roman" w:cs="Times New Roman"/>
                <w:b/>
                <w:bCs/>
                <w:sz w:val="18"/>
                <w:szCs w:val="18"/>
                <w:lang w:eastAsia="sk-SK"/>
              </w:rPr>
              <w:t>podn.a</w:t>
            </w:r>
            <w:proofErr w:type="spellEnd"/>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xml:space="preserve">a iné </w:t>
            </w:r>
            <w:proofErr w:type="spellStart"/>
            <w:r w:rsidRPr="007F40C5">
              <w:rPr>
                <w:rFonts w:ascii="Times New Roman" w:eastAsia="Times New Roman" w:hAnsi="Times New Roman" w:cs="Times New Roman"/>
                <w:b/>
                <w:bCs/>
                <w:sz w:val="18"/>
                <w:szCs w:val="18"/>
                <w:lang w:eastAsia="sk-SK"/>
              </w:rPr>
              <w:t>popl</w:t>
            </w:r>
            <w:proofErr w:type="spellEnd"/>
            <w:r w:rsidRPr="007F40C5">
              <w:rPr>
                <w:rFonts w:ascii="Times New Roman" w:eastAsia="Times New Roman" w:hAnsi="Times New Roman" w:cs="Times New Roman"/>
                <w:b/>
                <w:bCs/>
                <w:sz w:val="18"/>
                <w:szCs w:val="18"/>
                <w:lang w:eastAsia="sk-SK"/>
              </w:rPr>
              <w:t>.</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príjmy</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nedaňové</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a</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všeob.</w:t>
            </w:r>
          </w:p>
        </w:tc>
        <w:tc>
          <w:tcPr>
            <w:tcW w:w="9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kapitál.</w:t>
            </w:r>
          </w:p>
        </w:tc>
        <w:tc>
          <w:tcPr>
            <w:tcW w:w="850" w:type="dxa"/>
            <w:tcBorders>
              <w:top w:val="nil"/>
              <w:left w:val="nil"/>
              <w:bottom w:val="nil"/>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granty</w:t>
            </w:r>
          </w:p>
        </w:tc>
        <w:tc>
          <w:tcPr>
            <w:tcW w:w="126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transfery</w:t>
            </w:r>
          </w:p>
        </w:tc>
        <w:tc>
          <w:tcPr>
            <w:tcW w:w="12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stĺpce:</w:t>
            </w:r>
          </w:p>
        </w:tc>
      </w:tr>
      <w:tr w:rsidR="00D7471D" w:rsidRPr="007F40C5" w:rsidTr="00502C27">
        <w:trPr>
          <w:trHeight w:val="161"/>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xml:space="preserve">z </w:t>
            </w:r>
            <w:proofErr w:type="spellStart"/>
            <w:r w:rsidRPr="007F40C5">
              <w:rPr>
                <w:rFonts w:ascii="Times New Roman" w:eastAsia="Times New Roman" w:hAnsi="Times New Roman" w:cs="Times New Roman"/>
                <w:b/>
                <w:bCs/>
                <w:sz w:val="18"/>
                <w:szCs w:val="18"/>
                <w:lang w:eastAsia="sk-SK"/>
              </w:rPr>
              <w:t>vlast</w:t>
            </w:r>
            <w:proofErr w:type="spellEnd"/>
            <w:r w:rsidRPr="007F40C5">
              <w:rPr>
                <w:rFonts w:ascii="Times New Roman" w:eastAsia="Times New Roman" w:hAnsi="Times New Roman" w:cs="Times New Roman"/>
                <w:b/>
                <w:bCs/>
                <w:sz w:val="18"/>
                <w:szCs w:val="18"/>
                <w:lang w:eastAsia="sk-SK"/>
              </w:rPr>
              <w:t>.</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a platby</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príjmy</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transfery</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granty</w:t>
            </w:r>
          </w:p>
        </w:tc>
        <w:tc>
          <w:tcPr>
            <w:tcW w:w="9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xml:space="preserve">granty a </w:t>
            </w:r>
          </w:p>
        </w:tc>
        <w:tc>
          <w:tcPr>
            <w:tcW w:w="850" w:type="dxa"/>
            <w:tcBorders>
              <w:top w:val="nil"/>
              <w:left w:val="nil"/>
              <w:bottom w:val="nil"/>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76" w:type="dxa"/>
            <w:tcBorders>
              <w:top w:val="nil"/>
              <w:left w:val="nil"/>
              <w:bottom w:val="nil"/>
              <w:right w:val="single" w:sz="8" w:space="0" w:color="auto"/>
            </w:tcBorders>
            <w:shd w:val="clear" w:color="000000" w:fill="FFFFFF"/>
            <w:noWrap/>
            <w:vAlign w:val="bottom"/>
            <w:hideMark/>
          </w:tcPr>
          <w:p w:rsidR="00B22B63" w:rsidRPr="00F304CE" w:rsidRDefault="00B22B63" w:rsidP="005B08AD">
            <w:pPr>
              <w:spacing w:after="0" w:line="240" w:lineRule="auto"/>
              <w:jc w:val="center"/>
              <w:rPr>
                <w:rFonts w:ascii="Times New Roman" w:eastAsia="Times New Roman" w:hAnsi="Times New Roman" w:cs="Times New Roman"/>
                <w:b/>
                <w:bCs/>
                <w:color w:val="FF0000"/>
                <w:sz w:val="18"/>
                <w:szCs w:val="18"/>
                <w:lang w:eastAsia="sk-SK"/>
              </w:rPr>
            </w:pPr>
            <w:r w:rsidRPr="005B08AD">
              <w:rPr>
                <w:rFonts w:ascii="Times New Roman" w:eastAsia="Times New Roman" w:hAnsi="Times New Roman" w:cs="Times New Roman"/>
                <w:b/>
                <w:bCs/>
                <w:sz w:val="18"/>
                <w:szCs w:val="18"/>
                <w:lang w:eastAsia="sk-SK"/>
              </w:rPr>
              <w:t>2+</w:t>
            </w:r>
            <w:r w:rsidR="005B08AD" w:rsidRPr="005B08AD">
              <w:rPr>
                <w:rFonts w:ascii="Times New Roman" w:eastAsia="Times New Roman" w:hAnsi="Times New Roman" w:cs="Times New Roman"/>
                <w:b/>
                <w:bCs/>
                <w:sz w:val="18"/>
                <w:szCs w:val="18"/>
                <w:lang w:eastAsia="sk-SK"/>
              </w:rPr>
              <w:t>7</w:t>
            </w:r>
          </w:p>
        </w:tc>
      </w:tr>
      <w:tr w:rsidR="00D7471D" w:rsidRPr="007F40C5" w:rsidTr="00502C27">
        <w:trPr>
          <w:trHeight w:val="108"/>
        </w:trPr>
        <w:tc>
          <w:tcPr>
            <w:tcW w:w="1701" w:type="dxa"/>
            <w:tcBorders>
              <w:top w:val="nil"/>
              <w:left w:val="single" w:sz="8" w:space="0" w:color="auto"/>
              <w:bottom w:val="nil"/>
              <w:right w:val="nil"/>
            </w:tcBorders>
            <w:shd w:val="clear" w:color="000000" w:fill="FFFFFF"/>
            <w:noWrap/>
            <w:vAlign w:val="bottom"/>
            <w:hideMark/>
          </w:tcPr>
          <w:p w:rsidR="00B22B63" w:rsidRPr="007F40C5" w:rsidRDefault="00B22B63"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 </w:t>
            </w:r>
          </w:p>
        </w:tc>
        <w:tc>
          <w:tcPr>
            <w:tcW w:w="1175" w:type="dxa"/>
            <w:tcBorders>
              <w:top w:val="nil"/>
              <w:left w:val="single" w:sz="8" w:space="0" w:color="auto"/>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majetku</w:t>
            </w:r>
          </w:p>
        </w:tc>
        <w:tc>
          <w:tcPr>
            <w:tcW w:w="1134"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08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175"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nil"/>
              <w:bottom w:val="nil"/>
              <w:right w:val="single" w:sz="8" w:space="0" w:color="auto"/>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 </w:t>
            </w:r>
          </w:p>
        </w:tc>
        <w:tc>
          <w:tcPr>
            <w:tcW w:w="91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976" w:type="dxa"/>
            <w:tcBorders>
              <w:top w:val="nil"/>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proofErr w:type="spellStart"/>
            <w:r w:rsidRPr="007F40C5">
              <w:rPr>
                <w:rFonts w:ascii="Times New Roman" w:eastAsia="Times New Roman" w:hAnsi="Times New Roman" w:cs="Times New Roman"/>
                <w:b/>
                <w:bCs/>
                <w:sz w:val="18"/>
                <w:szCs w:val="18"/>
                <w:lang w:eastAsia="sk-SK"/>
              </w:rPr>
              <w:t>transf</w:t>
            </w:r>
            <w:proofErr w:type="spellEnd"/>
            <w:r w:rsidRPr="007F40C5">
              <w:rPr>
                <w:rFonts w:ascii="Times New Roman" w:eastAsia="Times New Roman" w:hAnsi="Times New Roman" w:cs="Times New Roman"/>
                <w:b/>
                <w:bCs/>
                <w:sz w:val="18"/>
                <w:szCs w:val="18"/>
                <w:lang w:eastAsia="sk-SK"/>
              </w:rPr>
              <w:t>.</w:t>
            </w:r>
          </w:p>
        </w:tc>
        <w:tc>
          <w:tcPr>
            <w:tcW w:w="850" w:type="dxa"/>
            <w:tcBorders>
              <w:top w:val="nil"/>
              <w:left w:val="nil"/>
              <w:bottom w:val="single" w:sz="8" w:space="0" w:color="auto"/>
              <w:right w:val="single" w:sz="8" w:space="0" w:color="auto"/>
            </w:tcBorders>
            <w:shd w:val="clear" w:color="000000" w:fill="FFFFFF"/>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65" w:type="dxa"/>
            <w:tcBorders>
              <w:top w:val="nil"/>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c>
          <w:tcPr>
            <w:tcW w:w="1276" w:type="dxa"/>
            <w:tcBorders>
              <w:top w:val="nil"/>
              <w:left w:val="nil"/>
              <w:bottom w:val="nil"/>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 </w:t>
            </w:r>
          </w:p>
        </w:tc>
      </w:tr>
      <w:tr w:rsidR="00D7471D" w:rsidRPr="007F40C5" w:rsidTr="00502C27">
        <w:trPr>
          <w:trHeight w:val="315"/>
        </w:trPr>
        <w:tc>
          <w:tcPr>
            <w:tcW w:w="1701" w:type="dxa"/>
            <w:tcBorders>
              <w:top w:val="single" w:sz="8" w:space="0" w:color="auto"/>
              <w:left w:val="single" w:sz="8" w:space="0" w:color="auto"/>
              <w:bottom w:val="single" w:sz="8" w:space="0" w:color="auto"/>
              <w:right w:val="nil"/>
            </w:tcBorders>
            <w:shd w:val="clear" w:color="000000" w:fill="FFFFFF"/>
            <w:noWrap/>
            <w:vAlign w:val="bottom"/>
            <w:hideMark/>
          </w:tcPr>
          <w:p w:rsidR="00B22B63" w:rsidRPr="007F40C5" w:rsidRDefault="003E4DCE"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w:t>
            </w:r>
            <w:r w:rsidR="00B22B63" w:rsidRPr="007F40C5">
              <w:rPr>
                <w:rFonts w:ascii="Times New Roman" w:eastAsia="Times New Roman" w:hAnsi="Times New Roman" w:cs="Times New Roman"/>
                <w:b/>
                <w:bCs/>
                <w:sz w:val="18"/>
                <w:szCs w:val="18"/>
                <w:lang w:eastAsia="sk-SK"/>
              </w:rPr>
              <w:t> </w:t>
            </w:r>
          </w:p>
        </w:tc>
        <w:tc>
          <w:tcPr>
            <w:tcW w:w="1175"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2</w:t>
            </w:r>
          </w:p>
        </w:tc>
        <w:tc>
          <w:tcPr>
            <w:tcW w:w="1175" w:type="dxa"/>
            <w:tcBorders>
              <w:top w:val="single" w:sz="8" w:space="0" w:color="auto"/>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3</w:t>
            </w:r>
          </w:p>
        </w:tc>
        <w:tc>
          <w:tcPr>
            <w:tcW w:w="1134" w:type="dxa"/>
            <w:tcBorders>
              <w:top w:val="single" w:sz="8" w:space="0" w:color="auto"/>
              <w:left w:val="nil"/>
              <w:bottom w:val="single" w:sz="8" w:space="0" w:color="auto"/>
              <w:right w:val="single" w:sz="8" w:space="0" w:color="auto"/>
            </w:tcBorders>
            <w:shd w:val="clear" w:color="000000" w:fill="FFFFFF"/>
            <w:noWrap/>
            <w:vAlign w:val="bottom"/>
            <w:hideMark/>
          </w:tcPr>
          <w:p w:rsidR="00B22B63" w:rsidRPr="00C95170" w:rsidRDefault="00B22B63" w:rsidP="00B22B63">
            <w:pPr>
              <w:spacing w:after="0" w:line="240" w:lineRule="auto"/>
              <w:jc w:val="center"/>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4</w:t>
            </w:r>
          </w:p>
        </w:tc>
        <w:tc>
          <w:tcPr>
            <w:tcW w:w="1085" w:type="dxa"/>
            <w:tcBorders>
              <w:top w:val="single" w:sz="8" w:space="0" w:color="auto"/>
              <w:left w:val="nil"/>
              <w:bottom w:val="single" w:sz="8" w:space="0" w:color="auto"/>
              <w:right w:val="nil"/>
            </w:tcBorders>
            <w:shd w:val="clear" w:color="000000" w:fill="FFFFFF"/>
            <w:noWrap/>
            <w:vAlign w:val="bottom"/>
            <w:hideMark/>
          </w:tcPr>
          <w:p w:rsidR="00B22B63" w:rsidRPr="00C95170" w:rsidRDefault="00B22B63" w:rsidP="00B22B63">
            <w:pPr>
              <w:spacing w:after="0" w:line="240" w:lineRule="auto"/>
              <w:jc w:val="center"/>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5</w:t>
            </w:r>
          </w:p>
        </w:tc>
        <w:tc>
          <w:tcPr>
            <w:tcW w:w="1175"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22B63" w:rsidRPr="00C95170" w:rsidRDefault="00B22B63" w:rsidP="00B22B63">
            <w:pPr>
              <w:spacing w:after="0" w:line="240" w:lineRule="auto"/>
              <w:jc w:val="center"/>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6</w:t>
            </w:r>
          </w:p>
        </w:tc>
        <w:tc>
          <w:tcPr>
            <w:tcW w:w="1265" w:type="dxa"/>
            <w:tcBorders>
              <w:top w:val="single" w:sz="8" w:space="0" w:color="auto"/>
              <w:left w:val="nil"/>
              <w:bottom w:val="single" w:sz="8" w:space="0" w:color="auto"/>
              <w:right w:val="nil"/>
            </w:tcBorders>
            <w:shd w:val="clear" w:color="000000" w:fill="FFFFFF"/>
            <w:noWrap/>
            <w:vAlign w:val="bottom"/>
            <w:hideMark/>
          </w:tcPr>
          <w:p w:rsidR="00B22B63" w:rsidRPr="00502C27" w:rsidRDefault="00B22B63" w:rsidP="00B22B63">
            <w:pPr>
              <w:spacing w:after="0" w:line="240" w:lineRule="auto"/>
              <w:jc w:val="center"/>
              <w:rPr>
                <w:rFonts w:ascii="Times New Roman" w:eastAsia="Times New Roman" w:hAnsi="Times New Roman" w:cs="Times New Roman"/>
                <w:b/>
                <w:bCs/>
                <w:sz w:val="18"/>
                <w:szCs w:val="18"/>
                <w:lang w:eastAsia="sk-SK"/>
              </w:rPr>
            </w:pPr>
            <w:r w:rsidRPr="00502C27">
              <w:rPr>
                <w:rFonts w:ascii="Times New Roman" w:eastAsia="Times New Roman" w:hAnsi="Times New Roman" w:cs="Times New Roman"/>
                <w:b/>
                <w:bCs/>
                <w:sz w:val="18"/>
                <w:szCs w:val="18"/>
                <w:lang w:eastAsia="sk-SK"/>
              </w:rPr>
              <w:t>7</w:t>
            </w:r>
          </w:p>
        </w:tc>
        <w:tc>
          <w:tcPr>
            <w:tcW w:w="916"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8</w:t>
            </w:r>
          </w:p>
        </w:tc>
        <w:tc>
          <w:tcPr>
            <w:tcW w:w="976" w:type="dxa"/>
            <w:tcBorders>
              <w:top w:val="nil"/>
              <w:left w:val="nil"/>
              <w:bottom w:val="single" w:sz="8" w:space="0" w:color="auto"/>
              <w:right w:val="nil"/>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9</w:t>
            </w:r>
          </w:p>
        </w:tc>
        <w:tc>
          <w:tcPr>
            <w:tcW w:w="850" w:type="dxa"/>
            <w:tcBorders>
              <w:top w:val="nil"/>
              <w:left w:val="single" w:sz="8" w:space="0" w:color="auto"/>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10</w:t>
            </w:r>
          </w:p>
        </w:tc>
        <w:tc>
          <w:tcPr>
            <w:tcW w:w="1265" w:type="dxa"/>
            <w:tcBorders>
              <w:top w:val="nil"/>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11</w:t>
            </w:r>
          </w:p>
        </w:tc>
        <w:tc>
          <w:tcPr>
            <w:tcW w:w="1276" w:type="dxa"/>
            <w:tcBorders>
              <w:top w:val="single" w:sz="8" w:space="0" w:color="auto"/>
              <w:left w:val="nil"/>
              <w:bottom w:val="single" w:sz="8" w:space="0" w:color="auto"/>
              <w:right w:val="single" w:sz="8" w:space="0" w:color="auto"/>
            </w:tcBorders>
            <w:shd w:val="clear" w:color="000000" w:fill="FFFFFF"/>
            <w:noWrap/>
            <w:vAlign w:val="bottom"/>
            <w:hideMark/>
          </w:tcPr>
          <w:p w:rsidR="00B22B63" w:rsidRPr="007F40C5" w:rsidRDefault="00B22B63" w:rsidP="00B22B63">
            <w:pPr>
              <w:spacing w:after="0" w:line="240" w:lineRule="auto"/>
              <w:jc w:val="center"/>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12</w:t>
            </w:r>
          </w:p>
        </w:tc>
      </w:tr>
      <w:tr w:rsidR="00D7471D" w:rsidRPr="007F40C5" w:rsidTr="00502C27">
        <w:trPr>
          <w:trHeight w:val="315"/>
        </w:trPr>
        <w:tc>
          <w:tcPr>
            <w:tcW w:w="1701" w:type="dxa"/>
            <w:tcBorders>
              <w:top w:val="nil"/>
              <w:left w:val="single" w:sz="8" w:space="0" w:color="auto"/>
              <w:bottom w:val="single" w:sz="4" w:space="0" w:color="auto"/>
              <w:right w:val="single" w:sz="4" w:space="0" w:color="auto"/>
            </w:tcBorders>
            <w:shd w:val="clear" w:color="000000" w:fill="FFFFFF"/>
            <w:noWrap/>
            <w:vAlign w:val="bottom"/>
            <w:hideMark/>
          </w:tcPr>
          <w:p w:rsidR="00D122ED" w:rsidRPr="007F40C5" w:rsidRDefault="00D122ED"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Puncový úrad SR</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372F56" w:rsidRDefault="00D122ED" w:rsidP="00A8681F">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640 536,19</w:t>
            </w:r>
          </w:p>
        </w:tc>
        <w:tc>
          <w:tcPr>
            <w:tcW w:w="1175"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1134" w:type="dxa"/>
            <w:tcBorders>
              <w:top w:val="nil"/>
              <w:left w:val="single" w:sz="8" w:space="0" w:color="auto"/>
              <w:bottom w:val="single" w:sz="4" w:space="0" w:color="auto"/>
              <w:right w:val="single" w:sz="8" w:space="0" w:color="auto"/>
            </w:tcBorders>
            <w:shd w:val="clear" w:color="auto" w:fill="auto"/>
            <w:noWrap/>
            <w:vAlign w:val="bottom"/>
          </w:tcPr>
          <w:p w:rsidR="00D122ED" w:rsidRPr="00C95170" w:rsidRDefault="004276B7" w:rsidP="00C1154D">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637 708,96</w:t>
            </w:r>
          </w:p>
        </w:tc>
        <w:tc>
          <w:tcPr>
            <w:tcW w:w="1085" w:type="dxa"/>
            <w:tcBorders>
              <w:top w:val="nil"/>
              <w:left w:val="nil"/>
              <w:bottom w:val="single" w:sz="4" w:space="0" w:color="auto"/>
              <w:right w:val="nil"/>
            </w:tcBorders>
            <w:shd w:val="clear" w:color="auto" w:fill="auto"/>
            <w:noWrap/>
            <w:vAlign w:val="bottom"/>
          </w:tcPr>
          <w:p w:rsidR="00D122ED" w:rsidRPr="00C95170" w:rsidRDefault="00D122ED" w:rsidP="00A8681F">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0,00</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C95170" w:rsidRDefault="004276B7" w:rsidP="00C1154D">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2 827,23</w:t>
            </w:r>
          </w:p>
        </w:tc>
        <w:tc>
          <w:tcPr>
            <w:tcW w:w="1265" w:type="dxa"/>
            <w:tcBorders>
              <w:top w:val="nil"/>
              <w:left w:val="nil"/>
              <w:bottom w:val="single" w:sz="4" w:space="0" w:color="auto"/>
              <w:right w:val="nil"/>
            </w:tcBorders>
            <w:shd w:val="clear" w:color="auto" w:fill="auto"/>
            <w:noWrap/>
            <w:vAlign w:val="bottom"/>
          </w:tcPr>
          <w:p w:rsidR="00D122ED" w:rsidRPr="00502C27" w:rsidRDefault="00D122ED" w:rsidP="00A8681F">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0,00</w:t>
            </w:r>
          </w:p>
        </w:tc>
        <w:tc>
          <w:tcPr>
            <w:tcW w:w="916" w:type="dxa"/>
            <w:tcBorders>
              <w:top w:val="nil"/>
              <w:left w:val="single" w:sz="8" w:space="0" w:color="auto"/>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976"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1265" w:type="dxa"/>
            <w:tcBorders>
              <w:top w:val="nil"/>
              <w:left w:val="nil"/>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1276" w:type="dxa"/>
            <w:tcBorders>
              <w:top w:val="nil"/>
              <w:left w:val="nil"/>
              <w:bottom w:val="single" w:sz="4" w:space="0" w:color="auto"/>
              <w:right w:val="single" w:sz="8" w:space="0" w:color="auto"/>
            </w:tcBorders>
            <w:shd w:val="clear" w:color="auto" w:fill="auto"/>
            <w:noWrap/>
            <w:vAlign w:val="bottom"/>
          </w:tcPr>
          <w:p w:rsidR="00D122ED" w:rsidRPr="00372F56" w:rsidRDefault="00D122ED" w:rsidP="00D2660A">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640 536,19</w:t>
            </w:r>
          </w:p>
        </w:tc>
      </w:tr>
      <w:tr w:rsidR="00D7471D" w:rsidRPr="007F40C5" w:rsidTr="00502C27">
        <w:trPr>
          <w:trHeight w:val="315"/>
        </w:trPr>
        <w:tc>
          <w:tcPr>
            <w:tcW w:w="1701" w:type="dxa"/>
            <w:tcBorders>
              <w:top w:val="nil"/>
              <w:left w:val="single" w:sz="8" w:space="0" w:color="auto"/>
              <w:bottom w:val="single" w:sz="4" w:space="0" w:color="auto"/>
              <w:right w:val="single" w:sz="4" w:space="0" w:color="auto"/>
            </w:tcBorders>
            <w:shd w:val="clear" w:color="000000" w:fill="FFFFFF"/>
            <w:noWrap/>
            <w:vAlign w:val="bottom"/>
            <w:hideMark/>
          </w:tcPr>
          <w:p w:rsidR="00D122ED" w:rsidRPr="007F40C5" w:rsidRDefault="00D122ED"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Slovenská obchodná inšpekcia</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372F56" w:rsidRDefault="00D122ED" w:rsidP="00A8681F">
            <w:pPr>
              <w:spacing w:after="0" w:line="240" w:lineRule="auto"/>
              <w:jc w:val="right"/>
              <w:rPr>
                <w:rFonts w:ascii="Times New Roman" w:eastAsia="Times New Roman" w:hAnsi="Times New Roman" w:cs="Times New Roman"/>
                <w:b/>
                <w:sz w:val="18"/>
                <w:szCs w:val="18"/>
                <w:lang w:eastAsia="sk-SK"/>
              </w:rPr>
            </w:pPr>
            <w:r w:rsidRPr="00372F56">
              <w:rPr>
                <w:rFonts w:ascii="Times New Roman" w:eastAsia="Times New Roman" w:hAnsi="Times New Roman" w:cs="Times New Roman"/>
                <w:b/>
                <w:sz w:val="18"/>
                <w:szCs w:val="18"/>
                <w:lang w:eastAsia="sk-SK"/>
              </w:rPr>
              <w:t>1 871 690,98</w:t>
            </w:r>
          </w:p>
        </w:tc>
        <w:tc>
          <w:tcPr>
            <w:tcW w:w="1175"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11 599,02</w:t>
            </w:r>
          </w:p>
        </w:tc>
        <w:tc>
          <w:tcPr>
            <w:tcW w:w="1134" w:type="dxa"/>
            <w:tcBorders>
              <w:top w:val="nil"/>
              <w:left w:val="single" w:sz="8" w:space="0" w:color="auto"/>
              <w:bottom w:val="single" w:sz="4" w:space="0" w:color="auto"/>
              <w:right w:val="single" w:sz="8" w:space="0" w:color="auto"/>
            </w:tcBorders>
            <w:shd w:val="clear" w:color="auto" w:fill="auto"/>
            <w:noWrap/>
            <w:vAlign w:val="bottom"/>
          </w:tcPr>
          <w:p w:rsidR="00D122ED" w:rsidRPr="00C95170" w:rsidRDefault="00D122ED" w:rsidP="00A8681F">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1 806 976,92</w:t>
            </w:r>
          </w:p>
        </w:tc>
        <w:tc>
          <w:tcPr>
            <w:tcW w:w="1085"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8 311,00</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C95170" w:rsidRDefault="00D122ED" w:rsidP="00A8681F">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44 804,04</w:t>
            </w:r>
          </w:p>
        </w:tc>
        <w:tc>
          <w:tcPr>
            <w:tcW w:w="1265" w:type="dxa"/>
            <w:tcBorders>
              <w:top w:val="nil"/>
              <w:left w:val="nil"/>
              <w:bottom w:val="single" w:sz="4" w:space="0" w:color="auto"/>
              <w:right w:val="nil"/>
            </w:tcBorders>
            <w:shd w:val="clear" w:color="auto" w:fill="auto"/>
            <w:noWrap/>
            <w:vAlign w:val="bottom"/>
          </w:tcPr>
          <w:p w:rsidR="00D122ED" w:rsidRPr="00502C27" w:rsidRDefault="00D122ED" w:rsidP="007337F1">
            <w:pPr>
              <w:spacing w:after="0" w:line="240" w:lineRule="auto"/>
              <w:jc w:val="right"/>
              <w:rPr>
                <w:rFonts w:ascii="Times New Roman" w:eastAsia="Times New Roman" w:hAnsi="Times New Roman" w:cs="Times New Roman"/>
                <w:b/>
                <w:sz w:val="18"/>
                <w:szCs w:val="18"/>
                <w:lang w:eastAsia="sk-SK"/>
              </w:rPr>
            </w:pPr>
            <w:r w:rsidRPr="00502C27">
              <w:rPr>
                <w:rFonts w:ascii="Times New Roman" w:eastAsia="Times New Roman" w:hAnsi="Times New Roman" w:cs="Times New Roman"/>
                <w:b/>
                <w:sz w:val="18"/>
                <w:szCs w:val="18"/>
                <w:lang w:eastAsia="sk-SK"/>
              </w:rPr>
              <w:t>512,90</w:t>
            </w:r>
          </w:p>
        </w:tc>
        <w:tc>
          <w:tcPr>
            <w:tcW w:w="916" w:type="dxa"/>
            <w:tcBorders>
              <w:top w:val="nil"/>
              <w:left w:val="single" w:sz="8" w:space="0" w:color="auto"/>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976"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512,90</w:t>
            </w:r>
          </w:p>
        </w:tc>
        <w:tc>
          <w:tcPr>
            <w:tcW w:w="1265" w:type="dxa"/>
            <w:tcBorders>
              <w:top w:val="nil"/>
              <w:left w:val="nil"/>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1276" w:type="dxa"/>
            <w:tcBorders>
              <w:top w:val="nil"/>
              <w:left w:val="nil"/>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1 872 203,88</w:t>
            </w:r>
          </w:p>
        </w:tc>
      </w:tr>
      <w:tr w:rsidR="00D7471D" w:rsidRPr="007F40C5" w:rsidTr="00502C27">
        <w:trPr>
          <w:trHeight w:val="315"/>
        </w:trPr>
        <w:tc>
          <w:tcPr>
            <w:tcW w:w="1701" w:type="dxa"/>
            <w:tcBorders>
              <w:top w:val="nil"/>
              <w:left w:val="single" w:sz="8" w:space="0" w:color="auto"/>
              <w:bottom w:val="single" w:sz="4" w:space="0" w:color="auto"/>
              <w:right w:val="single" w:sz="4" w:space="0" w:color="auto"/>
            </w:tcBorders>
            <w:shd w:val="clear" w:color="000000" w:fill="FFFFFF"/>
            <w:noWrap/>
            <w:vAlign w:val="bottom"/>
            <w:hideMark/>
          </w:tcPr>
          <w:p w:rsidR="00D122ED" w:rsidRPr="007F40C5" w:rsidRDefault="00D122ED"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Hlavný banský úrad</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372F56" w:rsidRDefault="00D122ED" w:rsidP="00A8681F">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68 420,61</w:t>
            </w:r>
          </w:p>
        </w:tc>
        <w:tc>
          <w:tcPr>
            <w:tcW w:w="1175"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1 392,92</w:t>
            </w:r>
          </w:p>
        </w:tc>
        <w:tc>
          <w:tcPr>
            <w:tcW w:w="1134" w:type="dxa"/>
            <w:tcBorders>
              <w:top w:val="nil"/>
              <w:left w:val="single" w:sz="8" w:space="0" w:color="auto"/>
              <w:bottom w:val="single" w:sz="4" w:space="0" w:color="auto"/>
              <w:right w:val="single" w:sz="8" w:space="0" w:color="auto"/>
            </w:tcBorders>
            <w:shd w:val="clear" w:color="auto" w:fill="auto"/>
            <w:noWrap/>
            <w:vAlign w:val="bottom"/>
          </w:tcPr>
          <w:p w:rsidR="00D122ED" w:rsidRPr="00C95170" w:rsidRDefault="00D122ED" w:rsidP="00A8681F">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63 945,88</w:t>
            </w:r>
          </w:p>
        </w:tc>
        <w:tc>
          <w:tcPr>
            <w:tcW w:w="1085"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175" w:type="dxa"/>
            <w:tcBorders>
              <w:top w:val="nil"/>
              <w:left w:val="single" w:sz="8" w:space="0" w:color="auto"/>
              <w:bottom w:val="single" w:sz="4" w:space="0" w:color="auto"/>
              <w:right w:val="single" w:sz="8" w:space="0" w:color="auto"/>
            </w:tcBorders>
            <w:shd w:val="clear" w:color="auto" w:fill="auto"/>
            <w:noWrap/>
            <w:vAlign w:val="bottom"/>
          </w:tcPr>
          <w:p w:rsidR="00D122ED" w:rsidRPr="00C95170" w:rsidRDefault="00D122ED" w:rsidP="00A8681F">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3 081,81</w:t>
            </w:r>
          </w:p>
        </w:tc>
        <w:tc>
          <w:tcPr>
            <w:tcW w:w="1265" w:type="dxa"/>
            <w:tcBorders>
              <w:top w:val="nil"/>
              <w:left w:val="nil"/>
              <w:bottom w:val="single" w:sz="4" w:space="0" w:color="auto"/>
              <w:right w:val="nil"/>
            </w:tcBorders>
            <w:shd w:val="clear" w:color="auto" w:fill="auto"/>
            <w:noWrap/>
            <w:vAlign w:val="bottom"/>
          </w:tcPr>
          <w:p w:rsidR="00D122ED" w:rsidRPr="00502C27" w:rsidRDefault="00D122ED" w:rsidP="00A8681F">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0,00</w:t>
            </w:r>
          </w:p>
        </w:tc>
        <w:tc>
          <w:tcPr>
            <w:tcW w:w="916" w:type="dxa"/>
            <w:tcBorders>
              <w:top w:val="nil"/>
              <w:left w:val="single" w:sz="8" w:space="0" w:color="auto"/>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976" w:type="dxa"/>
            <w:tcBorders>
              <w:top w:val="nil"/>
              <w:left w:val="nil"/>
              <w:bottom w:val="single" w:sz="4" w:space="0" w:color="auto"/>
              <w:right w:val="nil"/>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850" w:type="dxa"/>
            <w:tcBorders>
              <w:top w:val="nil"/>
              <w:left w:val="single" w:sz="8" w:space="0" w:color="auto"/>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265" w:type="dxa"/>
            <w:tcBorders>
              <w:top w:val="nil"/>
              <w:left w:val="nil"/>
              <w:bottom w:val="single" w:sz="4" w:space="0" w:color="auto"/>
              <w:right w:val="single" w:sz="8" w:space="0" w:color="auto"/>
            </w:tcBorders>
            <w:shd w:val="clear" w:color="auto" w:fill="auto"/>
            <w:noWrap/>
            <w:vAlign w:val="bottom"/>
          </w:tcPr>
          <w:p w:rsidR="00D122ED" w:rsidRPr="007F40C5" w:rsidRDefault="00D122ED" w:rsidP="00A8681F">
            <w:pPr>
              <w:spacing w:after="0" w:line="240" w:lineRule="auto"/>
              <w:jc w:val="right"/>
              <w:rPr>
                <w:rFonts w:ascii="Times New Roman" w:eastAsia="Times New Roman" w:hAnsi="Times New Roman" w:cs="Times New Roman"/>
                <w:bCs/>
                <w:sz w:val="18"/>
                <w:szCs w:val="18"/>
                <w:lang w:eastAsia="sk-SK"/>
              </w:rPr>
            </w:pPr>
            <w:r>
              <w:rPr>
                <w:rFonts w:ascii="Times New Roman" w:eastAsia="Times New Roman" w:hAnsi="Times New Roman" w:cs="Times New Roman"/>
                <w:bCs/>
                <w:sz w:val="18"/>
                <w:szCs w:val="18"/>
                <w:lang w:eastAsia="sk-SK"/>
              </w:rPr>
              <w:t>0,00</w:t>
            </w:r>
          </w:p>
        </w:tc>
        <w:tc>
          <w:tcPr>
            <w:tcW w:w="1276" w:type="dxa"/>
            <w:tcBorders>
              <w:top w:val="nil"/>
              <w:left w:val="nil"/>
              <w:bottom w:val="single" w:sz="4" w:space="0" w:color="auto"/>
              <w:right w:val="single" w:sz="8" w:space="0" w:color="auto"/>
            </w:tcBorders>
            <w:shd w:val="clear" w:color="auto" w:fill="auto"/>
            <w:noWrap/>
            <w:vAlign w:val="bottom"/>
          </w:tcPr>
          <w:p w:rsidR="00D122ED" w:rsidRPr="00372F56" w:rsidRDefault="00D122ED" w:rsidP="00D2660A">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68 420,61</w:t>
            </w:r>
          </w:p>
        </w:tc>
      </w:tr>
      <w:tr w:rsidR="00D7471D" w:rsidRPr="007F40C5" w:rsidTr="00502C27">
        <w:trPr>
          <w:trHeight w:val="315"/>
        </w:trPr>
        <w:tc>
          <w:tcPr>
            <w:tcW w:w="1701" w:type="dxa"/>
            <w:tcBorders>
              <w:top w:val="single" w:sz="4" w:space="0" w:color="auto"/>
              <w:left w:val="single" w:sz="8" w:space="0" w:color="auto"/>
              <w:bottom w:val="single" w:sz="4" w:space="0" w:color="auto"/>
              <w:right w:val="nil"/>
            </w:tcBorders>
            <w:shd w:val="clear" w:color="000000" w:fill="FFFFFF"/>
            <w:noWrap/>
            <w:vAlign w:val="bottom"/>
            <w:hideMark/>
          </w:tcPr>
          <w:p w:rsidR="00D122ED" w:rsidRPr="007F40C5" w:rsidRDefault="00D122ED" w:rsidP="00B22B63">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MH SR  - úrad</w:t>
            </w:r>
          </w:p>
        </w:tc>
        <w:tc>
          <w:tcPr>
            <w:tcW w:w="1175" w:type="dxa"/>
            <w:tcBorders>
              <w:top w:val="nil"/>
              <w:left w:val="single" w:sz="8" w:space="0" w:color="auto"/>
              <w:bottom w:val="nil"/>
              <w:right w:val="single" w:sz="8" w:space="0" w:color="auto"/>
            </w:tcBorders>
            <w:shd w:val="clear" w:color="000000" w:fill="FFFFFF"/>
            <w:noWrap/>
            <w:vAlign w:val="bottom"/>
          </w:tcPr>
          <w:p w:rsidR="00D122ED" w:rsidRPr="00372F56" w:rsidRDefault="00D122ED" w:rsidP="00A02137">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97 471 545,27</w:t>
            </w:r>
          </w:p>
        </w:tc>
        <w:tc>
          <w:tcPr>
            <w:tcW w:w="1175" w:type="dxa"/>
            <w:tcBorders>
              <w:top w:val="nil"/>
              <w:left w:val="nil"/>
              <w:bottom w:val="nil"/>
              <w:right w:val="nil"/>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23 078 792,68</w:t>
            </w:r>
          </w:p>
        </w:tc>
        <w:tc>
          <w:tcPr>
            <w:tcW w:w="1134" w:type="dxa"/>
            <w:tcBorders>
              <w:top w:val="nil"/>
              <w:left w:val="single" w:sz="8" w:space="0" w:color="auto"/>
              <w:bottom w:val="nil"/>
              <w:right w:val="single" w:sz="8" w:space="0" w:color="auto"/>
            </w:tcBorders>
            <w:shd w:val="clear" w:color="000000" w:fill="FFFFFF"/>
            <w:noWrap/>
            <w:vAlign w:val="bottom"/>
          </w:tcPr>
          <w:p w:rsidR="00D122ED" w:rsidRPr="00C95170" w:rsidRDefault="00D122ED" w:rsidP="00A02137">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314 491,50</w:t>
            </w:r>
          </w:p>
        </w:tc>
        <w:tc>
          <w:tcPr>
            <w:tcW w:w="1085" w:type="dxa"/>
            <w:tcBorders>
              <w:top w:val="nil"/>
              <w:left w:val="nil"/>
              <w:bottom w:val="nil"/>
              <w:right w:val="nil"/>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1 073 759,49</w:t>
            </w:r>
          </w:p>
        </w:tc>
        <w:tc>
          <w:tcPr>
            <w:tcW w:w="1175" w:type="dxa"/>
            <w:tcBorders>
              <w:top w:val="nil"/>
              <w:left w:val="single" w:sz="8" w:space="0" w:color="auto"/>
              <w:bottom w:val="nil"/>
              <w:right w:val="single" w:sz="8" w:space="0" w:color="auto"/>
            </w:tcBorders>
            <w:shd w:val="clear" w:color="000000" w:fill="FFFFFF"/>
            <w:noWrap/>
            <w:vAlign w:val="bottom"/>
          </w:tcPr>
          <w:p w:rsidR="00D122ED" w:rsidRPr="00C95170" w:rsidRDefault="00D7471D" w:rsidP="00D7471D">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73 004 501,60</w:t>
            </w:r>
          </w:p>
        </w:tc>
        <w:tc>
          <w:tcPr>
            <w:tcW w:w="1265" w:type="dxa"/>
            <w:tcBorders>
              <w:top w:val="nil"/>
              <w:left w:val="nil"/>
              <w:bottom w:val="nil"/>
              <w:right w:val="nil"/>
            </w:tcBorders>
            <w:shd w:val="clear" w:color="000000" w:fill="FFFFFF"/>
            <w:noWrap/>
            <w:vAlign w:val="bottom"/>
          </w:tcPr>
          <w:p w:rsidR="00D122ED" w:rsidRPr="00502C27" w:rsidRDefault="00D122ED" w:rsidP="00A02137">
            <w:pPr>
              <w:spacing w:after="0" w:line="240" w:lineRule="auto"/>
              <w:jc w:val="right"/>
              <w:rPr>
                <w:rFonts w:ascii="Times New Roman" w:eastAsia="Times New Roman" w:hAnsi="Times New Roman" w:cs="Times New Roman"/>
                <w:b/>
                <w:sz w:val="18"/>
                <w:szCs w:val="18"/>
                <w:lang w:eastAsia="sk-SK"/>
              </w:rPr>
            </w:pPr>
            <w:r w:rsidRPr="00502C27">
              <w:rPr>
                <w:rFonts w:ascii="Times New Roman" w:eastAsia="Times New Roman" w:hAnsi="Times New Roman" w:cs="Times New Roman"/>
                <w:b/>
                <w:sz w:val="18"/>
                <w:szCs w:val="18"/>
                <w:lang w:eastAsia="sk-SK"/>
              </w:rPr>
              <w:t>0,00</w:t>
            </w:r>
          </w:p>
        </w:tc>
        <w:tc>
          <w:tcPr>
            <w:tcW w:w="916" w:type="dxa"/>
            <w:tcBorders>
              <w:top w:val="nil"/>
              <w:left w:val="single" w:sz="8" w:space="0" w:color="auto"/>
              <w:bottom w:val="nil"/>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976" w:type="dxa"/>
            <w:tcBorders>
              <w:top w:val="nil"/>
              <w:left w:val="nil"/>
              <w:bottom w:val="nil"/>
              <w:right w:val="nil"/>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850" w:type="dxa"/>
            <w:tcBorders>
              <w:top w:val="nil"/>
              <w:left w:val="single" w:sz="8" w:space="0" w:color="auto"/>
              <w:bottom w:val="nil"/>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265" w:type="dxa"/>
            <w:tcBorders>
              <w:top w:val="nil"/>
              <w:left w:val="nil"/>
              <w:bottom w:val="nil"/>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276" w:type="dxa"/>
            <w:tcBorders>
              <w:top w:val="nil"/>
              <w:left w:val="nil"/>
              <w:bottom w:val="nil"/>
              <w:right w:val="single" w:sz="8" w:space="0" w:color="auto"/>
            </w:tcBorders>
            <w:shd w:val="clear" w:color="000000" w:fill="FFFFFF"/>
            <w:noWrap/>
            <w:vAlign w:val="bottom"/>
          </w:tcPr>
          <w:p w:rsidR="00D122ED" w:rsidRPr="00372F56" w:rsidRDefault="00D122ED" w:rsidP="00D2660A">
            <w:pPr>
              <w:spacing w:after="0" w:line="240" w:lineRule="auto"/>
              <w:jc w:val="right"/>
              <w:rPr>
                <w:rFonts w:ascii="Times New Roman" w:eastAsia="Times New Roman" w:hAnsi="Times New Roman" w:cs="Times New Roman"/>
                <w:b/>
                <w:sz w:val="18"/>
                <w:szCs w:val="18"/>
                <w:lang w:eastAsia="sk-SK"/>
              </w:rPr>
            </w:pPr>
            <w:r>
              <w:rPr>
                <w:rFonts w:ascii="Times New Roman" w:eastAsia="Times New Roman" w:hAnsi="Times New Roman" w:cs="Times New Roman"/>
                <w:b/>
                <w:sz w:val="18"/>
                <w:szCs w:val="18"/>
                <w:lang w:eastAsia="sk-SK"/>
              </w:rPr>
              <w:t>97 471 545,27</w:t>
            </w:r>
          </w:p>
        </w:tc>
      </w:tr>
      <w:tr w:rsidR="00D7471D" w:rsidRPr="007F40C5" w:rsidTr="00502C27">
        <w:trPr>
          <w:trHeight w:val="330"/>
        </w:trPr>
        <w:tc>
          <w:tcPr>
            <w:tcW w:w="1701" w:type="dxa"/>
            <w:tcBorders>
              <w:top w:val="nil"/>
              <w:left w:val="single" w:sz="8" w:space="0" w:color="auto"/>
              <w:bottom w:val="nil"/>
              <w:right w:val="single" w:sz="4" w:space="0" w:color="auto"/>
            </w:tcBorders>
            <w:shd w:val="clear" w:color="000000" w:fill="FFFFFF"/>
            <w:noWrap/>
            <w:vAlign w:val="bottom"/>
            <w:hideMark/>
          </w:tcPr>
          <w:p w:rsidR="00D122ED" w:rsidRPr="007F40C5" w:rsidRDefault="00D122ED" w:rsidP="00B5656B">
            <w:pPr>
              <w:spacing w:after="0" w:line="240" w:lineRule="auto"/>
              <w:rPr>
                <w:rFonts w:ascii="Times New Roman" w:eastAsia="Times New Roman" w:hAnsi="Times New Roman" w:cs="Times New Roman"/>
                <w:sz w:val="18"/>
                <w:szCs w:val="18"/>
                <w:lang w:eastAsia="sk-SK"/>
              </w:rPr>
            </w:pPr>
            <w:r w:rsidRPr="007F40C5">
              <w:rPr>
                <w:rFonts w:ascii="Times New Roman" w:eastAsia="Times New Roman" w:hAnsi="Times New Roman" w:cs="Times New Roman"/>
                <w:sz w:val="18"/>
                <w:szCs w:val="18"/>
                <w:lang w:eastAsia="sk-SK"/>
              </w:rPr>
              <w:t xml:space="preserve">MH SR - </w:t>
            </w:r>
            <w:proofErr w:type="spellStart"/>
            <w:r w:rsidRPr="007F40C5">
              <w:rPr>
                <w:rFonts w:ascii="Times New Roman" w:eastAsia="Times New Roman" w:hAnsi="Times New Roman" w:cs="Times New Roman"/>
                <w:sz w:val="18"/>
                <w:szCs w:val="18"/>
                <w:lang w:eastAsia="sk-SK"/>
              </w:rPr>
              <w:t>PJ</w:t>
            </w:r>
            <w:proofErr w:type="spellEnd"/>
          </w:p>
        </w:tc>
        <w:tc>
          <w:tcPr>
            <w:tcW w:w="1175"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D122ED" w:rsidRPr="00502C27" w:rsidRDefault="00D122ED" w:rsidP="00D2660A">
            <w:pPr>
              <w:spacing w:after="0" w:line="240" w:lineRule="auto"/>
              <w:jc w:val="right"/>
              <w:rPr>
                <w:rFonts w:ascii="Times New Roman" w:eastAsia="Times New Roman" w:hAnsi="Times New Roman" w:cs="Times New Roman"/>
                <w:b/>
                <w:sz w:val="18"/>
                <w:szCs w:val="18"/>
                <w:lang w:eastAsia="sk-SK"/>
              </w:rPr>
            </w:pPr>
            <w:r w:rsidRPr="00502C27">
              <w:rPr>
                <w:rFonts w:ascii="Times New Roman" w:eastAsia="Times New Roman" w:hAnsi="Times New Roman" w:cs="Times New Roman"/>
                <w:b/>
                <w:sz w:val="18"/>
                <w:szCs w:val="18"/>
                <w:lang w:eastAsia="sk-SK"/>
              </w:rPr>
              <w:t>481 210,57</w:t>
            </w:r>
          </w:p>
        </w:tc>
        <w:tc>
          <w:tcPr>
            <w:tcW w:w="1175" w:type="dxa"/>
            <w:tcBorders>
              <w:top w:val="single" w:sz="4" w:space="0" w:color="auto"/>
              <w:left w:val="nil"/>
              <w:bottom w:val="nil"/>
              <w:right w:val="nil"/>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134"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D122ED" w:rsidRPr="00C95170" w:rsidRDefault="00D122ED" w:rsidP="00A02137">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0,00</w:t>
            </w:r>
          </w:p>
        </w:tc>
        <w:tc>
          <w:tcPr>
            <w:tcW w:w="1085" w:type="dxa"/>
            <w:tcBorders>
              <w:top w:val="single" w:sz="4" w:space="0" w:color="auto"/>
              <w:left w:val="nil"/>
              <w:bottom w:val="nil"/>
              <w:right w:val="nil"/>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175"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D122ED" w:rsidRPr="00C95170" w:rsidRDefault="00D122ED" w:rsidP="00A02137">
            <w:pPr>
              <w:spacing w:after="0" w:line="240" w:lineRule="auto"/>
              <w:jc w:val="right"/>
              <w:rPr>
                <w:rFonts w:ascii="Times New Roman" w:eastAsia="Times New Roman" w:hAnsi="Times New Roman" w:cs="Times New Roman"/>
                <w:sz w:val="18"/>
                <w:szCs w:val="18"/>
                <w:lang w:eastAsia="sk-SK"/>
              </w:rPr>
            </w:pPr>
            <w:r w:rsidRPr="00C95170">
              <w:rPr>
                <w:rFonts w:ascii="Times New Roman" w:eastAsia="Times New Roman" w:hAnsi="Times New Roman" w:cs="Times New Roman"/>
                <w:sz w:val="18"/>
                <w:szCs w:val="18"/>
                <w:lang w:eastAsia="sk-SK"/>
              </w:rPr>
              <w:t>481 210,57</w:t>
            </w:r>
          </w:p>
        </w:tc>
        <w:tc>
          <w:tcPr>
            <w:tcW w:w="1265" w:type="dxa"/>
            <w:tcBorders>
              <w:top w:val="single" w:sz="4" w:space="0" w:color="auto"/>
              <w:left w:val="nil"/>
              <w:bottom w:val="nil"/>
              <w:right w:val="nil"/>
            </w:tcBorders>
            <w:shd w:val="clear" w:color="000000" w:fill="FFFFFF"/>
            <w:noWrap/>
            <w:vAlign w:val="bottom"/>
          </w:tcPr>
          <w:p w:rsidR="00D122ED" w:rsidRPr="00502C27" w:rsidRDefault="00D122ED" w:rsidP="00D2660A">
            <w:pPr>
              <w:spacing w:after="0" w:line="240" w:lineRule="auto"/>
              <w:jc w:val="right"/>
              <w:rPr>
                <w:rFonts w:ascii="Times New Roman" w:eastAsia="Times New Roman" w:hAnsi="Times New Roman" w:cs="Times New Roman"/>
                <w:b/>
                <w:sz w:val="18"/>
                <w:szCs w:val="18"/>
                <w:lang w:eastAsia="sk-SK"/>
              </w:rPr>
            </w:pPr>
            <w:r w:rsidRPr="00502C27">
              <w:rPr>
                <w:rFonts w:ascii="Times New Roman" w:eastAsia="Times New Roman" w:hAnsi="Times New Roman" w:cs="Times New Roman"/>
                <w:b/>
                <w:sz w:val="18"/>
                <w:szCs w:val="18"/>
                <w:lang w:eastAsia="sk-SK"/>
              </w:rPr>
              <w:t>268 551 088,05</w:t>
            </w:r>
          </w:p>
        </w:tc>
        <w:tc>
          <w:tcPr>
            <w:tcW w:w="916"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976" w:type="dxa"/>
            <w:tcBorders>
              <w:top w:val="single" w:sz="4" w:space="0" w:color="auto"/>
              <w:left w:val="nil"/>
              <w:bottom w:val="nil"/>
              <w:right w:val="nil"/>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850" w:type="dxa"/>
            <w:tcBorders>
              <w:top w:val="single" w:sz="4" w:space="0" w:color="auto"/>
              <w:left w:val="single" w:sz="8" w:space="0" w:color="auto"/>
              <w:bottom w:val="single" w:sz="8" w:space="0" w:color="auto"/>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0,00</w:t>
            </w:r>
          </w:p>
        </w:tc>
        <w:tc>
          <w:tcPr>
            <w:tcW w:w="1265" w:type="dxa"/>
            <w:tcBorders>
              <w:top w:val="single" w:sz="4" w:space="0" w:color="auto"/>
              <w:left w:val="nil"/>
              <w:bottom w:val="nil"/>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sz w:val="18"/>
                <w:szCs w:val="18"/>
                <w:lang w:eastAsia="sk-SK"/>
              </w:rPr>
            </w:pPr>
            <w:r>
              <w:rPr>
                <w:rFonts w:ascii="Times New Roman" w:eastAsia="Times New Roman" w:hAnsi="Times New Roman" w:cs="Times New Roman"/>
                <w:sz w:val="18"/>
                <w:szCs w:val="18"/>
                <w:lang w:eastAsia="sk-SK"/>
              </w:rPr>
              <w:t>268 551 088,05</w:t>
            </w:r>
          </w:p>
        </w:tc>
        <w:tc>
          <w:tcPr>
            <w:tcW w:w="1276" w:type="dxa"/>
            <w:tcBorders>
              <w:top w:val="single" w:sz="4" w:space="0" w:color="auto"/>
              <w:left w:val="nil"/>
              <w:bottom w:val="single" w:sz="8" w:space="0" w:color="auto"/>
              <w:right w:val="single" w:sz="8" w:space="0" w:color="auto"/>
            </w:tcBorders>
            <w:shd w:val="clear" w:color="000000" w:fill="FFFFFF"/>
            <w:noWrap/>
            <w:vAlign w:val="bottom"/>
          </w:tcPr>
          <w:p w:rsidR="00D122ED" w:rsidRPr="007F40C5" w:rsidRDefault="00D122ED" w:rsidP="00A02137">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269 032 298,62</w:t>
            </w:r>
          </w:p>
        </w:tc>
      </w:tr>
      <w:tr w:rsidR="00D7471D" w:rsidRPr="007F40C5" w:rsidTr="00502C27">
        <w:trPr>
          <w:trHeight w:val="330"/>
        </w:trPr>
        <w:tc>
          <w:tcPr>
            <w:tcW w:w="1701" w:type="dxa"/>
            <w:tcBorders>
              <w:top w:val="single" w:sz="8" w:space="0" w:color="auto"/>
              <w:left w:val="single" w:sz="8" w:space="0" w:color="auto"/>
              <w:bottom w:val="single" w:sz="8" w:space="0" w:color="auto"/>
              <w:right w:val="single" w:sz="8" w:space="0" w:color="auto"/>
            </w:tcBorders>
            <w:shd w:val="clear" w:color="000000" w:fill="FFFF99"/>
            <w:noWrap/>
            <w:vAlign w:val="bottom"/>
            <w:hideMark/>
          </w:tcPr>
          <w:p w:rsidR="00D122ED" w:rsidRPr="007F40C5" w:rsidRDefault="00D122ED" w:rsidP="00B22B63">
            <w:pPr>
              <w:spacing w:after="0" w:line="240" w:lineRule="auto"/>
              <w:rPr>
                <w:rFonts w:ascii="Times New Roman" w:eastAsia="Times New Roman" w:hAnsi="Times New Roman" w:cs="Times New Roman"/>
                <w:b/>
                <w:bCs/>
                <w:sz w:val="18"/>
                <w:szCs w:val="18"/>
                <w:lang w:eastAsia="sk-SK"/>
              </w:rPr>
            </w:pPr>
            <w:r w:rsidRPr="007F40C5">
              <w:rPr>
                <w:rFonts w:ascii="Times New Roman" w:eastAsia="Times New Roman" w:hAnsi="Times New Roman" w:cs="Times New Roman"/>
                <w:b/>
                <w:bCs/>
                <w:sz w:val="18"/>
                <w:szCs w:val="18"/>
                <w:lang w:eastAsia="sk-SK"/>
              </w:rPr>
              <w:t>Kapitola MH SR spolu</w:t>
            </w:r>
          </w:p>
        </w:tc>
        <w:tc>
          <w:tcPr>
            <w:tcW w:w="1175" w:type="dxa"/>
            <w:tcBorders>
              <w:top w:val="nil"/>
              <w:left w:val="nil"/>
              <w:bottom w:val="single" w:sz="8" w:space="0" w:color="auto"/>
              <w:right w:val="single" w:sz="8" w:space="0" w:color="auto"/>
            </w:tcBorders>
            <w:shd w:val="clear" w:color="000000" w:fill="FFFF99"/>
            <w:noWrap/>
            <w:vAlign w:val="bottom"/>
          </w:tcPr>
          <w:p w:rsidR="00D122ED" w:rsidRPr="00372F56" w:rsidRDefault="00D7471D"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100 533 403,62</w:t>
            </w:r>
          </w:p>
        </w:tc>
        <w:tc>
          <w:tcPr>
            <w:tcW w:w="1175" w:type="dxa"/>
            <w:tcBorders>
              <w:top w:val="single" w:sz="8" w:space="0" w:color="auto"/>
              <w:left w:val="nil"/>
              <w:bottom w:val="single" w:sz="8" w:space="0" w:color="auto"/>
              <w:right w:val="single" w:sz="8" w:space="0" w:color="auto"/>
            </w:tcBorders>
            <w:shd w:val="clear" w:color="000000" w:fill="FFFF99"/>
            <w:noWrap/>
            <w:vAlign w:val="bottom"/>
          </w:tcPr>
          <w:p w:rsidR="00D122ED" w:rsidRPr="007F40C5" w:rsidRDefault="00D7471D"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23 091 784,62</w:t>
            </w:r>
          </w:p>
        </w:tc>
        <w:tc>
          <w:tcPr>
            <w:tcW w:w="1134" w:type="dxa"/>
            <w:tcBorders>
              <w:top w:val="nil"/>
              <w:left w:val="nil"/>
              <w:bottom w:val="single" w:sz="8" w:space="0" w:color="auto"/>
              <w:right w:val="single" w:sz="8" w:space="0" w:color="auto"/>
            </w:tcBorders>
            <w:shd w:val="clear" w:color="000000" w:fill="FFFF99"/>
            <w:noWrap/>
            <w:vAlign w:val="bottom"/>
          </w:tcPr>
          <w:p w:rsidR="00D122ED" w:rsidRPr="00C95170" w:rsidRDefault="00D7471D" w:rsidP="004276B7">
            <w:pPr>
              <w:spacing w:after="0" w:line="240" w:lineRule="auto"/>
              <w:jc w:val="right"/>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2</w:t>
            </w:r>
            <w:r w:rsidR="004276B7" w:rsidRPr="00C95170">
              <w:rPr>
                <w:rFonts w:ascii="Times New Roman" w:eastAsia="Times New Roman" w:hAnsi="Times New Roman" w:cs="Times New Roman"/>
                <w:b/>
                <w:bCs/>
                <w:sz w:val="18"/>
                <w:szCs w:val="18"/>
                <w:lang w:eastAsia="sk-SK"/>
              </w:rPr>
              <w:t> 823 123,26</w:t>
            </w:r>
          </w:p>
        </w:tc>
        <w:tc>
          <w:tcPr>
            <w:tcW w:w="1085" w:type="dxa"/>
            <w:tcBorders>
              <w:top w:val="single" w:sz="8" w:space="0" w:color="auto"/>
              <w:left w:val="nil"/>
              <w:bottom w:val="single" w:sz="8" w:space="0" w:color="auto"/>
              <w:right w:val="single" w:sz="8" w:space="0" w:color="auto"/>
            </w:tcBorders>
            <w:shd w:val="clear" w:color="000000" w:fill="FFFF99"/>
            <w:noWrap/>
            <w:vAlign w:val="bottom"/>
          </w:tcPr>
          <w:p w:rsidR="00D122ED" w:rsidRPr="007F40C5" w:rsidRDefault="00D7471D"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1 082 070,49</w:t>
            </w:r>
          </w:p>
        </w:tc>
        <w:tc>
          <w:tcPr>
            <w:tcW w:w="1175" w:type="dxa"/>
            <w:tcBorders>
              <w:top w:val="nil"/>
              <w:left w:val="nil"/>
              <w:bottom w:val="single" w:sz="8" w:space="0" w:color="auto"/>
              <w:right w:val="single" w:sz="8" w:space="0" w:color="auto"/>
            </w:tcBorders>
            <w:shd w:val="clear" w:color="000000" w:fill="FFFF99"/>
            <w:noWrap/>
            <w:vAlign w:val="bottom"/>
          </w:tcPr>
          <w:p w:rsidR="00D122ED" w:rsidRPr="00C95170" w:rsidRDefault="00D7471D" w:rsidP="004276B7">
            <w:pPr>
              <w:spacing w:after="0" w:line="240" w:lineRule="auto"/>
              <w:rPr>
                <w:rFonts w:ascii="Times New Roman" w:eastAsia="Times New Roman" w:hAnsi="Times New Roman" w:cs="Times New Roman"/>
                <w:b/>
                <w:bCs/>
                <w:sz w:val="18"/>
                <w:szCs w:val="18"/>
                <w:lang w:eastAsia="sk-SK"/>
              </w:rPr>
            </w:pPr>
            <w:r w:rsidRPr="00C95170">
              <w:rPr>
                <w:rFonts w:ascii="Times New Roman" w:eastAsia="Times New Roman" w:hAnsi="Times New Roman" w:cs="Times New Roman"/>
                <w:b/>
                <w:bCs/>
                <w:sz w:val="18"/>
                <w:szCs w:val="18"/>
                <w:lang w:eastAsia="sk-SK"/>
              </w:rPr>
              <w:t>73 536 </w:t>
            </w:r>
            <w:r w:rsidR="004276B7" w:rsidRPr="00C95170">
              <w:rPr>
                <w:rFonts w:ascii="Times New Roman" w:eastAsia="Times New Roman" w:hAnsi="Times New Roman" w:cs="Times New Roman"/>
                <w:b/>
                <w:bCs/>
                <w:sz w:val="18"/>
                <w:szCs w:val="18"/>
                <w:lang w:eastAsia="sk-SK"/>
              </w:rPr>
              <w:t>425</w:t>
            </w:r>
            <w:r w:rsidRPr="00C95170">
              <w:rPr>
                <w:rFonts w:ascii="Times New Roman" w:eastAsia="Times New Roman" w:hAnsi="Times New Roman" w:cs="Times New Roman"/>
                <w:b/>
                <w:bCs/>
                <w:sz w:val="18"/>
                <w:szCs w:val="18"/>
                <w:lang w:eastAsia="sk-SK"/>
              </w:rPr>
              <w:t>,</w:t>
            </w:r>
            <w:r w:rsidR="004276B7" w:rsidRPr="00C95170">
              <w:rPr>
                <w:rFonts w:ascii="Times New Roman" w:eastAsia="Times New Roman" w:hAnsi="Times New Roman" w:cs="Times New Roman"/>
                <w:b/>
                <w:bCs/>
                <w:sz w:val="18"/>
                <w:szCs w:val="18"/>
                <w:lang w:eastAsia="sk-SK"/>
              </w:rPr>
              <w:t>25</w:t>
            </w:r>
          </w:p>
        </w:tc>
        <w:tc>
          <w:tcPr>
            <w:tcW w:w="1265" w:type="dxa"/>
            <w:tcBorders>
              <w:top w:val="single" w:sz="8" w:space="0" w:color="auto"/>
              <w:left w:val="nil"/>
              <w:bottom w:val="single" w:sz="8" w:space="0" w:color="auto"/>
              <w:right w:val="single" w:sz="8" w:space="0" w:color="auto"/>
            </w:tcBorders>
            <w:shd w:val="clear" w:color="000000" w:fill="FFFF99"/>
            <w:noWrap/>
            <w:vAlign w:val="bottom"/>
          </w:tcPr>
          <w:p w:rsidR="00D122ED" w:rsidRPr="00502C27" w:rsidRDefault="004946F7"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268 551 600,95</w:t>
            </w:r>
          </w:p>
        </w:tc>
        <w:tc>
          <w:tcPr>
            <w:tcW w:w="916" w:type="dxa"/>
            <w:tcBorders>
              <w:top w:val="nil"/>
              <w:left w:val="nil"/>
              <w:bottom w:val="single" w:sz="8" w:space="0" w:color="auto"/>
              <w:right w:val="single" w:sz="8" w:space="0" w:color="auto"/>
            </w:tcBorders>
            <w:shd w:val="clear" w:color="000000" w:fill="FFFF99"/>
            <w:noWrap/>
            <w:vAlign w:val="bottom"/>
          </w:tcPr>
          <w:p w:rsidR="00D122ED" w:rsidRPr="007F40C5" w:rsidRDefault="004946F7"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0,00</w:t>
            </w:r>
          </w:p>
        </w:tc>
        <w:tc>
          <w:tcPr>
            <w:tcW w:w="976" w:type="dxa"/>
            <w:tcBorders>
              <w:top w:val="single" w:sz="8" w:space="0" w:color="auto"/>
              <w:left w:val="nil"/>
              <w:bottom w:val="single" w:sz="8" w:space="0" w:color="auto"/>
              <w:right w:val="single" w:sz="8" w:space="0" w:color="auto"/>
            </w:tcBorders>
            <w:shd w:val="clear" w:color="000000" w:fill="FFFF99"/>
            <w:noWrap/>
            <w:vAlign w:val="bottom"/>
          </w:tcPr>
          <w:p w:rsidR="00D122ED" w:rsidRPr="007F40C5" w:rsidRDefault="004946F7"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0,00</w:t>
            </w:r>
          </w:p>
        </w:tc>
        <w:tc>
          <w:tcPr>
            <w:tcW w:w="850" w:type="dxa"/>
            <w:tcBorders>
              <w:top w:val="nil"/>
              <w:left w:val="nil"/>
              <w:bottom w:val="single" w:sz="8" w:space="0" w:color="auto"/>
              <w:right w:val="single" w:sz="8" w:space="0" w:color="auto"/>
            </w:tcBorders>
            <w:shd w:val="clear" w:color="000000" w:fill="FFFF99"/>
            <w:noWrap/>
            <w:vAlign w:val="bottom"/>
          </w:tcPr>
          <w:p w:rsidR="00D122ED" w:rsidRPr="007F40C5" w:rsidRDefault="004946F7"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512,90</w:t>
            </w:r>
          </w:p>
        </w:tc>
        <w:tc>
          <w:tcPr>
            <w:tcW w:w="1265" w:type="dxa"/>
            <w:tcBorders>
              <w:top w:val="single" w:sz="8" w:space="0" w:color="auto"/>
              <w:left w:val="nil"/>
              <w:bottom w:val="single" w:sz="8" w:space="0" w:color="auto"/>
              <w:right w:val="single" w:sz="8" w:space="0" w:color="auto"/>
            </w:tcBorders>
            <w:shd w:val="clear" w:color="000000" w:fill="FFFF99"/>
            <w:noWrap/>
            <w:vAlign w:val="bottom"/>
          </w:tcPr>
          <w:p w:rsidR="00D122ED" w:rsidRPr="007F40C5" w:rsidRDefault="004946F7"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268 551 088,05</w:t>
            </w:r>
          </w:p>
        </w:tc>
        <w:tc>
          <w:tcPr>
            <w:tcW w:w="1276" w:type="dxa"/>
            <w:tcBorders>
              <w:top w:val="nil"/>
              <w:left w:val="nil"/>
              <w:bottom w:val="single" w:sz="8" w:space="0" w:color="auto"/>
              <w:right w:val="single" w:sz="8" w:space="0" w:color="auto"/>
            </w:tcBorders>
            <w:shd w:val="clear" w:color="000000" w:fill="FFFF99"/>
            <w:noWrap/>
            <w:vAlign w:val="bottom"/>
          </w:tcPr>
          <w:p w:rsidR="00D122ED" w:rsidRPr="007F40C5" w:rsidRDefault="00C95170" w:rsidP="00A8681F">
            <w:pPr>
              <w:spacing w:after="0" w:line="240" w:lineRule="auto"/>
              <w:jc w:val="right"/>
              <w:rPr>
                <w:rFonts w:ascii="Times New Roman" w:eastAsia="Times New Roman" w:hAnsi="Times New Roman" w:cs="Times New Roman"/>
                <w:b/>
                <w:bCs/>
                <w:sz w:val="18"/>
                <w:szCs w:val="18"/>
                <w:lang w:eastAsia="sk-SK"/>
              </w:rPr>
            </w:pPr>
            <w:r>
              <w:rPr>
                <w:rFonts w:ascii="Times New Roman" w:eastAsia="Times New Roman" w:hAnsi="Times New Roman" w:cs="Times New Roman"/>
                <w:b/>
                <w:bCs/>
                <w:sz w:val="18"/>
                <w:szCs w:val="18"/>
                <w:lang w:eastAsia="sk-SK"/>
              </w:rPr>
              <w:t>369 085 004,57</w:t>
            </w:r>
          </w:p>
        </w:tc>
      </w:tr>
    </w:tbl>
    <w:p w:rsidR="00DB10E8" w:rsidRDefault="00DB10E8" w:rsidP="00DB10E8">
      <w:pPr>
        <w:pStyle w:val="Odsekzoznamu"/>
        <w:spacing w:after="0" w:line="240" w:lineRule="auto"/>
        <w:ind w:left="0"/>
        <w:jc w:val="both"/>
        <w:rPr>
          <w:rFonts w:ascii="Times New Roman" w:hAnsi="Times New Roman" w:cs="Times New Roman"/>
          <w:sz w:val="24"/>
          <w:szCs w:val="24"/>
        </w:rPr>
      </w:pPr>
    </w:p>
    <w:p w:rsidR="00E05F0D" w:rsidRDefault="00E05F0D" w:rsidP="00DB10E8">
      <w:pPr>
        <w:pStyle w:val="Odsekzoznamu"/>
        <w:spacing w:after="0" w:line="240" w:lineRule="auto"/>
        <w:ind w:left="0"/>
        <w:jc w:val="both"/>
        <w:rPr>
          <w:rFonts w:ascii="Times New Roman" w:hAnsi="Times New Roman" w:cs="Times New Roman"/>
          <w:sz w:val="24"/>
          <w:szCs w:val="24"/>
        </w:rPr>
      </w:pPr>
    </w:p>
    <w:p w:rsidR="0004012E" w:rsidRDefault="0004012E" w:rsidP="00FC23A4">
      <w:pPr>
        <w:ind w:firstLine="540"/>
        <w:jc w:val="both"/>
        <w:rPr>
          <w:b/>
          <w:bCs/>
        </w:rPr>
        <w:sectPr w:rsidR="0004012E" w:rsidSect="008F3001">
          <w:pgSz w:w="16838" w:h="11906" w:orient="landscape" w:code="9"/>
          <w:pgMar w:top="1469" w:right="1418" w:bottom="992" w:left="1418" w:header="709" w:footer="709" w:gutter="0"/>
          <w:cols w:space="708"/>
          <w:docGrid w:linePitch="360"/>
        </w:sectPr>
      </w:pPr>
    </w:p>
    <w:p w:rsidR="006503B9" w:rsidRPr="006503B9" w:rsidRDefault="006503B9" w:rsidP="006503B9">
      <w:pPr>
        <w:pStyle w:val="Zarkazkladnhotextu"/>
        <w:spacing w:after="0" w:line="240" w:lineRule="auto"/>
        <w:ind w:left="0"/>
        <w:jc w:val="both"/>
        <w:rPr>
          <w:rFonts w:ascii="Times New Roman" w:hAnsi="Times New Roman" w:cs="Times New Roman"/>
          <w:sz w:val="24"/>
          <w:szCs w:val="24"/>
        </w:rPr>
      </w:pPr>
      <w:r w:rsidRPr="006503B9">
        <w:rPr>
          <w:rFonts w:ascii="Times New Roman" w:hAnsi="Times New Roman" w:cs="Times New Roman"/>
          <w:b/>
          <w:sz w:val="24"/>
          <w:szCs w:val="24"/>
        </w:rPr>
        <w:t>Hlavný banský úrad Banská Štiavnica</w:t>
      </w:r>
      <w:r w:rsidRPr="006503B9">
        <w:rPr>
          <w:rFonts w:ascii="Times New Roman" w:hAnsi="Times New Roman" w:cs="Times New Roman"/>
          <w:sz w:val="24"/>
          <w:szCs w:val="24"/>
        </w:rPr>
        <w:t xml:space="preserve"> (</w:t>
      </w:r>
      <w:proofErr w:type="spellStart"/>
      <w:r w:rsidRPr="006503B9">
        <w:rPr>
          <w:rFonts w:ascii="Times New Roman" w:hAnsi="Times New Roman" w:cs="Times New Roman"/>
          <w:sz w:val="24"/>
          <w:szCs w:val="24"/>
        </w:rPr>
        <w:t>HBÚ</w:t>
      </w:r>
      <w:proofErr w:type="spellEnd"/>
      <w:r w:rsidRPr="006503B9">
        <w:rPr>
          <w:rFonts w:ascii="Times New Roman" w:hAnsi="Times New Roman" w:cs="Times New Roman"/>
          <w:sz w:val="24"/>
          <w:szCs w:val="24"/>
        </w:rPr>
        <w:t xml:space="preserve">) mal na rok 2015 </w:t>
      </w:r>
      <w:r>
        <w:rPr>
          <w:rFonts w:ascii="Times New Roman" w:hAnsi="Times New Roman" w:cs="Times New Roman"/>
          <w:sz w:val="24"/>
          <w:szCs w:val="24"/>
        </w:rPr>
        <w:t>schválené</w:t>
      </w:r>
      <w:r w:rsidRPr="006503B9">
        <w:rPr>
          <w:rFonts w:ascii="Times New Roman" w:hAnsi="Times New Roman" w:cs="Times New Roman"/>
          <w:sz w:val="24"/>
          <w:szCs w:val="24"/>
        </w:rPr>
        <w:t xml:space="preserve"> príjmy v sume      49 875,00 eur. V  roku 2015 naplnil príjmy v sume 68 420,61 eur, čo predstavuje plnenie na 137,18 %.</w:t>
      </w:r>
    </w:p>
    <w:p w:rsidR="006503B9" w:rsidRPr="006503B9" w:rsidRDefault="006503B9" w:rsidP="006503B9">
      <w:pPr>
        <w:pStyle w:val="Zarkazkladnhotextu"/>
        <w:spacing w:after="0" w:line="240" w:lineRule="auto"/>
        <w:ind w:left="0" w:firstLine="708"/>
        <w:jc w:val="both"/>
        <w:rPr>
          <w:rFonts w:ascii="Times New Roman" w:hAnsi="Times New Roman" w:cs="Times New Roman"/>
          <w:sz w:val="24"/>
          <w:szCs w:val="24"/>
        </w:rPr>
      </w:pPr>
      <w:r w:rsidRPr="006503B9">
        <w:rPr>
          <w:rFonts w:ascii="Times New Roman" w:hAnsi="Times New Roman" w:cs="Times New Roman"/>
          <w:sz w:val="24"/>
          <w:szCs w:val="24"/>
        </w:rPr>
        <w:t xml:space="preserve">Hlavným zdrojom  príjmov </w:t>
      </w:r>
      <w:proofErr w:type="spellStart"/>
      <w:r w:rsidRPr="006503B9">
        <w:rPr>
          <w:rFonts w:ascii="Times New Roman" w:hAnsi="Times New Roman" w:cs="Times New Roman"/>
          <w:sz w:val="24"/>
          <w:szCs w:val="24"/>
        </w:rPr>
        <w:t>HBÚ</w:t>
      </w:r>
      <w:proofErr w:type="spellEnd"/>
      <w:r w:rsidRPr="006503B9">
        <w:rPr>
          <w:rFonts w:ascii="Times New Roman" w:hAnsi="Times New Roman" w:cs="Times New Roman"/>
          <w:sz w:val="24"/>
          <w:szCs w:val="24"/>
        </w:rPr>
        <w:t xml:space="preserve"> boli v roku 2015 prevažne pokuty a penále za nezaplatenie, resp. oneskorené platby z úhrad za dobývacie priestory a vydobyté nerasty a príjmy z uložených pokút na základe porušení banských predpisov pri dobývaní ložísk nerastov zistených pri výkone hlavného banského dozoru v celkovej sume 63 863,38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Príjmy z  prenájmu budov boli naplnené v sume 1 392,92 eur, správne poplatky v sume 82,50 eura a odvody nedaňových príjmov z minulých rokov v sume 3 081,81 eur.</w:t>
      </w:r>
    </w:p>
    <w:p w:rsidR="006503B9" w:rsidRPr="006503B9" w:rsidRDefault="006503B9" w:rsidP="006503B9">
      <w:pPr>
        <w:pStyle w:val="Zarkazkladnhotextu"/>
        <w:tabs>
          <w:tab w:val="left" w:pos="0"/>
        </w:tabs>
        <w:spacing w:after="0" w:line="240" w:lineRule="auto"/>
        <w:ind w:left="0"/>
        <w:jc w:val="both"/>
        <w:rPr>
          <w:rFonts w:ascii="Times New Roman" w:hAnsi="Times New Roman" w:cs="Times New Roman"/>
          <w:sz w:val="24"/>
          <w:szCs w:val="24"/>
        </w:rPr>
      </w:pPr>
    </w:p>
    <w:p w:rsidR="006503B9" w:rsidRPr="006503B9" w:rsidRDefault="006503B9" w:rsidP="001C5B9C">
      <w:pPr>
        <w:pStyle w:val="Zarkazkladnhotextu"/>
        <w:spacing w:after="0" w:line="240" w:lineRule="auto"/>
        <w:ind w:left="0"/>
        <w:jc w:val="both"/>
        <w:rPr>
          <w:rFonts w:ascii="Times New Roman" w:hAnsi="Times New Roman" w:cs="Times New Roman"/>
          <w:sz w:val="24"/>
          <w:szCs w:val="24"/>
        </w:rPr>
      </w:pPr>
      <w:r w:rsidRPr="001C5B9C">
        <w:rPr>
          <w:rFonts w:ascii="Times New Roman" w:hAnsi="Times New Roman" w:cs="Times New Roman"/>
          <w:b/>
          <w:sz w:val="24"/>
          <w:szCs w:val="24"/>
        </w:rPr>
        <w:t>Puncový úrad SR Bratislava</w:t>
      </w:r>
      <w:r w:rsidRPr="006503B9">
        <w:rPr>
          <w:rFonts w:ascii="Times New Roman" w:hAnsi="Times New Roman" w:cs="Times New Roman"/>
          <w:sz w:val="24"/>
          <w:szCs w:val="24"/>
        </w:rPr>
        <w:t xml:space="preserve">  (</w:t>
      </w:r>
      <w:proofErr w:type="spellStart"/>
      <w:r w:rsidRPr="006503B9">
        <w:rPr>
          <w:rFonts w:ascii="Times New Roman" w:hAnsi="Times New Roman" w:cs="Times New Roman"/>
          <w:sz w:val="24"/>
          <w:szCs w:val="24"/>
        </w:rPr>
        <w:t>PÚ</w:t>
      </w:r>
      <w:proofErr w:type="spellEnd"/>
      <w:r w:rsidRPr="006503B9">
        <w:rPr>
          <w:rFonts w:ascii="Times New Roman" w:hAnsi="Times New Roman" w:cs="Times New Roman"/>
          <w:sz w:val="24"/>
          <w:szCs w:val="24"/>
        </w:rPr>
        <w:t>) mal na rok 2015 schválené príjmy v</w:t>
      </w:r>
      <w:r w:rsidR="001C5B9C">
        <w:rPr>
          <w:rFonts w:ascii="Times New Roman" w:hAnsi="Times New Roman" w:cs="Times New Roman"/>
          <w:sz w:val="24"/>
          <w:szCs w:val="24"/>
        </w:rPr>
        <w:t> </w:t>
      </w:r>
      <w:r w:rsidRPr="006503B9">
        <w:rPr>
          <w:rFonts w:ascii="Times New Roman" w:hAnsi="Times New Roman" w:cs="Times New Roman"/>
          <w:sz w:val="24"/>
          <w:szCs w:val="24"/>
        </w:rPr>
        <w:t>sume</w:t>
      </w:r>
      <w:r w:rsidR="001C5B9C">
        <w:rPr>
          <w:rFonts w:ascii="Times New Roman" w:hAnsi="Times New Roman" w:cs="Times New Roman"/>
          <w:sz w:val="24"/>
          <w:szCs w:val="24"/>
        </w:rPr>
        <w:t xml:space="preserve">           </w:t>
      </w:r>
      <w:r w:rsidRPr="006503B9">
        <w:rPr>
          <w:rFonts w:ascii="Times New Roman" w:hAnsi="Times New Roman" w:cs="Times New Roman"/>
          <w:sz w:val="24"/>
          <w:szCs w:val="24"/>
        </w:rPr>
        <w:t xml:space="preserve"> 605 000,00 eur. Príjmy získaval hlavne výkonom puncovej kontroly.</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xml:space="preserve"> Za rok 2015 dosiahol príjmy v sume 640 536,19 eur, čo predstavuje 105,87 % schváleného rozpočtu príjmov na rok 2015. </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Dosiahnutú výšku príjmov tvorili príjmy:</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z výkonu puncovej kontroly – 599 919,69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z vybratých pokút a penále – 37 585,87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ostatné príjmy – 3 030,63 eur, ktoré boli tvorené:</w:t>
      </w:r>
    </w:p>
    <w:p w:rsidR="006503B9" w:rsidRPr="006503B9" w:rsidRDefault="006503B9" w:rsidP="00206498">
      <w:pPr>
        <w:pStyle w:val="Zarkazkladnhotextu"/>
        <w:spacing w:after="0" w:line="240" w:lineRule="auto"/>
        <w:ind w:left="2268"/>
        <w:jc w:val="both"/>
        <w:rPr>
          <w:rFonts w:ascii="Times New Roman" w:hAnsi="Times New Roman" w:cs="Times New Roman"/>
          <w:sz w:val="24"/>
          <w:szCs w:val="24"/>
        </w:rPr>
      </w:pPr>
      <w:r w:rsidRPr="006503B9">
        <w:rPr>
          <w:rFonts w:ascii="Times New Roman" w:hAnsi="Times New Roman" w:cs="Times New Roman"/>
          <w:sz w:val="24"/>
          <w:szCs w:val="24"/>
        </w:rPr>
        <w:t>-  príjmom z preplatku za plyn a za elektrickú energiu – 2 813,00 eur,</w:t>
      </w:r>
    </w:p>
    <w:p w:rsidR="006503B9" w:rsidRPr="006503B9" w:rsidRDefault="006503B9" w:rsidP="00206498">
      <w:pPr>
        <w:pStyle w:val="Zarkazkladnhotextu"/>
        <w:spacing w:after="0" w:line="240" w:lineRule="auto"/>
        <w:ind w:left="2552" w:hanging="284"/>
        <w:jc w:val="both"/>
        <w:rPr>
          <w:rFonts w:ascii="Times New Roman" w:hAnsi="Times New Roman" w:cs="Times New Roman"/>
          <w:sz w:val="24"/>
          <w:szCs w:val="24"/>
        </w:rPr>
      </w:pPr>
      <w:r w:rsidRPr="006503B9">
        <w:rPr>
          <w:rFonts w:ascii="Times New Roman" w:hAnsi="Times New Roman" w:cs="Times New Roman"/>
          <w:sz w:val="24"/>
          <w:szCs w:val="24"/>
        </w:rPr>
        <w:t xml:space="preserve">- za predaj výrobkov a služieb – za poštovné a balné, ktoré </w:t>
      </w:r>
      <w:proofErr w:type="spellStart"/>
      <w:r w:rsidRPr="006503B9">
        <w:rPr>
          <w:rFonts w:ascii="Times New Roman" w:hAnsi="Times New Roman" w:cs="Times New Roman"/>
          <w:sz w:val="24"/>
          <w:szCs w:val="24"/>
        </w:rPr>
        <w:t>PÚ</w:t>
      </w:r>
      <w:proofErr w:type="spellEnd"/>
      <w:r w:rsidRPr="006503B9">
        <w:rPr>
          <w:rFonts w:ascii="Times New Roman" w:hAnsi="Times New Roman" w:cs="Times New Roman"/>
          <w:sz w:val="24"/>
          <w:szCs w:val="24"/>
        </w:rPr>
        <w:t xml:space="preserve"> fakturuje svojim   zákazníkom,   ktorí zasielajú predmety z drahých kovov na opuncovanie  – 203,40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preplatok pokuty - 3,20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xml:space="preserve">- </w:t>
      </w:r>
      <w:proofErr w:type="spellStart"/>
      <w:r w:rsidRPr="006503B9">
        <w:rPr>
          <w:rFonts w:ascii="Times New Roman" w:hAnsi="Times New Roman" w:cs="Times New Roman"/>
          <w:sz w:val="24"/>
          <w:szCs w:val="24"/>
        </w:rPr>
        <w:t>vratka</w:t>
      </w:r>
      <w:proofErr w:type="spellEnd"/>
      <w:r w:rsidRPr="006503B9">
        <w:rPr>
          <w:rFonts w:ascii="Times New Roman" w:hAnsi="Times New Roman" w:cs="Times New Roman"/>
          <w:sz w:val="24"/>
          <w:szCs w:val="24"/>
        </w:rPr>
        <w:t xml:space="preserve"> </w:t>
      </w:r>
      <w:proofErr w:type="spellStart"/>
      <w:r w:rsidRPr="006503B9">
        <w:rPr>
          <w:rFonts w:ascii="Times New Roman" w:hAnsi="Times New Roman" w:cs="Times New Roman"/>
          <w:sz w:val="24"/>
          <w:szCs w:val="24"/>
        </w:rPr>
        <w:t>RZZP</w:t>
      </w:r>
      <w:proofErr w:type="spellEnd"/>
      <w:r w:rsidRPr="006503B9">
        <w:rPr>
          <w:rFonts w:ascii="Times New Roman" w:hAnsi="Times New Roman" w:cs="Times New Roman"/>
          <w:sz w:val="24"/>
          <w:szCs w:val="24"/>
        </w:rPr>
        <w:t xml:space="preserve"> Dôvera - 11,03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p>
    <w:p w:rsidR="006503B9" w:rsidRDefault="006503B9" w:rsidP="006503B9">
      <w:pPr>
        <w:pStyle w:val="Zarkazkladnhotextu"/>
        <w:tabs>
          <w:tab w:val="left" w:pos="0"/>
        </w:tabs>
        <w:spacing w:after="0" w:line="240" w:lineRule="auto"/>
        <w:ind w:left="0"/>
        <w:jc w:val="both"/>
        <w:rPr>
          <w:rFonts w:ascii="Times New Roman" w:hAnsi="Times New Roman" w:cs="Times New Roman"/>
          <w:sz w:val="24"/>
          <w:szCs w:val="24"/>
        </w:rPr>
      </w:pPr>
      <w:r w:rsidRPr="006503B9">
        <w:rPr>
          <w:rFonts w:ascii="Times New Roman" w:hAnsi="Times New Roman" w:cs="Times New Roman"/>
          <w:b/>
          <w:sz w:val="24"/>
          <w:szCs w:val="24"/>
        </w:rPr>
        <w:t>Slovenská obchodná inšpekcia</w:t>
      </w:r>
      <w:r w:rsidRPr="006503B9">
        <w:rPr>
          <w:rFonts w:ascii="Times New Roman" w:hAnsi="Times New Roman" w:cs="Times New Roman"/>
          <w:sz w:val="24"/>
          <w:szCs w:val="24"/>
        </w:rPr>
        <w:t xml:space="preserve"> (</w:t>
      </w:r>
      <w:proofErr w:type="spellStart"/>
      <w:r w:rsidRPr="006503B9">
        <w:rPr>
          <w:rFonts w:ascii="Times New Roman" w:hAnsi="Times New Roman" w:cs="Times New Roman"/>
          <w:sz w:val="24"/>
          <w:szCs w:val="24"/>
        </w:rPr>
        <w:t>SOI</w:t>
      </w:r>
      <w:proofErr w:type="spellEnd"/>
      <w:r w:rsidRPr="006503B9">
        <w:rPr>
          <w:rFonts w:ascii="Times New Roman" w:hAnsi="Times New Roman" w:cs="Times New Roman"/>
          <w:sz w:val="24"/>
          <w:szCs w:val="24"/>
        </w:rPr>
        <w:t>) mala v roku 2015 rozpočtované príjmy v sume                          1 643 000,00 eur, rozpočtovým opatrením boli príjmy upravené na sumu 1 743 000,00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xml:space="preserve">Za rok 2015 boli príjmy  dosiahnuté  v  sume  1 872 203,88 eur, čo je  plnenie  na   107,41 % z upraveného rozpočtu príjmov k 31.12.2015. </w:t>
      </w:r>
    </w:p>
    <w:p w:rsidR="002E7842" w:rsidRDefault="002E7842" w:rsidP="006503B9">
      <w:pPr>
        <w:pStyle w:val="Zarkazkladnhotextu"/>
        <w:tabs>
          <w:tab w:val="left" w:pos="0"/>
        </w:tabs>
        <w:spacing w:after="0" w:line="240" w:lineRule="auto"/>
        <w:ind w:left="0" w:firstLine="709"/>
        <w:jc w:val="both"/>
        <w:rPr>
          <w:rFonts w:ascii="Times New Roman" w:hAnsi="Times New Roman" w:cs="Times New Roman"/>
          <w:sz w:val="24"/>
          <w:szCs w:val="24"/>
        </w:rPr>
      </w:pP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Rozpočtované príjmy boli prijaté v celovej sume 1 838 041,95 eur a boli naplnené:</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z pokút a penále - 1 749 705,27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z prenájmu budovy - 11 599,02 eur,</w:t>
      </w:r>
    </w:p>
    <w:p w:rsidR="006503B9" w:rsidRPr="006503B9" w:rsidRDefault="006503B9" w:rsidP="00206498">
      <w:pPr>
        <w:pStyle w:val="Zarkazkladnhotextu"/>
        <w:spacing w:after="0" w:line="240" w:lineRule="auto"/>
        <w:ind w:left="851" w:hanging="142"/>
        <w:jc w:val="both"/>
        <w:rPr>
          <w:rFonts w:ascii="Times New Roman" w:hAnsi="Times New Roman" w:cs="Times New Roman"/>
          <w:sz w:val="24"/>
          <w:szCs w:val="24"/>
        </w:rPr>
      </w:pPr>
      <w:r w:rsidRPr="006503B9">
        <w:rPr>
          <w:rFonts w:ascii="Times New Roman" w:hAnsi="Times New Roman" w:cs="Times New Roman"/>
          <w:sz w:val="24"/>
          <w:szCs w:val="24"/>
        </w:rPr>
        <w:t>-</w:t>
      </w:r>
      <w:r w:rsidR="00206498">
        <w:rPr>
          <w:rFonts w:ascii="Times New Roman" w:hAnsi="Times New Roman" w:cs="Times New Roman"/>
          <w:sz w:val="24"/>
          <w:szCs w:val="24"/>
        </w:rPr>
        <w:t xml:space="preserve"> </w:t>
      </w:r>
      <w:r w:rsidRPr="006503B9">
        <w:rPr>
          <w:rFonts w:ascii="Times New Roman" w:hAnsi="Times New Roman" w:cs="Times New Roman"/>
          <w:sz w:val="24"/>
          <w:szCs w:val="24"/>
        </w:rPr>
        <w:t xml:space="preserve">za poplatky a platby z nepriemyselného a náhodného predaja a služieb – za </w:t>
      </w:r>
      <w:proofErr w:type="spellStart"/>
      <w:r w:rsidRPr="006503B9">
        <w:rPr>
          <w:rFonts w:ascii="Times New Roman" w:hAnsi="Times New Roman" w:cs="Times New Roman"/>
          <w:sz w:val="24"/>
          <w:szCs w:val="24"/>
        </w:rPr>
        <w:t>refakturácie</w:t>
      </w:r>
      <w:proofErr w:type="spellEnd"/>
      <w:r w:rsidRPr="006503B9">
        <w:rPr>
          <w:rFonts w:ascii="Times New Roman" w:hAnsi="Times New Roman" w:cs="Times New Roman"/>
          <w:sz w:val="24"/>
          <w:szCs w:val="24"/>
        </w:rPr>
        <w:t xml:space="preserve"> nákladov nevyhovujúcich vzoriek a laboratórne rozbory odobratých vzoriek - 57 271,65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z dobropisov – 19 466,01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p>
    <w:p w:rsidR="006503B9" w:rsidRPr="006503B9" w:rsidRDefault="006503B9" w:rsidP="006503B9">
      <w:pPr>
        <w:pStyle w:val="Zarkazkladnhotextu"/>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xml:space="preserve">Nerozpočtované, náhodné príjmy boli prijaté v celkovej sume </w:t>
      </w:r>
      <w:r w:rsidR="00206498">
        <w:rPr>
          <w:rFonts w:ascii="Times New Roman" w:hAnsi="Times New Roman" w:cs="Times New Roman"/>
          <w:sz w:val="24"/>
          <w:szCs w:val="24"/>
        </w:rPr>
        <w:t>3</w:t>
      </w:r>
      <w:r w:rsidRPr="006503B9">
        <w:rPr>
          <w:rFonts w:ascii="Times New Roman" w:hAnsi="Times New Roman" w:cs="Times New Roman"/>
          <w:sz w:val="24"/>
          <w:szCs w:val="24"/>
        </w:rPr>
        <w:t xml:space="preserve">3 649,03 eur </w:t>
      </w:r>
      <w:r w:rsidR="00206498">
        <w:rPr>
          <w:rFonts w:ascii="Times New Roman" w:hAnsi="Times New Roman" w:cs="Times New Roman"/>
          <w:sz w:val="24"/>
          <w:szCs w:val="24"/>
        </w:rPr>
        <w:t xml:space="preserve">a </w:t>
      </w:r>
      <w:r w:rsidRPr="006503B9">
        <w:rPr>
          <w:rFonts w:ascii="Times New Roman" w:hAnsi="Times New Roman" w:cs="Times New Roman"/>
          <w:sz w:val="24"/>
          <w:szCs w:val="24"/>
        </w:rPr>
        <w:t xml:space="preserve">boli naplnené:  </w:t>
      </w:r>
    </w:p>
    <w:p w:rsidR="006503B9" w:rsidRPr="006503B9" w:rsidRDefault="006503B9" w:rsidP="006503B9">
      <w:pPr>
        <w:pStyle w:val="Zarkazkladnhotextu"/>
        <w:tabs>
          <w:tab w:val="left" w:pos="0"/>
        </w:tabs>
        <w:spacing w:after="0" w:line="240" w:lineRule="auto"/>
        <w:ind w:left="0" w:firstLine="284"/>
        <w:jc w:val="both"/>
        <w:rPr>
          <w:rFonts w:ascii="Times New Roman" w:hAnsi="Times New Roman" w:cs="Times New Roman"/>
          <w:sz w:val="24"/>
          <w:szCs w:val="24"/>
        </w:rPr>
      </w:pPr>
      <w:r w:rsidRPr="006503B9">
        <w:rPr>
          <w:rFonts w:ascii="Times New Roman" w:hAnsi="Times New Roman" w:cs="Times New Roman"/>
          <w:sz w:val="24"/>
          <w:szCs w:val="24"/>
        </w:rPr>
        <w:t xml:space="preserve">- ako náhrada z poistného plnenia poisťovňou </w:t>
      </w:r>
      <w:proofErr w:type="spellStart"/>
      <w:r w:rsidRPr="006503B9">
        <w:rPr>
          <w:rFonts w:ascii="Times New Roman" w:hAnsi="Times New Roman" w:cs="Times New Roman"/>
          <w:sz w:val="24"/>
          <w:szCs w:val="24"/>
        </w:rPr>
        <w:t>Allianz</w:t>
      </w:r>
      <w:proofErr w:type="spellEnd"/>
      <w:r w:rsidRPr="006503B9">
        <w:rPr>
          <w:rFonts w:ascii="Times New Roman" w:hAnsi="Times New Roman" w:cs="Times New Roman"/>
          <w:sz w:val="24"/>
          <w:szCs w:val="24"/>
        </w:rPr>
        <w:t xml:space="preserve"> - 4 915,77 eur,</w:t>
      </w:r>
    </w:p>
    <w:p w:rsidR="006503B9" w:rsidRPr="006503B9" w:rsidRDefault="006503B9" w:rsidP="006503B9">
      <w:pPr>
        <w:pStyle w:val="Zarkazkladnhotextu"/>
        <w:spacing w:after="0" w:line="240" w:lineRule="auto"/>
        <w:ind w:left="426" w:hanging="142"/>
        <w:jc w:val="both"/>
        <w:rPr>
          <w:rFonts w:ascii="Times New Roman" w:hAnsi="Times New Roman" w:cs="Times New Roman"/>
          <w:sz w:val="24"/>
          <w:szCs w:val="24"/>
        </w:rPr>
      </w:pPr>
      <w:r w:rsidRPr="006503B9">
        <w:rPr>
          <w:rFonts w:ascii="Times New Roman" w:hAnsi="Times New Roman" w:cs="Times New Roman"/>
          <w:sz w:val="24"/>
          <w:szCs w:val="24"/>
        </w:rPr>
        <w:t>- ako iné náhodné príjmy - 20 422,26 eur, ktoré boli tvorené</w:t>
      </w:r>
      <w:r>
        <w:rPr>
          <w:rFonts w:ascii="Times New Roman" w:hAnsi="Times New Roman" w:cs="Times New Roman"/>
          <w:sz w:val="24"/>
          <w:szCs w:val="24"/>
        </w:rPr>
        <w:t xml:space="preserve">: </w:t>
      </w:r>
      <w:r w:rsidRPr="006503B9">
        <w:rPr>
          <w:rFonts w:ascii="Times New Roman" w:hAnsi="Times New Roman" w:cs="Times New Roman"/>
          <w:sz w:val="24"/>
          <w:szCs w:val="24"/>
        </w:rPr>
        <w:t xml:space="preserve">refundáciami nákladov z EÚ za zahraničné pracovné cesty z rokov 2013 a 2014, neprevzatým preplatkom za pokutu, náhradou škody zaplatených zamestnancami, exekútorom vrátené náklady za kolok, kapitálové príjmy  za odpredaj vyradených služobných motorových vozidiel – </w:t>
      </w:r>
      <w:r w:rsidR="00206498">
        <w:rPr>
          <w:rFonts w:ascii="Times New Roman" w:hAnsi="Times New Roman" w:cs="Times New Roman"/>
          <w:sz w:val="24"/>
          <w:szCs w:val="24"/>
        </w:rPr>
        <w:t xml:space="preserve">      </w:t>
      </w:r>
      <w:r w:rsidRPr="006503B9">
        <w:rPr>
          <w:rFonts w:ascii="Times New Roman" w:hAnsi="Times New Roman" w:cs="Times New Roman"/>
          <w:sz w:val="24"/>
          <w:szCs w:val="24"/>
        </w:rPr>
        <w:t xml:space="preserve">8 311,00 eur. </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p>
    <w:p w:rsidR="006503B9" w:rsidRPr="006503B9" w:rsidRDefault="006503B9" w:rsidP="002E7842">
      <w:pPr>
        <w:pStyle w:val="Zarkazkladnhotextu"/>
        <w:tabs>
          <w:tab w:val="left" w:pos="0"/>
        </w:tabs>
        <w:spacing w:after="0" w:line="240" w:lineRule="auto"/>
        <w:ind w:left="0" w:firstLine="709"/>
        <w:jc w:val="both"/>
        <w:rPr>
          <w:rFonts w:ascii="Times New Roman" w:hAnsi="Times New Roman" w:cs="Times New Roman"/>
          <w:sz w:val="24"/>
          <w:szCs w:val="24"/>
        </w:rPr>
      </w:pPr>
      <w:proofErr w:type="spellStart"/>
      <w:r w:rsidRPr="006503B9">
        <w:rPr>
          <w:rFonts w:ascii="Times New Roman" w:hAnsi="Times New Roman" w:cs="Times New Roman"/>
          <w:sz w:val="24"/>
          <w:szCs w:val="24"/>
        </w:rPr>
        <w:t>SOI</w:t>
      </w:r>
      <w:proofErr w:type="spellEnd"/>
      <w:r w:rsidRPr="006503B9">
        <w:rPr>
          <w:rFonts w:ascii="Times New Roman" w:hAnsi="Times New Roman" w:cs="Times New Roman"/>
          <w:sz w:val="24"/>
          <w:szCs w:val="24"/>
        </w:rPr>
        <w:t xml:space="preserve"> v hodnotenom období prijala grant od medzinárodnej organizácie v sume  </w:t>
      </w:r>
      <w:r w:rsidR="00206498">
        <w:rPr>
          <w:rFonts w:ascii="Times New Roman" w:hAnsi="Times New Roman" w:cs="Times New Roman"/>
          <w:sz w:val="24"/>
          <w:szCs w:val="24"/>
        </w:rPr>
        <w:t xml:space="preserve">   </w:t>
      </w:r>
      <w:r w:rsidRPr="006503B9">
        <w:rPr>
          <w:rFonts w:ascii="Times New Roman" w:hAnsi="Times New Roman" w:cs="Times New Roman"/>
          <w:sz w:val="24"/>
          <w:szCs w:val="24"/>
        </w:rPr>
        <w:t xml:space="preserve">512,90 eur na projekt </w:t>
      </w:r>
      <w:proofErr w:type="spellStart"/>
      <w:r w:rsidRPr="006503B9">
        <w:rPr>
          <w:rFonts w:ascii="Times New Roman" w:hAnsi="Times New Roman" w:cs="Times New Roman"/>
          <w:sz w:val="24"/>
          <w:szCs w:val="24"/>
        </w:rPr>
        <w:t>EUTS</w:t>
      </w:r>
      <w:proofErr w:type="spellEnd"/>
      <w:r w:rsidRPr="006503B9">
        <w:rPr>
          <w:rFonts w:ascii="Times New Roman" w:hAnsi="Times New Roman" w:cs="Times New Roman"/>
          <w:sz w:val="24"/>
          <w:szCs w:val="24"/>
        </w:rPr>
        <w:t xml:space="preserve"> III – Európska stratégia pre nekalé obchodné praktiky III v roku 2015.</w:t>
      </w:r>
    </w:p>
    <w:p w:rsidR="006503B9" w:rsidRPr="006503B9" w:rsidRDefault="006503B9" w:rsidP="001C5B9C">
      <w:pPr>
        <w:pStyle w:val="Zarkazkladnhotextu"/>
        <w:tabs>
          <w:tab w:val="left" w:pos="0"/>
        </w:tabs>
        <w:spacing w:after="0" w:line="240" w:lineRule="auto"/>
        <w:ind w:left="0"/>
        <w:jc w:val="both"/>
        <w:rPr>
          <w:rFonts w:ascii="Times New Roman" w:hAnsi="Times New Roman" w:cs="Times New Roman"/>
          <w:sz w:val="24"/>
          <w:szCs w:val="24"/>
        </w:rPr>
      </w:pPr>
      <w:r w:rsidRPr="00F86D1A">
        <w:rPr>
          <w:rFonts w:ascii="Times New Roman" w:hAnsi="Times New Roman" w:cs="Times New Roman"/>
          <w:b/>
          <w:sz w:val="24"/>
          <w:szCs w:val="24"/>
        </w:rPr>
        <w:t>Ministerstvo  hospodárstva SR</w:t>
      </w:r>
      <w:r w:rsidRPr="006503B9">
        <w:rPr>
          <w:rFonts w:ascii="Times New Roman" w:hAnsi="Times New Roman" w:cs="Times New Roman"/>
          <w:sz w:val="24"/>
          <w:szCs w:val="24"/>
        </w:rPr>
        <w:t xml:space="preserve"> (úrad</w:t>
      </w:r>
      <w:r w:rsidR="00F86D1A">
        <w:rPr>
          <w:rFonts w:ascii="Times New Roman" w:hAnsi="Times New Roman" w:cs="Times New Roman"/>
          <w:sz w:val="24"/>
          <w:szCs w:val="24"/>
        </w:rPr>
        <w:t xml:space="preserve"> MH SR</w:t>
      </w:r>
      <w:r w:rsidRPr="006503B9">
        <w:rPr>
          <w:rFonts w:ascii="Times New Roman" w:hAnsi="Times New Roman" w:cs="Times New Roman"/>
          <w:sz w:val="24"/>
          <w:szCs w:val="24"/>
        </w:rPr>
        <w:t xml:space="preserve">) malo  na  rok 2015  schválený  rozpočet  príjmov  v sume 113 877 085,00 eur, z toho 41 770 360,00 eur boli príjmy z  dividend </w:t>
      </w:r>
      <w:r w:rsidR="002E7842">
        <w:rPr>
          <w:rFonts w:ascii="Times New Roman" w:hAnsi="Times New Roman" w:cs="Times New Roman"/>
          <w:sz w:val="24"/>
          <w:szCs w:val="24"/>
        </w:rPr>
        <w:t xml:space="preserve">           </w:t>
      </w:r>
      <w:r w:rsidRPr="006503B9">
        <w:rPr>
          <w:rFonts w:ascii="Times New Roman" w:hAnsi="Times New Roman" w:cs="Times New Roman"/>
          <w:sz w:val="24"/>
          <w:szCs w:val="24"/>
        </w:rPr>
        <w:t xml:space="preserve"> a 71  459  300,00 eur  príjmy z  odvodov od</w:t>
      </w:r>
      <w:r w:rsidR="002E7842">
        <w:rPr>
          <w:rFonts w:ascii="Times New Roman" w:hAnsi="Times New Roman" w:cs="Times New Roman"/>
          <w:sz w:val="24"/>
          <w:szCs w:val="24"/>
        </w:rPr>
        <w:t xml:space="preserve"> </w:t>
      </w:r>
      <w:r w:rsidRPr="006503B9">
        <w:rPr>
          <w:rFonts w:ascii="Times New Roman" w:hAnsi="Times New Roman" w:cs="Times New Roman"/>
          <w:sz w:val="24"/>
          <w:szCs w:val="24"/>
        </w:rPr>
        <w:t xml:space="preserve"> prevádzkovateľa </w:t>
      </w:r>
      <w:r w:rsidR="002E7842">
        <w:rPr>
          <w:rFonts w:ascii="Times New Roman" w:hAnsi="Times New Roman" w:cs="Times New Roman"/>
          <w:sz w:val="24"/>
          <w:szCs w:val="24"/>
        </w:rPr>
        <w:t xml:space="preserve"> </w:t>
      </w:r>
      <w:r w:rsidRPr="006503B9">
        <w:rPr>
          <w:rFonts w:ascii="Times New Roman" w:hAnsi="Times New Roman" w:cs="Times New Roman"/>
          <w:sz w:val="24"/>
          <w:szCs w:val="24"/>
        </w:rPr>
        <w:t xml:space="preserve"> prenosovej </w:t>
      </w:r>
      <w:r w:rsidR="002E7842">
        <w:rPr>
          <w:rFonts w:ascii="Times New Roman" w:hAnsi="Times New Roman" w:cs="Times New Roman"/>
          <w:sz w:val="24"/>
          <w:szCs w:val="24"/>
        </w:rPr>
        <w:t xml:space="preserve"> </w:t>
      </w:r>
      <w:r w:rsidRPr="006503B9">
        <w:rPr>
          <w:rFonts w:ascii="Times New Roman" w:hAnsi="Times New Roman" w:cs="Times New Roman"/>
          <w:sz w:val="24"/>
          <w:szCs w:val="24"/>
        </w:rPr>
        <w:t xml:space="preserve">sústavy </w:t>
      </w:r>
      <w:r w:rsidR="002E7842">
        <w:rPr>
          <w:rFonts w:ascii="Times New Roman" w:hAnsi="Times New Roman" w:cs="Times New Roman"/>
          <w:sz w:val="24"/>
          <w:szCs w:val="24"/>
        </w:rPr>
        <w:t xml:space="preserve">                 </w:t>
      </w:r>
      <w:r w:rsidRPr="006503B9">
        <w:rPr>
          <w:rFonts w:ascii="Times New Roman" w:hAnsi="Times New Roman" w:cs="Times New Roman"/>
          <w:sz w:val="24"/>
          <w:szCs w:val="24"/>
        </w:rPr>
        <w:t xml:space="preserve"> a prevádzkovateľov distribučných sústav. Ďalšie  príjmy boli rozpísané ako príjmy z plnenia biocídneho zákona 336 000,00 eur, vratky prostriedkov mesta Žilina 299 096,00 eur a z prenájmu budov, priestorov a objektov v sume 12 329,00 eur.    </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V priebehu roka 2015 bol rozpočet</w:t>
      </w:r>
      <w:r w:rsidR="00F86D1A">
        <w:rPr>
          <w:rFonts w:ascii="Times New Roman" w:hAnsi="Times New Roman" w:cs="Times New Roman"/>
          <w:sz w:val="24"/>
          <w:szCs w:val="24"/>
        </w:rPr>
        <w:t xml:space="preserve"> </w:t>
      </w:r>
      <w:r w:rsidRPr="006503B9">
        <w:rPr>
          <w:rFonts w:ascii="Times New Roman" w:hAnsi="Times New Roman" w:cs="Times New Roman"/>
          <w:sz w:val="24"/>
          <w:szCs w:val="24"/>
        </w:rPr>
        <w:t>príjmov úradu upravený na sumu                95 980 971,73 eur, z toho príjmy z dividend boli znížené na sumu 23 065 371,34 eur, odvody z prenosovej a distribučných sústav boli upravené na sumu 72 298 175,39 eur, plnenie biocídneho zákona bolo upravené na sumu 306 000,00 eur. Vratky mesta Žilina v sume      299 096,00 eur a príjmy za prenájom vo výške 12 329,00 eur zostali nezmenené.</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xml:space="preserve">Za hodnotené obdobie boli celkové príjmy úradu  naplnené </w:t>
      </w:r>
      <w:r w:rsidR="00206498">
        <w:rPr>
          <w:rFonts w:ascii="Times New Roman" w:hAnsi="Times New Roman" w:cs="Times New Roman"/>
          <w:sz w:val="24"/>
          <w:szCs w:val="24"/>
        </w:rPr>
        <w:t xml:space="preserve">v sume </w:t>
      </w:r>
      <w:r w:rsidRPr="006503B9">
        <w:rPr>
          <w:rFonts w:ascii="Times New Roman" w:hAnsi="Times New Roman" w:cs="Times New Roman"/>
          <w:sz w:val="24"/>
          <w:szCs w:val="24"/>
        </w:rPr>
        <w:t xml:space="preserve"> 97 471 545,27 eur, t.j. 101,55%, z upraveného rozpočtu príjmov úradu MH SR. Príjmy úradu boli tvorené rozpočtovanými príjmami a ostatnými náhodnými príjmami.</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Z celkovej výšky príjmov boli rozpočtované príjmy naplnené v </w:t>
      </w:r>
      <w:r w:rsidR="00206498">
        <w:rPr>
          <w:rFonts w:ascii="Times New Roman" w:hAnsi="Times New Roman" w:cs="Times New Roman"/>
          <w:sz w:val="24"/>
          <w:szCs w:val="24"/>
        </w:rPr>
        <w:t xml:space="preserve"> </w:t>
      </w:r>
      <w:r w:rsidRPr="006503B9">
        <w:rPr>
          <w:rFonts w:ascii="Times New Roman" w:hAnsi="Times New Roman" w:cs="Times New Roman"/>
          <w:sz w:val="24"/>
          <w:szCs w:val="24"/>
        </w:rPr>
        <w:t xml:space="preserve">sume </w:t>
      </w:r>
      <w:r w:rsidR="00206498">
        <w:rPr>
          <w:rFonts w:ascii="Times New Roman" w:hAnsi="Times New Roman" w:cs="Times New Roman"/>
          <w:sz w:val="24"/>
          <w:szCs w:val="24"/>
        </w:rPr>
        <w:t xml:space="preserve">       </w:t>
      </w:r>
      <w:r w:rsidRPr="006503B9">
        <w:rPr>
          <w:rFonts w:ascii="Times New Roman" w:hAnsi="Times New Roman" w:cs="Times New Roman"/>
          <w:sz w:val="24"/>
          <w:szCs w:val="24"/>
        </w:rPr>
        <w:t>96 571 737,08 eur nasledovne:</w:t>
      </w:r>
    </w:p>
    <w:p w:rsidR="00F86D1A" w:rsidRDefault="006503B9" w:rsidP="000173F4">
      <w:pPr>
        <w:pStyle w:val="Zarkazkladnhotextu"/>
        <w:numPr>
          <w:ilvl w:val="0"/>
          <w:numId w:val="8"/>
        </w:numPr>
        <w:tabs>
          <w:tab w:val="left" w:pos="0"/>
        </w:tabs>
        <w:spacing w:after="0" w:line="240" w:lineRule="auto"/>
        <w:ind w:left="709" w:hanging="283"/>
        <w:jc w:val="both"/>
        <w:rPr>
          <w:rFonts w:ascii="Times New Roman" w:hAnsi="Times New Roman" w:cs="Times New Roman"/>
          <w:sz w:val="24"/>
          <w:szCs w:val="24"/>
        </w:rPr>
      </w:pPr>
      <w:r w:rsidRPr="006503B9">
        <w:rPr>
          <w:rFonts w:ascii="Times New Roman" w:hAnsi="Times New Roman" w:cs="Times New Roman"/>
          <w:sz w:val="24"/>
          <w:szCs w:val="24"/>
        </w:rPr>
        <w:t>72 886 098,90 eur z odvodov z prenosovej sústavy a distribučných sústav NJF,</w:t>
      </w:r>
    </w:p>
    <w:p w:rsidR="006503B9" w:rsidRPr="00F86D1A" w:rsidRDefault="006503B9" w:rsidP="000173F4">
      <w:pPr>
        <w:pStyle w:val="Zarkazkladnhotextu"/>
        <w:numPr>
          <w:ilvl w:val="0"/>
          <w:numId w:val="8"/>
        </w:numPr>
        <w:tabs>
          <w:tab w:val="left" w:pos="0"/>
        </w:tabs>
        <w:spacing w:after="0" w:line="240" w:lineRule="auto"/>
        <w:ind w:hanging="850"/>
        <w:jc w:val="both"/>
        <w:rPr>
          <w:rFonts w:ascii="Times New Roman" w:hAnsi="Times New Roman" w:cs="Times New Roman"/>
          <w:sz w:val="24"/>
          <w:szCs w:val="24"/>
        </w:rPr>
      </w:pPr>
      <w:r w:rsidRPr="00F86D1A">
        <w:rPr>
          <w:rFonts w:ascii="Times New Roman" w:hAnsi="Times New Roman" w:cs="Times New Roman"/>
          <w:sz w:val="24"/>
          <w:szCs w:val="24"/>
        </w:rPr>
        <w:t xml:space="preserve">23 065 371,34 z dividend z toho: - </w:t>
      </w:r>
      <w:proofErr w:type="spellStart"/>
      <w:r w:rsidRPr="00F86D1A">
        <w:rPr>
          <w:rFonts w:ascii="Times New Roman" w:hAnsi="Times New Roman" w:cs="Times New Roman"/>
          <w:sz w:val="24"/>
          <w:szCs w:val="24"/>
        </w:rPr>
        <w:t>JAVYS</w:t>
      </w:r>
      <w:proofErr w:type="spellEnd"/>
      <w:r w:rsidRPr="00F86D1A">
        <w:rPr>
          <w:rFonts w:ascii="Times New Roman" w:hAnsi="Times New Roman" w:cs="Times New Roman"/>
          <w:sz w:val="24"/>
          <w:szCs w:val="24"/>
        </w:rPr>
        <w:t>, a.s. 5 000 000,00 eur,</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 xml:space="preserve">   </w:t>
      </w:r>
      <w:r w:rsidRPr="006503B9">
        <w:rPr>
          <w:rFonts w:ascii="Times New Roman" w:hAnsi="Times New Roman" w:cs="Times New Roman"/>
          <w:sz w:val="24"/>
          <w:szCs w:val="24"/>
        </w:rPr>
        <w:tab/>
      </w:r>
      <w:r w:rsidRPr="006503B9">
        <w:rPr>
          <w:rFonts w:ascii="Times New Roman" w:hAnsi="Times New Roman" w:cs="Times New Roman"/>
          <w:sz w:val="24"/>
          <w:szCs w:val="24"/>
        </w:rPr>
        <w:tab/>
      </w:r>
      <w:r w:rsidRPr="006503B9">
        <w:rPr>
          <w:rFonts w:ascii="Times New Roman" w:hAnsi="Times New Roman" w:cs="Times New Roman"/>
          <w:sz w:val="24"/>
          <w:szCs w:val="24"/>
        </w:rPr>
        <w:tab/>
      </w:r>
      <w:r w:rsidRPr="006503B9">
        <w:rPr>
          <w:rFonts w:ascii="Times New Roman" w:hAnsi="Times New Roman" w:cs="Times New Roman"/>
          <w:sz w:val="24"/>
          <w:szCs w:val="24"/>
        </w:rPr>
        <w:tab/>
        <w:t xml:space="preserve">   </w:t>
      </w:r>
      <w:r w:rsidR="00F86D1A">
        <w:rPr>
          <w:rFonts w:ascii="Times New Roman" w:hAnsi="Times New Roman" w:cs="Times New Roman"/>
          <w:sz w:val="24"/>
          <w:szCs w:val="24"/>
        </w:rPr>
        <w:t xml:space="preserve">    </w:t>
      </w:r>
      <w:r w:rsidRPr="006503B9">
        <w:rPr>
          <w:rFonts w:ascii="Times New Roman" w:hAnsi="Times New Roman" w:cs="Times New Roman"/>
          <w:sz w:val="24"/>
          <w:szCs w:val="24"/>
        </w:rPr>
        <w:t>- Slovak Telekom, a.s. 11 065 371,34 eur,</w:t>
      </w:r>
    </w:p>
    <w:p w:rsidR="000173F4" w:rsidRDefault="006503B9" w:rsidP="000173F4">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ab/>
      </w:r>
      <w:r w:rsidRPr="006503B9">
        <w:rPr>
          <w:rFonts w:ascii="Times New Roman" w:hAnsi="Times New Roman" w:cs="Times New Roman"/>
          <w:sz w:val="24"/>
          <w:szCs w:val="24"/>
        </w:rPr>
        <w:tab/>
      </w:r>
      <w:r w:rsidRPr="006503B9">
        <w:rPr>
          <w:rFonts w:ascii="Times New Roman" w:hAnsi="Times New Roman" w:cs="Times New Roman"/>
          <w:sz w:val="24"/>
          <w:szCs w:val="24"/>
        </w:rPr>
        <w:tab/>
      </w:r>
      <w:r w:rsidRPr="006503B9">
        <w:rPr>
          <w:rFonts w:ascii="Times New Roman" w:hAnsi="Times New Roman" w:cs="Times New Roman"/>
          <w:sz w:val="24"/>
          <w:szCs w:val="24"/>
        </w:rPr>
        <w:tab/>
        <w:t xml:space="preserve">   </w:t>
      </w:r>
      <w:r w:rsidR="00F86D1A">
        <w:rPr>
          <w:rFonts w:ascii="Times New Roman" w:hAnsi="Times New Roman" w:cs="Times New Roman"/>
          <w:sz w:val="24"/>
          <w:szCs w:val="24"/>
        </w:rPr>
        <w:t xml:space="preserve">    </w:t>
      </w:r>
      <w:r w:rsidRPr="006503B9">
        <w:rPr>
          <w:rFonts w:ascii="Times New Roman" w:hAnsi="Times New Roman" w:cs="Times New Roman"/>
          <w:sz w:val="24"/>
          <w:szCs w:val="24"/>
        </w:rPr>
        <w:t>- Transpetrol, a.s. 7 000 000 eur.</w:t>
      </w:r>
    </w:p>
    <w:p w:rsidR="006503B9" w:rsidRPr="006503B9" w:rsidRDefault="000173F4" w:rsidP="000173F4">
      <w:pPr>
        <w:pStyle w:val="Zarkazkladnhotextu"/>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6503B9" w:rsidRPr="006503B9">
        <w:rPr>
          <w:rFonts w:ascii="Times New Roman" w:hAnsi="Times New Roman" w:cs="Times New Roman"/>
          <w:sz w:val="24"/>
          <w:szCs w:val="24"/>
        </w:rPr>
        <w:t>z vratiek mesta Žilina 299 096 eur,</w:t>
      </w:r>
    </w:p>
    <w:p w:rsidR="006503B9" w:rsidRPr="006503B9" w:rsidRDefault="000173F4" w:rsidP="000173F4">
      <w:pPr>
        <w:pStyle w:val="Zarkazkladnhotextu"/>
        <w:tabs>
          <w:tab w:val="left" w:pos="0"/>
        </w:tabs>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6503B9" w:rsidRPr="006503B9">
        <w:rPr>
          <w:rFonts w:ascii="Times New Roman" w:hAnsi="Times New Roman" w:cs="Times New Roman"/>
          <w:sz w:val="24"/>
          <w:szCs w:val="24"/>
        </w:rPr>
        <w:t>z prenájmu majetku  13 421,34  eur,</w:t>
      </w:r>
    </w:p>
    <w:p w:rsidR="006503B9" w:rsidRPr="006503B9" w:rsidRDefault="000173F4" w:rsidP="000173F4">
      <w:pPr>
        <w:pStyle w:val="Zarkazkladnhotextu"/>
        <w:tabs>
          <w:tab w:val="left" w:pos="0"/>
        </w:tabs>
        <w:spacing w:after="0"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 xml:space="preserve">-    </w:t>
      </w:r>
      <w:r w:rsidR="006503B9" w:rsidRPr="006503B9">
        <w:rPr>
          <w:rFonts w:ascii="Times New Roman" w:hAnsi="Times New Roman" w:cs="Times New Roman"/>
          <w:sz w:val="24"/>
          <w:szCs w:val="24"/>
        </w:rPr>
        <w:t xml:space="preserve">príjmy z biocídneho zákona v sume 307 749,50 eur. </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p>
    <w:p w:rsidR="006503B9" w:rsidRDefault="006503B9" w:rsidP="000173F4">
      <w:pPr>
        <w:pStyle w:val="Zarkazkladnhotextu"/>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Ostatné náhodné príjmy úradu  v sume 899 808,19 eur boli tvorené platbami za vratky  kapitálových transferov v sume 761 779,69 eur (od spoločností Johnson Controls Lučenec a </w:t>
      </w:r>
      <w:proofErr w:type="spellStart"/>
      <w:r w:rsidRPr="006503B9">
        <w:rPr>
          <w:rFonts w:ascii="Times New Roman" w:hAnsi="Times New Roman" w:cs="Times New Roman"/>
          <w:sz w:val="24"/>
          <w:szCs w:val="24"/>
        </w:rPr>
        <w:t>CRW</w:t>
      </w:r>
      <w:proofErr w:type="spellEnd"/>
      <w:r w:rsidRPr="006503B9">
        <w:rPr>
          <w:rFonts w:ascii="Times New Roman" w:hAnsi="Times New Roman" w:cs="Times New Roman"/>
          <w:sz w:val="24"/>
          <w:szCs w:val="24"/>
        </w:rPr>
        <w:t xml:space="preserve"> Slovakia),  </w:t>
      </w:r>
      <w:proofErr w:type="spellStart"/>
      <w:r w:rsidRPr="006503B9">
        <w:rPr>
          <w:rFonts w:ascii="Times New Roman" w:hAnsi="Times New Roman" w:cs="Times New Roman"/>
          <w:sz w:val="24"/>
          <w:szCs w:val="24"/>
        </w:rPr>
        <w:t>vratkami</w:t>
      </w:r>
      <w:proofErr w:type="spellEnd"/>
      <w:r w:rsidRPr="006503B9">
        <w:rPr>
          <w:rFonts w:ascii="Times New Roman" w:hAnsi="Times New Roman" w:cs="Times New Roman"/>
          <w:sz w:val="24"/>
          <w:szCs w:val="24"/>
        </w:rPr>
        <w:t xml:space="preserve">  v sume  32 133,84 eur,  dobropismi v sume  13 954,13 eur, z predaja majetku 12 883,80 eur, za porušenie predpisov 6 640,00 eur, od ostatných subjektov (SBA) 5 852,49 eur   a inými príjmami v sume 66 564,24 eur. </w:t>
      </w:r>
    </w:p>
    <w:p w:rsidR="000173F4" w:rsidRPr="006503B9" w:rsidRDefault="000173F4" w:rsidP="000173F4">
      <w:pPr>
        <w:pStyle w:val="Zarkazkladnhotextu"/>
        <w:spacing w:after="0" w:line="240" w:lineRule="auto"/>
        <w:ind w:left="0" w:firstLine="709"/>
        <w:jc w:val="both"/>
        <w:rPr>
          <w:rFonts w:ascii="Times New Roman" w:hAnsi="Times New Roman" w:cs="Times New Roman"/>
          <w:sz w:val="24"/>
          <w:szCs w:val="24"/>
        </w:rPr>
      </w:pPr>
    </w:p>
    <w:p w:rsidR="006503B9" w:rsidRPr="006503B9" w:rsidRDefault="006503B9" w:rsidP="000173F4">
      <w:pPr>
        <w:pStyle w:val="Zarkazkladnhotextu"/>
        <w:spacing w:after="0" w:line="240" w:lineRule="auto"/>
        <w:ind w:left="0"/>
        <w:jc w:val="both"/>
        <w:rPr>
          <w:rFonts w:ascii="Times New Roman" w:hAnsi="Times New Roman" w:cs="Times New Roman"/>
          <w:sz w:val="24"/>
          <w:szCs w:val="24"/>
        </w:rPr>
      </w:pPr>
      <w:r w:rsidRPr="000173F4">
        <w:rPr>
          <w:rFonts w:ascii="Times New Roman" w:hAnsi="Times New Roman" w:cs="Times New Roman"/>
          <w:b/>
          <w:sz w:val="24"/>
          <w:szCs w:val="24"/>
        </w:rPr>
        <w:t>Platobná  jednotka – VOJ MH SR</w:t>
      </w:r>
      <w:r w:rsidRPr="006503B9">
        <w:rPr>
          <w:rFonts w:ascii="Times New Roman" w:hAnsi="Times New Roman" w:cs="Times New Roman"/>
          <w:sz w:val="24"/>
          <w:szCs w:val="24"/>
        </w:rPr>
        <w:t xml:space="preserve"> mala  schválené príjmy  prostriedkov z rozpočtu EÚ  na  rok  2015  </w:t>
      </w:r>
      <w:r w:rsidR="00206498" w:rsidRPr="006503B9">
        <w:rPr>
          <w:rFonts w:ascii="Times New Roman" w:hAnsi="Times New Roman" w:cs="Times New Roman"/>
          <w:sz w:val="24"/>
          <w:szCs w:val="24"/>
        </w:rPr>
        <w:t>v </w:t>
      </w:r>
      <w:r w:rsidR="00206498">
        <w:rPr>
          <w:rFonts w:ascii="Times New Roman" w:hAnsi="Times New Roman" w:cs="Times New Roman"/>
          <w:sz w:val="24"/>
          <w:szCs w:val="24"/>
        </w:rPr>
        <w:t xml:space="preserve"> </w:t>
      </w:r>
      <w:r w:rsidR="00206498" w:rsidRPr="006503B9">
        <w:rPr>
          <w:rFonts w:ascii="Times New Roman" w:hAnsi="Times New Roman" w:cs="Times New Roman"/>
          <w:sz w:val="24"/>
          <w:szCs w:val="24"/>
        </w:rPr>
        <w:t xml:space="preserve">sume </w:t>
      </w:r>
      <w:r w:rsidRPr="006503B9">
        <w:rPr>
          <w:rFonts w:ascii="Times New Roman" w:hAnsi="Times New Roman" w:cs="Times New Roman"/>
          <w:sz w:val="24"/>
          <w:szCs w:val="24"/>
        </w:rPr>
        <w:t xml:space="preserve">170 130 029,00 eur. Rozpočtovými opatreniami MF SR bol rozpočet príjmov  k 31.12.2015  upravený na </w:t>
      </w:r>
      <w:r w:rsidR="00206498">
        <w:rPr>
          <w:rFonts w:ascii="Times New Roman" w:hAnsi="Times New Roman" w:cs="Times New Roman"/>
          <w:sz w:val="24"/>
          <w:szCs w:val="24"/>
        </w:rPr>
        <w:t>sumu</w:t>
      </w:r>
      <w:r w:rsidRPr="006503B9">
        <w:rPr>
          <w:rFonts w:ascii="Times New Roman" w:hAnsi="Times New Roman" w:cs="Times New Roman"/>
          <w:sz w:val="24"/>
          <w:szCs w:val="24"/>
        </w:rPr>
        <w:t xml:space="preserve"> 268 551 088,05 eur. Príjmy k 31.12.2015 boli naplnené v sume 269 032 298,62 eur, čo predstavuje  plnenie rozpočtu na  100,18 %. Vyššie plnenie bolo z dôvodu, že nedaňové príjmy sa nerozpočtujú.</w:t>
      </w:r>
    </w:p>
    <w:p w:rsidR="006503B9" w:rsidRPr="006503B9" w:rsidRDefault="006503B9" w:rsidP="00270FED">
      <w:pPr>
        <w:pStyle w:val="Zarkazkladnhotextu"/>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Nedaňové príjmy boli prijaté v sume 481 210,57 eur, tvoria ich  nezrovnalosti  a iné vratky za prostriedky EÚ zaradené do ŠR a za prostriedky spolufinancovania.</w:t>
      </w:r>
    </w:p>
    <w:p w:rsidR="006503B9" w:rsidRPr="006503B9" w:rsidRDefault="006503B9" w:rsidP="006503B9">
      <w:pPr>
        <w:pStyle w:val="Zarkazkladnhotextu"/>
        <w:tabs>
          <w:tab w:val="left" w:pos="0"/>
        </w:tabs>
        <w:spacing w:after="0" w:line="240" w:lineRule="auto"/>
        <w:ind w:left="0" w:firstLine="709"/>
        <w:jc w:val="both"/>
        <w:rPr>
          <w:rFonts w:ascii="Times New Roman" w:hAnsi="Times New Roman" w:cs="Times New Roman"/>
          <w:sz w:val="24"/>
          <w:szCs w:val="24"/>
        </w:rPr>
      </w:pPr>
      <w:r w:rsidRPr="006503B9">
        <w:rPr>
          <w:rFonts w:ascii="Times New Roman" w:hAnsi="Times New Roman" w:cs="Times New Roman"/>
          <w:sz w:val="24"/>
          <w:szCs w:val="24"/>
        </w:rPr>
        <w:t>Príjem prostriedkov z rozpočtu EÚ bol uskutočnený na základe schválených  súhrnných žiadostí o platbu Certifikačným orgánom (Ministerstvo financií SR) a predstavoval podiel  Európskeho  fondu  regionálneho  rozvoja  pri  refundácii  oprávnených  výdavkov    a zúčtovaní poskytnutých predfinancovaní  a  zálohových platieb z jednotlivých opatrení Operačného programu Konkurencieschopnosť a hospodársky rast.</w:t>
      </w:r>
    </w:p>
    <w:p w:rsidR="00F17059" w:rsidRDefault="00F17059" w:rsidP="006B2369">
      <w:pPr>
        <w:spacing w:before="240" w:line="240" w:lineRule="auto"/>
        <w:jc w:val="both"/>
        <w:rPr>
          <w:rFonts w:ascii="Times New Roman" w:hAnsi="Times New Roman" w:cs="Times New Roman"/>
          <w:i/>
          <w:sz w:val="24"/>
          <w:szCs w:val="24"/>
        </w:rPr>
      </w:pPr>
    </w:p>
    <w:p w:rsidR="00F17059" w:rsidRDefault="00F17059" w:rsidP="006B2369">
      <w:pPr>
        <w:spacing w:before="240" w:line="240" w:lineRule="auto"/>
        <w:jc w:val="both"/>
        <w:rPr>
          <w:rFonts w:ascii="Times New Roman" w:hAnsi="Times New Roman" w:cs="Times New Roman"/>
          <w:i/>
          <w:sz w:val="24"/>
          <w:szCs w:val="24"/>
        </w:rPr>
      </w:pPr>
    </w:p>
    <w:p w:rsidR="00F17059" w:rsidRDefault="00F17059" w:rsidP="006B2369">
      <w:pPr>
        <w:spacing w:before="240" w:line="240" w:lineRule="auto"/>
        <w:jc w:val="both"/>
        <w:rPr>
          <w:rFonts w:ascii="Times New Roman" w:hAnsi="Times New Roman" w:cs="Times New Roman"/>
          <w:i/>
          <w:sz w:val="24"/>
          <w:szCs w:val="24"/>
        </w:rPr>
      </w:pPr>
    </w:p>
    <w:p w:rsidR="00F17059" w:rsidRDefault="00F17059" w:rsidP="006B2369">
      <w:pPr>
        <w:spacing w:before="240" w:line="240" w:lineRule="auto"/>
        <w:jc w:val="both"/>
        <w:rPr>
          <w:rFonts w:ascii="Times New Roman" w:hAnsi="Times New Roman" w:cs="Times New Roman"/>
          <w:i/>
          <w:sz w:val="24"/>
          <w:szCs w:val="24"/>
        </w:rPr>
      </w:pPr>
    </w:p>
    <w:p w:rsidR="006E0C08" w:rsidRDefault="006E0C08" w:rsidP="006B2369">
      <w:pPr>
        <w:spacing w:before="240" w:line="240" w:lineRule="auto"/>
        <w:jc w:val="both"/>
        <w:rPr>
          <w:rFonts w:ascii="Times New Roman" w:hAnsi="Times New Roman" w:cs="Times New Roman"/>
          <w:i/>
          <w:sz w:val="24"/>
          <w:szCs w:val="24"/>
        </w:rPr>
        <w:sectPr w:rsidR="006E0C08" w:rsidSect="008F3001">
          <w:pgSz w:w="11906" w:h="16838" w:code="9"/>
          <w:pgMar w:top="1418" w:right="1418" w:bottom="1418" w:left="1418" w:header="709" w:footer="709" w:gutter="0"/>
          <w:cols w:space="708"/>
          <w:docGrid w:linePitch="360"/>
        </w:sectPr>
      </w:pPr>
    </w:p>
    <w:p w:rsidR="00543D50" w:rsidRDefault="00FA188B" w:rsidP="00EE162B">
      <w:pPr>
        <w:spacing w:after="0" w:line="240" w:lineRule="auto"/>
        <w:jc w:val="both"/>
        <w:rPr>
          <w:rFonts w:ascii="Times New Roman" w:hAnsi="Times New Roman" w:cs="Times New Roman"/>
          <w:i/>
          <w:sz w:val="24"/>
          <w:szCs w:val="24"/>
        </w:rPr>
      </w:pPr>
      <w:r w:rsidRPr="0031572B">
        <w:rPr>
          <w:rFonts w:ascii="Times New Roman" w:hAnsi="Times New Roman" w:cs="Times New Roman"/>
          <w:i/>
          <w:sz w:val="24"/>
          <w:szCs w:val="24"/>
        </w:rPr>
        <w:t>Prehľad o plnení</w:t>
      </w:r>
      <w:r w:rsidR="00A276C2" w:rsidRPr="0031572B">
        <w:rPr>
          <w:rFonts w:ascii="Times New Roman" w:hAnsi="Times New Roman" w:cs="Times New Roman"/>
          <w:i/>
          <w:sz w:val="24"/>
          <w:szCs w:val="24"/>
        </w:rPr>
        <w:t xml:space="preserve"> príjmov MH SR </w:t>
      </w:r>
      <w:r w:rsidR="00B21D4A" w:rsidRPr="0031572B">
        <w:rPr>
          <w:rFonts w:ascii="Times New Roman" w:hAnsi="Times New Roman" w:cs="Times New Roman"/>
          <w:i/>
          <w:sz w:val="24"/>
          <w:szCs w:val="24"/>
        </w:rPr>
        <w:t xml:space="preserve">za </w:t>
      </w:r>
      <w:r w:rsidR="00A276C2" w:rsidRPr="0031572B">
        <w:rPr>
          <w:rFonts w:ascii="Times New Roman" w:hAnsi="Times New Roman" w:cs="Times New Roman"/>
          <w:i/>
          <w:sz w:val="24"/>
          <w:szCs w:val="24"/>
        </w:rPr>
        <w:t>rok 201</w:t>
      </w:r>
      <w:r w:rsidR="00EA5222">
        <w:rPr>
          <w:rFonts w:ascii="Times New Roman" w:hAnsi="Times New Roman" w:cs="Times New Roman"/>
          <w:i/>
          <w:sz w:val="24"/>
          <w:szCs w:val="24"/>
        </w:rPr>
        <w:t>5</w:t>
      </w:r>
      <w:r w:rsidRPr="0031572B">
        <w:rPr>
          <w:rFonts w:ascii="Times New Roman" w:hAnsi="Times New Roman" w:cs="Times New Roman"/>
          <w:i/>
          <w:sz w:val="24"/>
          <w:szCs w:val="24"/>
        </w:rPr>
        <w:t xml:space="preserve"> podľa organizácií a zdrojov:</w:t>
      </w:r>
      <w:r w:rsidR="001E7130">
        <w:rPr>
          <w:rFonts w:ascii="Times New Roman" w:hAnsi="Times New Roman" w:cs="Times New Roman"/>
          <w:i/>
          <w:sz w:val="24"/>
          <w:szCs w:val="24"/>
        </w:rPr>
        <w:t xml:space="preserve"> </w:t>
      </w:r>
      <w:bookmarkStart w:id="8" w:name="_Toc415553097"/>
    </w:p>
    <w:tbl>
      <w:tblPr>
        <w:tblW w:w="13829" w:type="dxa"/>
        <w:tblInd w:w="55" w:type="dxa"/>
        <w:tblCellMar>
          <w:left w:w="70" w:type="dxa"/>
          <w:right w:w="70" w:type="dxa"/>
        </w:tblCellMar>
        <w:tblLook w:val="04A0" w:firstRow="1" w:lastRow="0" w:firstColumn="1" w:lastColumn="0" w:noHBand="0" w:noVBand="1"/>
      </w:tblPr>
      <w:tblGrid>
        <w:gridCol w:w="2850"/>
        <w:gridCol w:w="1437"/>
        <w:gridCol w:w="2107"/>
        <w:gridCol w:w="1418"/>
        <w:gridCol w:w="1417"/>
        <w:gridCol w:w="1380"/>
        <w:gridCol w:w="1220"/>
        <w:gridCol w:w="1060"/>
        <w:gridCol w:w="940"/>
      </w:tblGrid>
      <w:tr w:rsidR="00EE162B" w:rsidRPr="006E0C08" w:rsidTr="00EE162B">
        <w:trPr>
          <w:trHeight w:val="240"/>
        </w:trPr>
        <w:tc>
          <w:tcPr>
            <w:tcW w:w="2850" w:type="dxa"/>
            <w:tcBorders>
              <w:top w:val="nil"/>
              <w:left w:val="nil"/>
              <w:bottom w:val="nil"/>
              <w:right w:val="nil"/>
            </w:tcBorders>
            <w:shd w:val="clear" w:color="auto" w:fill="auto"/>
            <w:noWrap/>
            <w:vAlign w:val="bottom"/>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p>
        </w:tc>
        <w:tc>
          <w:tcPr>
            <w:tcW w:w="3544" w:type="dxa"/>
            <w:gridSpan w:val="2"/>
            <w:tcBorders>
              <w:top w:val="nil"/>
              <w:left w:val="nil"/>
              <w:bottom w:val="nil"/>
              <w:right w:val="nil"/>
            </w:tcBorders>
            <w:shd w:val="clear" w:color="auto" w:fill="auto"/>
            <w:noWrap/>
            <w:vAlign w:val="bottom"/>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p>
        </w:tc>
        <w:tc>
          <w:tcPr>
            <w:tcW w:w="1418"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p>
        </w:tc>
        <w:tc>
          <w:tcPr>
            <w:tcW w:w="1417"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p>
        </w:tc>
        <w:tc>
          <w:tcPr>
            <w:tcW w:w="1380" w:type="dxa"/>
            <w:tcBorders>
              <w:top w:val="nil"/>
              <w:left w:val="nil"/>
              <w:bottom w:val="nil"/>
              <w:right w:val="nil"/>
            </w:tcBorders>
            <w:shd w:val="clear" w:color="000000" w:fill="FFFFFF"/>
            <w:noWrap/>
            <w:vAlign w:val="bottom"/>
            <w:hideMark/>
          </w:tcPr>
          <w:p w:rsidR="006E0C08" w:rsidRPr="006E0C08" w:rsidRDefault="006E0C08" w:rsidP="006E0C08">
            <w:pPr>
              <w:spacing w:after="0" w:line="240" w:lineRule="auto"/>
              <w:rPr>
                <w:rFonts w:ascii="Times New Roman CE" w:eastAsia="Times New Roman" w:hAnsi="Times New Roman CE" w:cs="Times New Roman CE"/>
                <w:color w:val="000000"/>
                <w:sz w:val="16"/>
                <w:szCs w:val="16"/>
                <w:lang w:eastAsia="sk-SK"/>
              </w:rPr>
            </w:pPr>
            <w:r w:rsidRPr="006E0C08">
              <w:rPr>
                <w:rFonts w:ascii="Times New Roman CE" w:eastAsia="Times New Roman" w:hAnsi="Times New Roman CE" w:cs="Times New Roman CE"/>
                <w:color w:val="000000"/>
                <w:sz w:val="16"/>
                <w:szCs w:val="16"/>
                <w:lang w:eastAsia="sk-SK"/>
              </w:rPr>
              <w:t> </w:t>
            </w:r>
          </w:p>
        </w:tc>
        <w:tc>
          <w:tcPr>
            <w:tcW w:w="1220" w:type="dxa"/>
            <w:tcBorders>
              <w:top w:val="nil"/>
              <w:left w:val="nil"/>
              <w:bottom w:val="nil"/>
              <w:right w:val="nil"/>
            </w:tcBorders>
            <w:shd w:val="clear" w:color="000000" w:fill="FFFFFF"/>
            <w:noWrap/>
            <w:vAlign w:val="bottom"/>
            <w:hideMark/>
          </w:tcPr>
          <w:p w:rsidR="006E0C08" w:rsidRPr="006E0C08" w:rsidRDefault="006E0C08" w:rsidP="006E0C08">
            <w:pPr>
              <w:spacing w:after="0" w:line="240" w:lineRule="auto"/>
              <w:rPr>
                <w:rFonts w:ascii="Times New Roman CE" w:eastAsia="Times New Roman" w:hAnsi="Times New Roman CE" w:cs="Times New Roman CE"/>
                <w:color w:val="000000"/>
                <w:sz w:val="16"/>
                <w:szCs w:val="16"/>
                <w:lang w:eastAsia="sk-SK"/>
              </w:rPr>
            </w:pPr>
            <w:r w:rsidRPr="006E0C08">
              <w:rPr>
                <w:rFonts w:ascii="Times New Roman CE" w:eastAsia="Times New Roman" w:hAnsi="Times New Roman CE" w:cs="Times New Roman CE"/>
                <w:color w:val="000000"/>
                <w:sz w:val="16"/>
                <w:szCs w:val="16"/>
                <w:lang w:eastAsia="sk-SK"/>
              </w:rPr>
              <w:t> </w:t>
            </w:r>
          </w:p>
        </w:tc>
        <w:tc>
          <w:tcPr>
            <w:tcW w:w="1060" w:type="dxa"/>
            <w:tcBorders>
              <w:top w:val="nil"/>
              <w:left w:val="nil"/>
              <w:bottom w:val="nil"/>
              <w:right w:val="nil"/>
            </w:tcBorders>
            <w:shd w:val="clear" w:color="000000" w:fill="FFFFFF"/>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color w:val="000000"/>
                <w:sz w:val="16"/>
                <w:szCs w:val="16"/>
                <w:lang w:eastAsia="sk-SK"/>
              </w:rPr>
            </w:pPr>
            <w:r w:rsidRPr="006E0C08">
              <w:rPr>
                <w:rFonts w:ascii="Times New Roman CE" w:eastAsia="Times New Roman" w:hAnsi="Times New Roman CE" w:cs="Times New Roman CE"/>
                <w:b/>
                <w:bCs/>
                <w:color w:val="000000"/>
                <w:sz w:val="16"/>
                <w:szCs w:val="16"/>
                <w:lang w:eastAsia="sk-SK"/>
              </w:rPr>
              <w:t> </w:t>
            </w:r>
          </w:p>
        </w:tc>
        <w:tc>
          <w:tcPr>
            <w:tcW w:w="940"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(v  EUR)</w:t>
            </w:r>
          </w:p>
        </w:tc>
      </w:tr>
      <w:tr w:rsidR="00EE162B" w:rsidRPr="006E0C08" w:rsidTr="00EE162B">
        <w:trPr>
          <w:trHeight w:val="225"/>
        </w:trPr>
        <w:tc>
          <w:tcPr>
            <w:tcW w:w="2850" w:type="dxa"/>
            <w:tcBorders>
              <w:top w:val="single" w:sz="8" w:space="0" w:color="auto"/>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3544" w:type="dxa"/>
            <w:gridSpan w:val="2"/>
            <w:tcBorders>
              <w:top w:val="single" w:sz="8" w:space="0" w:color="auto"/>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418" w:type="dxa"/>
            <w:tcBorders>
              <w:top w:val="single" w:sz="8" w:space="0" w:color="auto"/>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417" w:type="dxa"/>
            <w:tcBorders>
              <w:top w:val="single" w:sz="8" w:space="0" w:color="auto"/>
              <w:left w:val="nil"/>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380" w:type="dxa"/>
            <w:tcBorders>
              <w:top w:val="single" w:sz="8"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 </w:t>
            </w:r>
          </w:p>
        </w:tc>
        <w:tc>
          <w:tcPr>
            <w:tcW w:w="2280" w:type="dxa"/>
            <w:gridSpan w:val="2"/>
            <w:tcBorders>
              <w:top w:val="single" w:sz="8" w:space="0" w:color="auto"/>
              <w:left w:val="single" w:sz="4" w:space="0" w:color="auto"/>
              <w:bottom w:val="single" w:sz="4" w:space="0" w:color="auto"/>
              <w:right w:val="single" w:sz="4" w:space="0" w:color="000000"/>
            </w:tcBorders>
            <w:shd w:val="clear" w:color="000000" w:fill="FFFFFF"/>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             - z toho:</w:t>
            </w:r>
          </w:p>
        </w:tc>
        <w:tc>
          <w:tcPr>
            <w:tcW w:w="940" w:type="dxa"/>
            <w:tcBorders>
              <w:top w:val="single" w:sz="8" w:space="0" w:color="auto"/>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plnenia</w:t>
            </w:r>
          </w:p>
        </w:tc>
      </w:tr>
      <w:tr w:rsidR="00EE162B" w:rsidRPr="006E0C08" w:rsidTr="00EE162B">
        <w:trPr>
          <w:trHeight w:val="225"/>
        </w:trPr>
        <w:tc>
          <w:tcPr>
            <w:tcW w:w="2850"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3544" w:type="dxa"/>
            <w:gridSpan w:val="2"/>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418"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Schválený</w:t>
            </w:r>
          </w:p>
        </w:tc>
        <w:tc>
          <w:tcPr>
            <w:tcW w:w="1417" w:type="dxa"/>
            <w:tcBorders>
              <w:top w:val="nil"/>
              <w:left w:val="nil"/>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Upravený</w:t>
            </w:r>
          </w:p>
        </w:tc>
        <w:tc>
          <w:tcPr>
            <w:tcW w:w="138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Skutočné</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proofErr w:type="spellStart"/>
            <w:r w:rsidRPr="006E0C08">
              <w:rPr>
                <w:rFonts w:ascii="Times New Roman CE" w:eastAsia="Times New Roman" w:hAnsi="Times New Roman CE" w:cs="Times New Roman CE"/>
                <w:b/>
                <w:bCs/>
                <w:sz w:val="16"/>
                <w:szCs w:val="16"/>
                <w:lang w:eastAsia="sk-SK"/>
              </w:rPr>
              <w:t>rozpočto</w:t>
            </w:r>
            <w:proofErr w:type="spellEnd"/>
            <w:r w:rsidRPr="006E0C08">
              <w:rPr>
                <w:rFonts w:ascii="Times New Roman CE" w:eastAsia="Times New Roman" w:hAnsi="Times New Roman CE" w:cs="Times New Roman CE"/>
                <w:b/>
                <w:bCs/>
                <w:sz w:val="16"/>
                <w:szCs w:val="16"/>
                <w:lang w:eastAsia="sk-SK"/>
              </w:rPr>
              <w:t>-</w:t>
            </w:r>
          </w:p>
        </w:tc>
        <w:tc>
          <w:tcPr>
            <w:tcW w:w="106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ostatné</w:t>
            </w:r>
          </w:p>
        </w:tc>
        <w:tc>
          <w:tcPr>
            <w:tcW w:w="940" w:type="dxa"/>
            <w:tcBorders>
              <w:top w:val="nil"/>
              <w:left w:val="nil"/>
              <w:bottom w:val="nil"/>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r>
      <w:tr w:rsidR="00EE162B" w:rsidRPr="006E0C08" w:rsidTr="00EE162B">
        <w:trPr>
          <w:trHeight w:val="225"/>
        </w:trPr>
        <w:tc>
          <w:tcPr>
            <w:tcW w:w="2850"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Zdroj</w:t>
            </w:r>
          </w:p>
        </w:tc>
        <w:tc>
          <w:tcPr>
            <w:tcW w:w="3544" w:type="dxa"/>
            <w:gridSpan w:val="2"/>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        Organizácia</w:t>
            </w:r>
          </w:p>
        </w:tc>
        <w:tc>
          <w:tcPr>
            <w:tcW w:w="1418"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rozpočet na r.</w:t>
            </w:r>
          </w:p>
        </w:tc>
        <w:tc>
          <w:tcPr>
            <w:tcW w:w="1417" w:type="dxa"/>
            <w:tcBorders>
              <w:top w:val="nil"/>
              <w:left w:val="nil"/>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rozpočet na r.</w:t>
            </w:r>
          </w:p>
        </w:tc>
        <w:tc>
          <w:tcPr>
            <w:tcW w:w="138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príjmy spolu</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proofErr w:type="spellStart"/>
            <w:r w:rsidRPr="006E0C08">
              <w:rPr>
                <w:rFonts w:ascii="Times New Roman CE" w:eastAsia="Times New Roman" w:hAnsi="Times New Roman CE" w:cs="Times New Roman CE"/>
                <w:b/>
                <w:bCs/>
                <w:sz w:val="16"/>
                <w:szCs w:val="16"/>
                <w:lang w:eastAsia="sk-SK"/>
              </w:rPr>
              <w:t>vané</w:t>
            </w:r>
            <w:proofErr w:type="spellEnd"/>
          </w:p>
        </w:tc>
        <w:tc>
          <w:tcPr>
            <w:tcW w:w="106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náhodné</w:t>
            </w:r>
          </w:p>
        </w:tc>
        <w:tc>
          <w:tcPr>
            <w:tcW w:w="940" w:type="dxa"/>
            <w:tcBorders>
              <w:top w:val="nil"/>
              <w:left w:val="nil"/>
              <w:bottom w:val="nil"/>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spolu</w:t>
            </w:r>
          </w:p>
        </w:tc>
      </w:tr>
      <w:tr w:rsidR="00EE162B" w:rsidRPr="006E0C08" w:rsidTr="00EE162B">
        <w:trPr>
          <w:trHeight w:val="225"/>
        </w:trPr>
        <w:tc>
          <w:tcPr>
            <w:tcW w:w="2850"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3544" w:type="dxa"/>
            <w:gridSpan w:val="2"/>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418"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2015</w:t>
            </w:r>
          </w:p>
        </w:tc>
        <w:tc>
          <w:tcPr>
            <w:tcW w:w="1417" w:type="dxa"/>
            <w:tcBorders>
              <w:top w:val="nil"/>
              <w:left w:val="nil"/>
              <w:bottom w:val="nil"/>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2015</w:t>
            </w:r>
          </w:p>
        </w:tc>
        <w:tc>
          <w:tcPr>
            <w:tcW w:w="138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k 31.12.2015</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06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príjmy</w:t>
            </w:r>
          </w:p>
        </w:tc>
        <w:tc>
          <w:tcPr>
            <w:tcW w:w="940" w:type="dxa"/>
            <w:tcBorders>
              <w:top w:val="nil"/>
              <w:left w:val="nil"/>
              <w:bottom w:val="nil"/>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r>
      <w:tr w:rsidR="00EE162B" w:rsidRPr="006E0C08" w:rsidTr="00EE162B">
        <w:trPr>
          <w:trHeight w:val="240"/>
        </w:trPr>
        <w:tc>
          <w:tcPr>
            <w:tcW w:w="2850" w:type="dxa"/>
            <w:tcBorders>
              <w:top w:val="nil"/>
              <w:left w:val="single" w:sz="8" w:space="0" w:color="auto"/>
              <w:bottom w:val="single" w:sz="8" w:space="0" w:color="auto"/>
              <w:right w:val="single" w:sz="4" w:space="0" w:color="auto"/>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a</w:t>
            </w:r>
          </w:p>
        </w:tc>
        <w:tc>
          <w:tcPr>
            <w:tcW w:w="3544" w:type="dxa"/>
            <w:gridSpan w:val="2"/>
            <w:tcBorders>
              <w:top w:val="nil"/>
              <w:left w:val="nil"/>
              <w:bottom w:val="single" w:sz="8" w:space="0" w:color="auto"/>
              <w:right w:val="nil"/>
            </w:tcBorders>
            <w:shd w:val="clear" w:color="auto" w:fill="auto"/>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b</w:t>
            </w:r>
          </w:p>
        </w:tc>
        <w:tc>
          <w:tcPr>
            <w:tcW w:w="1418" w:type="dxa"/>
            <w:tcBorders>
              <w:top w:val="nil"/>
              <w:left w:val="single" w:sz="8" w:space="0" w:color="auto"/>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1</w:t>
            </w:r>
          </w:p>
        </w:tc>
        <w:tc>
          <w:tcPr>
            <w:tcW w:w="1417" w:type="dxa"/>
            <w:tcBorders>
              <w:top w:val="nil"/>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2</w:t>
            </w:r>
          </w:p>
        </w:tc>
        <w:tc>
          <w:tcPr>
            <w:tcW w:w="1380" w:type="dxa"/>
            <w:tcBorders>
              <w:top w:val="nil"/>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3</w:t>
            </w:r>
          </w:p>
        </w:tc>
        <w:tc>
          <w:tcPr>
            <w:tcW w:w="1220" w:type="dxa"/>
            <w:tcBorders>
              <w:top w:val="nil"/>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4</w:t>
            </w:r>
          </w:p>
        </w:tc>
        <w:tc>
          <w:tcPr>
            <w:tcW w:w="1060" w:type="dxa"/>
            <w:tcBorders>
              <w:top w:val="nil"/>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5</w:t>
            </w:r>
          </w:p>
        </w:tc>
        <w:tc>
          <w:tcPr>
            <w:tcW w:w="940" w:type="dxa"/>
            <w:tcBorders>
              <w:top w:val="nil"/>
              <w:left w:val="nil"/>
              <w:bottom w:val="single" w:sz="8"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3/2</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Puncový úrad SR</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605 000,00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605 000,00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640 536,19</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599 919,69</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40 616,50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105,87%</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Slovenská obchodná inšpekcia </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1 643 000,00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1 743 000,00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1 872 203,88</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1 838 041,95</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34 161,93</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107,41%</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z toho: zdroj 72</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512,90</w:t>
            </w:r>
          </w:p>
        </w:tc>
        <w:tc>
          <w:tcPr>
            <w:tcW w:w="1220" w:type="dxa"/>
            <w:tcBorders>
              <w:top w:val="nil"/>
              <w:left w:val="nil"/>
              <w:bottom w:val="single" w:sz="4" w:space="0" w:color="auto"/>
              <w:right w:val="nil"/>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w:t>
            </w:r>
          </w:p>
        </w:tc>
        <w:tc>
          <w:tcPr>
            <w:tcW w:w="1060" w:type="dxa"/>
            <w:tcBorders>
              <w:top w:val="nil"/>
              <w:left w:val="single" w:sz="4"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512,90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EE162B">
        <w:trPr>
          <w:trHeight w:val="240"/>
        </w:trPr>
        <w:tc>
          <w:tcPr>
            <w:tcW w:w="2850"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Hlavný banský úrad</w:t>
            </w:r>
          </w:p>
        </w:tc>
        <w:tc>
          <w:tcPr>
            <w:tcW w:w="1418" w:type="dxa"/>
            <w:tcBorders>
              <w:top w:val="nil"/>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49 875,00 </w:t>
            </w:r>
          </w:p>
        </w:tc>
        <w:tc>
          <w:tcPr>
            <w:tcW w:w="1417"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49 875,00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68 420,61</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65 338,80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3 081,81</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137,18%</w:t>
            </w:r>
          </w:p>
        </w:tc>
      </w:tr>
      <w:tr w:rsidR="00EE162B" w:rsidRPr="006E0C08" w:rsidTr="00EE162B">
        <w:trPr>
          <w:trHeight w:val="240"/>
        </w:trPr>
        <w:tc>
          <w:tcPr>
            <w:tcW w:w="2850" w:type="dxa"/>
            <w:tcBorders>
              <w:top w:val="single" w:sz="8" w:space="0" w:color="auto"/>
              <w:left w:val="single" w:sz="8" w:space="0" w:color="auto"/>
              <w:bottom w:val="single" w:sz="8" w:space="0" w:color="auto"/>
              <w:right w:val="single" w:sz="4" w:space="0" w:color="auto"/>
            </w:tcBorders>
            <w:shd w:val="clear" w:color="000000" w:fill="D8E4BC"/>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 111+72</w:t>
            </w:r>
          </w:p>
        </w:tc>
        <w:tc>
          <w:tcPr>
            <w:tcW w:w="3544" w:type="dxa"/>
            <w:gridSpan w:val="2"/>
            <w:tcBorders>
              <w:top w:val="single" w:sz="8" w:space="0" w:color="auto"/>
              <w:left w:val="nil"/>
              <w:bottom w:val="single" w:sz="8" w:space="0" w:color="auto"/>
              <w:right w:val="nil"/>
            </w:tcBorders>
            <w:shd w:val="clear" w:color="000000" w:fill="D8E4BC"/>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Rozpočtové organizácie - celkom</w:t>
            </w:r>
          </w:p>
        </w:tc>
        <w:tc>
          <w:tcPr>
            <w:tcW w:w="1418" w:type="dxa"/>
            <w:tcBorders>
              <w:top w:val="single" w:sz="8" w:space="0" w:color="auto"/>
              <w:left w:val="single" w:sz="8" w:space="0" w:color="auto"/>
              <w:bottom w:val="single" w:sz="8" w:space="0" w:color="auto"/>
              <w:right w:val="single" w:sz="4" w:space="0" w:color="auto"/>
            </w:tcBorders>
            <w:shd w:val="clear" w:color="000000" w:fill="D8E4B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2 297 875,00 </w:t>
            </w:r>
          </w:p>
        </w:tc>
        <w:tc>
          <w:tcPr>
            <w:tcW w:w="1417" w:type="dxa"/>
            <w:tcBorders>
              <w:top w:val="single" w:sz="8" w:space="0" w:color="auto"/>
              <w:left w:val="nil"/>
              <w:bottom w:val="single" w:sz="8" w:space="0" w:color="auto"/>
              <w:right w:val="single" w:sz="4" w:space="0" w:color="auto"/>
            </w:tcBorders>
            <w:shd w:val="clear" w:color="000000" w:fill="D8E4B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2 397 875,00 </w:t>
            </w:r>
          </w:p>
        </w:tc>
        <w:tc>
          <w:tcPr>
            <w:tcW w:w="1380" w:type="dxa"/>
            <w:tcBorders>
              <w:top w:val="single" w:sz="8" w:space="0" w:color="auto"/>
              <w:left w:val="nil"/>
              <w:bottom w:val="single" w:sz="8" w:space="0" w:color="auto"/>
              <w:right w:val="single" w:sz="4" w:space="0" w:color="auto"/>
            </w:tcBorders>
            <w:shd w:val="clear" w:color="000000" w:fill="D8E4B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2 581 160,68</w:t>
            </w:r>
          </w:p>
        </w:tc>
        <w:tc>
          <w:tcPr>
            <w:tcW w:w="1220" w:type="dxa"/>
            <w:tcBorders>
              <w:top w:val="single" w:sz="8" w:space="0" w:color="auto"/>
              <w:left w:val="nil"/>
              <w:bottom w:val="single" w:sz="8" w:space="0" w:color="auto"/>
              <w:right w:val="single" w:sz="4" w:space="0" w:color="auto"/>
            </w:tcBorders>
            <w:shd w:val="clear" w:color="000000" w:fill="D8E4B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2 503 300,44</w:t>
            </w:r>
          </w:p>
        </w:tc>
        <w:tc>
          <w:tcPr>
            <w:tcW w:w="1060" w:type="dxa"/>
            <w:tcBorders>
              <w:top w:val="single" w:sz="8" w:space="0" w:color="auto"/>
              <w:left w:val="nil"/>
              <w:bottom w:val="single" w:sz="8" w:space="0" w:color="auto"/>
              <w:right w:val="single" w:sz="4" w:space="0" w:color="auto"/>
            </w:tcBorders>
            <w:shd w:val="clear" w:color="000000" w:fill="D8E4B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77 860,24</w:t>
            </w:r>
          </w:p>
        </w:tc>
        <w:tc>
          <w:tcPr>
            <w:tcW w:w="940" w:type="dxa"/>
            <w:tcBorders>
              <w:top w:val="single" w:sz="8" w:space="0" w:color="auto"/>
              <w:left w:val="nil"/>
              <w:bottom w:val="single" w:sz="8" w:space="0" w:color="auto"/>
              <w:right w:val="single" w:sz="8" w:space="0" w:color="auto"/>
            </w:tcBorders>
            <w:shd w:val="clear" w:color="000000" w:fill="D8E4BC"/>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107,64%</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MH SR - Prenájom budov a priestorov</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12 329,00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12 329,00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13 421,34</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13 421,34</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108,86%</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MH SR - vratky m. Žilina (239)</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299 096,00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299 096,00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299 096,00</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299 096,00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100,00%</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MH SR - ostatné vratky (239)</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761 779,69</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761 779,69</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MH SR - Dividendy -Jadrová vyraďovacia </w:t>
            </w:r>
            <w:proofErr w:type="spellStart"/>
            <w:r w:rsidRPr="006E0C08">
              <w:rPr>
                <w:rFonts w:ascii="Times New Roman CE" w:eastAsia="Times New Roman" w:hAnsi="Times New Roman CE" w:cs="Times New Roman CE"/>
                <w:sz w:val="16"/>
                <w:szCs w:val="16"/>
                <w:lang w:eastAsia="sk-SK"/>
              </w:rPr>
              <w:t>spol.,a.s</w:t>
            </w:r>
            <w:proofErr w:type="spellEnd"/>
            <w:r w:rsidRPr="006E0C08">
              <w:rPr>
                <w:rFonts w:ascii="Times New Roman CE" w:eastAsia="Times New Roman" w:hAnsi="Times New Roman CE" w:cs="Times New Roman CE"/>
                <w:sz w:val="16"/>
                <w:szCs w:val="16"/>
                <w:lang w:eastAsia="sk-SK"/>
              </w:rPr>
              <w:t>.</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 xml:space="preserve">3 188 000,00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 xml:space="preserve">5 000 000,00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5 000 000,00</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5 000 000,00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100,00%</w:t>
            </w:r>
          </w:p>
        </w:tc>
      </w:tr>
      <w:tr w:rsidR="00EE162B" w:rsidRPr="006E0C08" w:rsidTr="00EE162B">
        <w:trPr>
          <w:trHeight w:val="225"/>
        </w:trPr>
        <w:tc>
          <w:tcPr>
            <w:tcW w:w="2850" w:type="dxa"/>
            <w:tcBorders>
              <w:top w:val="nil"/>
              <w:left w:val="single" w:sz="8" w:space="0" w:color="auto"/>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MH SR - Dividendy -Slovak Telekom a.s.</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 xml:space="preserve">31 582 360,00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 xml:space="preserve">11 065 371,34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11 065 371,34</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11 065 371,34</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100,00%</w:t>
            </w:r>
          </w:p>
        </w:tc>
      </w:tr>
      <w:tr w:rsidR="00EE162B" w:rsidRPr="006E0C08" w:rsidTr="00EE162B">
        <w:trPr>
          <w:trHeight w:val="225"/>
        </w:trPr>
        <w:tc>
          <w:tcPr>
            <w:tcW w:w="2850" w:type="dxa"/>
            <w:tcBorders>
              <w:top w:val="nil"/>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MH SR - Dividendy -Transpetrol a.s.</w:t>
            </w:r>
          </w:p>
        </w:tc>
        <w:tc>
          <w:tcPr>
            <w:tcW w:w="1418" w:type="dxa"/>
            <w:tcBorders>
              <w:top w:val="nil"/>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 xml:space="preserve">7 000 000,00 </w:t>
            </w:r>
          </w:p>
        </w:tc>
        <w:tc>
          <w:tcPr>
            <w:tcW w:w="1417"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 xml:space="preserve">7 000 000,00 </w:t>
            </w:r>
          </w:p>
        </w:tc>
        <w:tc>
          <w:tcPr>
            <w:tcW w:w="138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7 000 000,00</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7 000 000,00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i/>
                <w:iCs/>
                <w:sz w:val="16"/>
                <w:szCs w:val="16"/>
                <w:lang w:eastAsia="sk-SK"/>
              </w:rPr>
            </w:pPr>
            <w:r w:rsidRPr="006E0C08">
              <w:rPr>
                <w:rFonts w:ascii="Times New Roman CE" w:eastAsia="Times New Roman" w:hAnsi="Times New Roman CE" w:cs="Times New Roman CE"/>
                <w:i/>
                <w:i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100,00%</w:t>
            </w:r>
          </w:p>
        </w:tc>
      </w:tr>
      <w:tr w:rsidR="00EE162B" w:rsidRPr="006E0C08" w:rsidTr="00EE162B">
        <w:trPr>
          <w:trHeight w:val="225"/>
        </w:trPr>
        <w:tc>
          <w:tcPr>
            <w:tcW w:w="2850" w:type="dxa"/>
            <w:tcBorders>
              <w:top w:val="single" w:sz="4" w:space="0" w:color="auto"/>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single" w:sz="4"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MH SR - Dividendy S P O L U</w:t>
            </w:r>
          </w:p>
        </w:tc>
        <w:tc>
          <w:tcPr>
            <w:tcW w:w="1418" w:type="dxa"/>
            <w:tcBorders>
              <w:top w:val="single" w:sz="4" w:space="0" w:color="auto"/>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41 770 360,00 </w:t>
            </w:r>
          </w:p>
        </w:tc>
        <w:tc>
          <w:tcPr>
            <w:tcW w:w="1417"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23 065 371,34 </w:t>
            </w:r>
          </w:p>
        </w:tc>
        <w:tc>
          <w:tcPr>
            <w:tcW w:w="1380"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23 065 371,34</w:t>
            </w:r>
          </w:p>
        </w:tc>
        <w:tc>
          <w:tcPr>
            <w:tcW w:w="1220"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23 065 371,34</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100,00%</w:t>
            </w:r>
          </w:p>
        </w:tc>
      </w:tr>
      <w:tr w:rsidR="00EE162B" w:rsidRPr="006E0C08" w:rsidTr="00EE162B">
        <w:trPr>
          <w:trHeight w:val="225"/>
        </w:trPr>
        <w:tc>
          <w:tcPr>
            <w:tcW w:w="2850" w:type="dxa"/>
            <w:tcBorders>
              <w:top w:val="single" w:sz="4" w:space="0" w:color="auto"/>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MH SR - NJF z prenosových sústav</w:t>
            </w:r>
          </w:p>
        </w:tc>
        <w:tc>
          <w:tcPr>
            <w:tcW w:w="1418" w:type="dxa"/>
            <w:tcBorders>
              <w:top w:val="single" w:sz="4" w:space="0" w:color="auto"/>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71 459 300,00 </w:t>
            </w:r>
          </w:p>
        </w:tc>
        <w:tc>
          <w:tcPr>
            <w:tcW w:w="1417"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72 298 175,39 </w:t>
            </w:r>
          </w:p>
        </w:tc>
        <w:tc>
          <w:tcPr>
            <w:tcW w:w="1380"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72 886 098,90</w:t>
            </w:r>
          </w:p>
        </w:tc>
        <w:tc>
          <w:tcPr>
            <w:tcW w:w="1220"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72 886 098,90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100,81%</w:t>
            </w:r>
          </w:p>
        </w:tc>
      </w:tr>
      <w:tr w:rsidR="00EE162B" w:rsidRPr="006E0C08" w:rsidTr="00EE162B">
        <w:trPr>
          <w:trHeight w:val="225"/>
        </w:trPr>
        <w:tc>
          <w:tcPr>
            <w:tcW w:w="2850" w:type="dxa"/>
            <w:tcBorders>
              <w:top w:val="single" w:sz="4" w:space="0" w:color="auto"/>
              <w:left w:val="single" w:sz="8" w:space="0" w:color="auto"/>
              <w:bottom w:val="nil"/>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single" w:sz="4" w:space="0" w:color="auto"/>
              <w:left w:val="nil"/>
              <w:bottom w:val="nil"/>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MH SR - </w:t>
            </w:r>
            <w:proofErr w:type="spellStart"/>
            <w:r w:rsidRPr="006E0C08">
              <w:rPr>
                <w:rFonts w:ascii="Times New Roman CE" w:eastAsia="Times New Roman" w:hAnsi="Times New Roman CE" w:cs="Times New Roman CE"/>
                <w:b/>
                <w:bCs/>
                <w:sz w:val="16"/>
                <w:szCs w:val="16"/>
                <w:lang w:eastAsia="sk-SK"/>
              </w:rPr>
              <w:t>CCHLP</w:t>
            </w:r>
            <w:proofErr w:type="spellEnd"/>
            <w:r w:rsidRPr="006E0C08">
              <w:rPr>
                <w:rFonts w:ascii="Times New Roman CE" w:eastAsia="Times New Roman" w:hAnsi="Times New Roman CE" w:cs="Times New Roman CE"/>
                <w:b/>
                <w:bCs/>
                <w:sz w:val="16"/>
                <w:szCs w:val="16"/>
                <w:lang w:eastAsia="sk-SK"/>
              </w:rPr>
              <w:t xml:space="preserve"> biocídny zákon</w:t>
            </w:r>
          </w:p>
        </w:tc>
        <w:tc>
          <w:tcPr>
            <w:tcW w:w="1418" w:type="dxa"/>
            <w:tcBorders>
              <w:top w:val="single" w:sz="4" w:space="0" w:color="auto"/>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336 000,00 </w:t>
            </w:r>
          </w:p>
        </w:tc>
        <w:tc>
          <w:tcPr>
            <w:tcW w:w="1417"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306 000,00 </w:t>
            </w:r>
          </w:p>
        </w:tc>
        <w:tc>
          <w:tcPr>
            <w:tcW w:w="1380"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307 749,50</w:t>
            </w:r>
          </w:p>
        </w:tc>
        <w:tc>
          <w:tcPr>
            <w:tcW w:w="1220" w:type="dxa"/>
            <w:tcBorders>
              <w:top w:val="single" w:sz="4" w:space="0" w:color="auto"/>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307 749,50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100,57%</w:t>
            </w:r>
          </w:p>
        </w:tc>
      </w:tr>
      <w:tr w:rsidR="00EE162B" w:rsidRPr="006E0C08" w:rsidTr="00EE162B">
        <w:trPr>
          <w:trHeight w:val="240"/>
        </w:trPr>
        <w:tc>
          <w:tcPr>
            <w:tcW w:w="285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3544" w:type="dxa"/>
            <w:gridSpan w:val="2"/>
            <w:tcBorders>
              <w:top w:val="single" w:sz="4" w:space="0" w:color="auto"/>
              <w:left w:val="nil"/>
              <w:bottom w:val="single" w:sz="8" w:space="0" w:color="auto"/>
              <w:right w:val="nil"/>
            </w:tcBorders>
            <w:shd w:val="clear" w:color="auto" w:fill="auto"/>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MH SR - ostatné</w:t>
            </w:r>
          </w:p>
        </w:tc>
        <w:tc>
          <w:tcPr>
            <w:tcW w:w="1418" w:type="dxa"/>
            <w:tcBorders>
              <w:top w:val="single" w:sz="4" w:space="0" w:color="auto"/>
              <w:left w:val="single" w:sz="8" w:space="0" w:color="auto"/>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417" w:type="dxa"/>
            <w:tcBorders>
              <w:top w:val="single" w:sz="4" w:space="0" w:color="auto"/>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380" w:type="dxa"/>
            <w:tcBorders>
              <w:top w:val="single" w:sz="4" w:space="0" w:color="auto"/>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138 028,50</w:t>
            </w:r>
          </w:p>
        </w:tc>
        <w:tc>
          <w:tcPr>
            <w:tcW w:w="1220" w:type="dxa"/>
            <w:tcBorders>
              <w:top w:val="single" w:sz="4" w:space="0" w:color="auto"/>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0,00</w:t>
            </w:r>
          </w:p>
        </w:tc>
        <w:tc>
          <w:tcPr>
            <w:tcW w:w="1060" w:type="dxa"/>
            <w:tcBorders>
              <w:top w:val="nil"/>
              <w:left w:val="nil"/>
              <w:bottom w:val="single" w:sz="8"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138 028,50</w:t>
            </w:r>
          </w:p>
        </w:tc>
        <w:tc>
          <w:tcPr>
            <w:tcW w:w="940" w:type="dxa"/>
            <w:tcBorders>
              <w:top w:val="nil"/>
              <w:left w:val="nil"/>
              <w:bottom w:val="single" w:sz="8"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EE162B">
        <w:trPr>
          <w:trHeight w:val="240"/>
        </w:trPr>
        <w:tc>
          <w:tcPr>
            <w:tcW w:w="2850" w:type="dxa"/>
            <w:tcBorders>
              <w:top w:val="nil"/>
              <w:left w:val="single" w:sz="8" w:space="0" w:color="auto"/>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 111</w:t>
            </w:r>
          </w:p>
        </w:tc>
        <w:tc>
          <w:tcPr>
            <w:tcW w:w="3544" w:type="dxa"/>
            <w:gridSpan w:val="2"/>
            <w:tcBorders>
              <w:top w:val="nil"/>
              <w:left w:val="nil"/>
              <w:bottom w:val="single" w:sz="8" w:space="0" w:color="auto"/>
              <w:right w:val="nil"/>
            </w:tcBorders>
            <w:shd w:val="clear" w:color="000000" w:fill="DAEEF3"/>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Ministerstvo hospodárstva  SR -  </w:t>
            </w:r>
            <w:proofErr w:type="spellStart"/>
            <w:r w:rsidRPr="006E0C08">
              <w:rPr>
                <w:rFonts w:ascii="Times New Roman CE" w:eastAsia="Times New Roman" w:hAnsi="Times New Roman CE" w:cs="Times New Roman CE"/>
                <w:b/>
                <w:bCs/>
                <w:sz w:val="16"/>
                <w:szCs w:val="16"/>
                <w:lang w:eastAsia="sk-SK"/>
              </w:rPr>
              <w:t>org</w:t>
            </w:r>
            <w:proofErr w:type="spellEnd"/>
            <w:r w:rsidRPr="006E0C08">
              <w:rPr>
                <w:rFonts w:ascii="Times New Roman CE" w:eastAsia="Times New Roman" w:hAnsi="Times New Roman CE" w:cs="Times New Roman CE"/>
                <w:b/>
                <w:bCs/>
                <w:sz w:val="16"/>
                <w:szCs w:val="16"/>
                <w:lang w:eastAsia="sk-SK"/>
              </w:rPr>
              <w:t>. spolu</w:t>
            </w:r>
          </w:p>
        </w:tc>
        <w:tc>
          <w:tcPr>
            <w:tcW w:w="1418" w:type="dxa"/>
            <w:tcBorders>
              <w:top w:val="nil"/>
              <w:left w:val="single" w:sz="8" w:space="0" w:color="auto"/>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113 877 085,00 </w:t>
            </w:r>
          </w:p>
        </w:tc>
        <w:tc>
          <w:tcPr>
            <w:tcW w:w="1417"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95 980 971,73 </w:t>
            </w:r>
          </w:p>
        </w:tc>
        <w:tc>
          <w:tcPr>
            <w:tcW w:w="1380"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97 471 545,27</w:t>
            </w:r>
          </w:p>
        </w:tc>
        <w:tc>
          <w:tcPr>
            <w:tcW w:w="1220"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96 571 737,08</w:t>
            </w:r>
          </w:p>
        </w:tc>
        <w:tc>
          <w:tcPr>
            <w:tcW w:w="1060"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899 808,19</w:t>
            </w:r>
          </w:p>
        </w:tc>
        <w:tc>
          <w:tcPr>
            <w:tcW w:w="940" w:type="dxa"/>
            <w:tcBorders>
              <w:top w:val="nil"/>
              <w:left w:val="nil"/>
              <w:bottom w:val="single" w:sz="8" w:space="0" w:color="auto"/>
              <w:right w:val="single" w:sz="8" w:space="0" w:color="auto"/>
            </w:tcBorders>
            <w:shd w:val="clear" w:color="000000" w:fill="DAEEF3"/>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101,55%</w:t>
            </w:r>
          </w:p>
        </w:tc>
      </w:tr>
      <w:tr w:rsidR="00EE162B" w:rsidRPr="006E0C08" w:rsidTr="00EE162B">
        <w:trPr>
          <w:trHeight w:val="240"/>
        </w:trPr>
        <w:tc>
          <w:tcPr>
            <w:tcW w:w="2850" w:type="dxa"/>
            <w:tcBorders>
              <w:top w:val="nil"/>
              <w:left w:val="single" w:sz="8" w:space="0" w:color="auto"/>
              <w:bottom w:val="single" w:sz="8" w:space="0" w:color="auto"/>
              <w:right w:val="single" w:sz="4" w:space="0" w:color="auto"/>
            </w:tcBorders>
            <w:shd w:val="clear" w:color="000000" w:fill="DAEEF3"/>
            <w:noWrap/>
            <w:vAlign w:val="bottom"/>
            <w:hideMark/>
          </w:tcPr>
          <w:p w:rsidR="00EE162B"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Zdroje 111 Príjmy za </w:t>
            </w:r>
            <w:proofErr w:type="spellStart"/>
            <w:r w:rsidRPr="006E0C08">
              <w:rPr>
                <w:rFonts w:ascii="Times New Roman CE" w:eastAsia="Times New Roman" w:hAnsi="Times New Roman CE" w:cs="Times New Roman CE"/>
                <w:b/>
                <w:bCs/>
                <w:sz w:val="16"/>
                <w:szCs w:val="16"/>
                <w:lang w:eastAsia="sk-SK"/>
              </w:rPr>
              <w:t>rozp</w:t>
            </w:r>
            <w:proofErr w:type="spellEnd"/>
            <w:r w:rsidRPr="006E0C08">
              <w:rPr>
                <w:rFonts w:ascii="Times New Roman CE" w:eastAsia="Times New Roman" w:hAnsi="Times New Roman CE" w:cs="Times New Roman CE"/>
                <w:b/>
                <w:bCs/>
                <w:sz w:val="16"/>
                <w:szCs w:val="16"/>
                <w:lang w:eastAsia="sk-SK"/>
              </w:rPr>
              <w:t xml:space="preserve">. organizácie </w:t>
            </w:r>
          </w:p>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a  MH SR  - c e l k o m </w:t>
            </w:r>
          </w:p>
        </w:tc>
        <w:tc>
          <w:tcPr>
            <w:tcW w:w="3544" w:type="dxa"/>
            <w:gridSpan w:val="2"/>
            <w:tcBorders>
              <w:top w:val="nil"/>
              <w:left w:val="nil"/>
              <w:bottom w:val="single" w:sz="8" w:space="0" w:color="auto"/>
              <w:right w:val="nil"/>
            </w:tcBorders>
            <w:shd w:val="clear" w:color="000000" w:fill="DAEEF3"/>
            <w:noWrap/>
            <w:vAlign w:val="bottom"/>
            <w:hideMark/>
          </w:tcPr>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w:t>
            </w:r>
          </w:p>
        </w:tc>
        <w:tc>
          <w:tcPr>
            <w:tcW w:w="1418" w:type="dxa"/>
            <w:tcBorders>
              <w:top w:val="nil"/>
              <w:left w:val="single" w:sz="8" w:space="0" w:color="auto"/>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116 174 960,00 </w:t>
            </w:r>
          </w:p>
        </w:tc>
        <w:tc>
          <w:tcPr>
            <w:tcW w:w="1417"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98 378 846,73 </w:t>
            </w:r>
          </w:p>
        </w:tc>
        <w:tc>
          <w:tcPr>
            <w:tcW w:w="1380"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100 052 705,95</w:t>
            </w:r>
          </w:p>
        </w:tc>
        <w:tc>
          <w:tcPr>
            <w:tcW w:w="1220"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99 075 037,52</w:t>
            </w:r>
          </w:p>
        </w:tc>
        <w:tc>
          <w:tcPr>
            <w:tcW w:w="1060" w:type="dxa"/>
            <w:tcBorders>
              <w:top w:val="nil"/>
              <w:left w:val="nil"/>
              <w:bottom w:val="single" w:sz="8" w:space="0" w:color="auto"/>
              <w:right w:val="single" w:sz="4" w:space="0" w:color="auto"/>
            </w:tcBorders>
            <w:shd w:val="clear" w:color="000000" w:fill="DAEEF3"/>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977 668,43</w:t>
            </w:r>
          </w:p>
        </w:tc>
        <w:tc>
          <w:tcPr>
            <w:tcW w:w="940" w:type="dxa"/>
            <w:tcBorders>
              <w:top w:val="nil"/>
              <w:left w:val="nil"/>
              <w:bottom w:val="single" w:sz="8" w:space="0" w:color="auto"/>
              <w:right w:val="single" w:sz="8" w:space="0" w:color="auto"/>
            </w:tcBorders>
            <w:shd w:val="clear" w:color="000000" w:fill="DAEEF3"/>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101,70%</w:t>
            </w:r>
          </w:p>
        </w:tc>
      </w:tr>
      <w:tr w:rsidR="00EE162B" w:rsidRPr="006E0C08" w:rsidTr="00EE162B">
        <w:trPr>
          <w:trHeight w:val="225"/>
        </w:trPr>
        <w:tc>
          <w:tcPr>
            <w:tcW w:w="6394" w:type="dxa"/>
            <w:gridSpan w:val="3"/>
            <w:tcBorders>
              <w:top w:val="nil"/>
              <w:left w:val="single" w:sz="8" w:space="0" w:color="auto"/>
              <w:bottom w:val="single" w:sz="4" w:space="0" w:color="auto"/>
              <w:right w:val="nil"/>
            </w:tcBorders>
            <w:shd w:val="clear" w:color="auto" w:fill="auto"/>
            <w:noWrap/>
            <w:vAlign w:val="bottom"/>
            <w:hideMark/>
          </w:tcPr>
          <w:p w:rsidR="00EE162B"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sz w:val="16"/>
                <w:szCs w:val="16"/>
                <w:lang w:eastAsia="sk-SK"/>
              </w:rPr>
              <w:t xml:space="preserve">Prostriedky z rozpočtu EÚ (zdroj </w:t>
            </w:r>
            <w:r w:rsidRPr="006E0C08">
              <w:rPr>
                <w:rFonts w:ascii="Times New Roman CE" w:eastAsia="Times New Roman" w:hAnsi="Times New Roman CE" w:cs="Times New Roman CE"/>
                <w:b/>
                <w:bCs/>
                <w:sz w:val="16"/>
                <w:szCs w:val="16"/>
                <w:lang w:eastAsia="sk-SK"/>
              </w:rPr>
              <w:t>11S1-</w:t>
            </w:r>
          </w:p>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 2. programové obdobie)</w:t>
            </w:r>
          </w:p>
        </w:tc>
        <w:tc>
          <w:tcPr>
            <w:tcW w:w="1418" w:type="dxa"/>
            <w:tcBorders>
              <w:top w:val="nil"/>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109 980 029,00 </w:t>
            </w:r>
          </w:p>
        </w:tc>
        <w:tc>
          <w:tcPr>
            <w:tcW w:w="1417"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20 210 624,17 </w:t>
            </w:r>
          </w:p>
        </w:tc>
        <w:tc>
          <w:tcPr>
            <w:tcW w:w="138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20 210 624,17</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20 210 624,17</w:t>
            </w:r>
          </w:p>
        </w:tc>
        <w:tc>
          <w:tcPr>
            <w:tcW w:w="106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0,00</w:t>
            </w:r>
          </w:p>
        </w:tc>
        <w:tc>
          <w:tcPr>
            <w:tcW w:w="940" w:type="dxa"/>
            <w:tcBorders>
              <w:top w:val="nil"/>
              <w:left w:val="nil"/>
              <w:bottom w:val="nil"/>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100,00%</w:t>
            </w:r>
          </w:p>
        </w:tc>
      </w:tr>
      <w:tr w:rsidR="00EE162B" w:rsidRPr="006E0C08" w:rsidTr="00EE162B">
        <w:trPr>
          <w:trHeight w:val="225"/>
        </w:trPr>
        <w:tc>
          <w:tcPr>
            <w:tcW w:w="6394" w:type="dxa"/>
            <w:gridSpan w:val="3"/>
            <w:tcBorders>
              <w:top w:val="nil"/>
              <w:left w:val="single" w:sz="8" w:space="0" w:color="auto"/>
              <w:bottom w:val="single" w:sz="4" w:space="0" w:color="auto"/>
              <w:right w:val="nil"/>
            </w:tcBorders>
            <w:shd w:val="clear" w:color="auto" w:fill="auto"/>
            <w:noWrap/>
            <w:vAlign w:val="bottom"/>
            <w:hideMark/>
          </w:tcPr>
          <w:p w:rsidR="00EE162B"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Prostriedky z rozpočtu EÚ (zdroj </w:t>
            </w:r>
            <w:r w:rsidRPr="006E0C08">
              <w:rPr>
                <w:rFonts w:ascii="Times New Roman CE" w:eastAsia="Times New Roman" w:hAnsi="Times New Roman CE" w:cs="Times New Roman CE"/>
                <w:b/>
                <w:bCs/>
                <w:sz w:val="16"/>
                <w:szCs w:val="16"/>
                <w:lang w:eastAsia="sk-SK"/>
              </w:rPr>
              <w:t>1AA1-</w:t>
            </w:r>
            <w:r w:rsidRPr="006E0C08">
              <w:rPr>
                <w:rFonts w:ascii="Times New Roman CE" w:eastAsia="Times New Roman" w:hAnsi="Times New Roman CE" w:cs="Times New Roman CE"/>
                <w:sz w:val="16"/>
                <w:szCs w:val="16"/>
                <w:lang w:eastAsia="sk-SK"/>
              </w:rPr>
              <w:t xml:space="preserve"> </w:t>
            </w:r>
          </w:p>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3. programové obdobie)</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60 150 000,00 </w:t>
            </w:r>
          </w:p>
        </w:tc>
        <w:tc>
          <w:tcPr>
            <w:tcW w:w="1417" w:type="dxa"/>
            <w:tcBorders>
              <w:top w:val="single" w:sz="4" w:space="0" w:color="auto"/>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380" w:type="dxa"/>
            <w:tcBorders>
              <w:top w:val="single" w:sz="4" w:space="0" w:color="auto"/>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0,00</w:t>
            </w:r>
          </w:p>
        </w:tc>
        <w:tc>
          <w:tcPr>
            <w:tcW w:w="1220" w:type="dxa"/>
            <w:tcBorders>
              <w:top w:val="single" w:sz="4" w:space="0" w:color="auto"/>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0,00</w:t>
            </w:r>
          </w:p>
        </w:tc>
        <w:tc>
          <w:tcPr>
            <w:tcW w:w="1060" w:type="dxa"/>
            <w:tcBorders>
              <w:top w:val="single" w:sz="4" w:space="0" w:color="auto"/>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0,00</w:t>
            </w:r>
          </w:p>
        </w:tc>
        <w:tc>
          <w:tcPr>
            <w:tcW w:w="940" w:type="dxa"/>
            <w:tcBorders>
              <w:top w:val="single" w:sz="4" w:space="0" w:color="auto"/>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w:t>
            </w:r>
          </w:p>
        </w:tc>
      </w:tr>
      <w:tr w:rsidR="00EE162B" w:rsidRPr="006E0C08" w:rsidTr="003B2765">
        <w:trPr>
          <w:trHeight w:val="225"/>
        </w:trPr>
        <w:tc>
          <w:tcPr>
            <w:tcW w:w="2850" w:type="dxa"/>
            <w:tcBorders>
              <w:top w:val="nil"/>
              <w:left w:val="single" w:sz="4" w:space="0" w:color="auto"/>
              <w:bottom w:val="nil"/>
              <w:right w:val="single" w:sz="4" w:space="0" w:color="auto"/>
            </w:tcBorders>
            <w:shd w:val="clear" w:color="auto" w:fill="auto"/>
            <w:noWrap/>
            <w:vAlign w:val="bottom"/>
            <w:hideMark/>
          </w:tcPr>
          <w:p w:rsidR="00EE162B" w:rsidRDefault="006E0C08" w:rsidP="00EE162B">
            <w:pPr>
              <w:pBdr>
                <w:right w:val="single" w:sz="4" w:space="4" w:color="auto"/>
              </w:pBd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sz w:val="16"/>
                <w:szCs w:val="16"/>
                <w:lang w:eastAsia="sk-SK"/>
              </w:rPr>
              <w:t xml:space="preserve">Spolufinancovanie zo ŠR (zdroj </w:t>
            </w:r>
            <w:r w:rsidRPr="006E0C08">
              <w:rPr>
                <w:rFonts w:ascii="Times New Roman CE" w:eastAsia="Times New Roman" w:hAnsi="Times New Roman CE" w:cs="Times New Roman CE"/>
                <w:b/>
                <w:bCs/>
                <w:sz w:val="16"/>
                <w:szCs w:val="16"/>
                <w:lang w:eastAsia="sk-SK"/>
              </w:rPr>
              <w:t>1352</w:t>
            </w:r>
          </w:p>
          <w:p w:rsidR="006E0C08" w:rsidRPr="006E0C08" w:rsidRDefault="006E0C08" w:rsidP="00EE162B">
            <w:pPr>
              <w:pBdr>
                <w:right w:val="single" w:sz="4" w:space="4" w:color="auto"/>
              </w:pBd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z predchádzajúcich rokov)</w:t>
            </w:r>
          </w:p>
        </w:tc>
        <w:tc>
          <w:tcPr>
            <w:tcW w:w="3544" w:type="dxa"/>
            <w:gridSpan w:val="2"/>
            <w:tcBorders>
              <w:top w:val="nil"/>
              <w:left w:val="nil"/>
              <w:bottom w:val="single" w:sz="4" w:space="0" w:color="auto"/>
              <w:right w:val="single" w:sz="4" w:space="0" w:color="auto"/>
            </w:tcBorders>
            <w:shd w:val="clear" w:color="auto" w:fill="auto"/>
            <w:noWrap/>
            <w:vAlign w:val="bottom"/>
            <w:hideMark/>
          </w:tcPr>
          <w:p w:rsidR="006E0C08" w:rsidRPr="006E0C08" w:rsidRDefault="006E0C08" w:rsidP="006E0C08">
            <w:pPr>
              <w:spacing w:after="0" w:line="240" w:lineRule="auto"/>
              <w:rPr>
                <w:rFonts w:ascii="Arial CE" w:eastAsia="Times New Roman" w:hAnsi="Arial CE" w:cs="Arial CE"/>
                <w:sz w:val="16"/>
                <w:szCs w:val="16"/>
                <w:lang w:eastAsia="sk-SK"/>
              </w:rPr>
            </w:pPr>
            <w:r w:rsidRPr="006E0C08">
              <w:rPr>
                <w:rFonts w:ascii="Arial CE" w:eastAsia="Times New Roman" w:hAnsi="Arial CE" w:cs="Arial CE"/>
                <w:sz w:val="16"/>
                <w:szCs w:val="16"/>
                <w:lang w:eastAsia="sk-SK"/>
              </w:rPr>
              <w:t> </w:t>
            </w:r>
          </w:p>
        </w:tc>
        <w:tc>
          <w:tcPr>
            <w:tcW w:w="1418" w:type="dxa"/>
            <w:tcBorders>
              <w:top w:val="nil"/>
              <w:left w:val="single" w:sz="4"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0,00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72 571,57</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0,00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72 571,57</w:t>
            </w:r>
          </w:p>
        </w:tc>
        <w:tc>
          <w:tcPr>
            <w:tcW w:w="940" w:type="dxa"/>
            <w:tcBorders>
              <w:top w:val="nil"/>
              <w:left w:val="nil"/>
              <w:bottom w:val="single" w:sz="4" w:space="0" w:color="auto"/>
              <w:right w:val="single" w:sz="8" w:space="0" w:color="auto"/>
            </w:tcBorders>
            <w:shd w:val="clear" w:color="000000" w:fill="FFFFFF"/>
            <w:noWrap/>
            <w:vAlign w:val="center"/>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EE162B">
        <w:trPr>
          <w:trHeight w:val="225"/>
        </w:trPr>
        <w:tc>
          <w:tcPr>
            <w:tcW w:w="6394" w:type="dxa"/>
            <w:gridSpan w:val="3"/>
            <w:tcBorders>
              <w:top w:val="single" w:sz="4" w:space="0" w:color="auto"/>
              <w:left w:val="single" w:sz="8" w:space="0" w:color="auto"/>
              <w:bottom w:val="nil"/>
              <w:right w:val="nil"/>
            </w:tcBorders>
            <w:shd w:val="clear" w:color="auto" w:fill="auto"/>
            <w:noWrap/>
            <w:vAlign w:val="bottom"/>
            <w:hideMark/>
          </w:tcPr>
          <w:p w:rsidR="00EE162B"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sz w:val="16"/>
                <w:szCs w:val="16"/>
                <w:lang w:eastAsia="sk-SK"/>
              </w:rPr>
              <w:t xml:space="preserve">Prostriedky z rozpočtu EÚ (zdroj </w:t>
            </w:r>
            <w:r w:rsidRPr="006E0C08">
              <w:rPr>
                <w:rFonts w:ascii="Times New Roman CE" w:eastAsia="Times New Roman" w:hAnsi="Times New Roman CE" w:cs="Times New Roman CE"/>
                <w:b/>
                <w:bCs/>
                <w:sz w:val="16"/>
                <w:szCs w:val="16"/>
                <w:lang w:eastAsia="sk-SK"/>
              </w:rPr>
              <w:t>13S1-</w:t>
            </w:r>
          </w:p>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 2. programové obdobie)</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248 340 463,88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248 635 135,02</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248 340 463,88</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294 671,14</w:t>
            </w:r>
          </w:p>
        </w:tc>
        <w:tc>
          <w:tcPr>
            <w:tcW w:w="940" w:type="dxa"/>
            <w:tcBorders>
              <w:top w:val="nil"/>
              <w:left w:val="nil"/>
              <w:bottom w:val="single" w:sz="4" w:space="0" w:color="auto"/>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3B2765">
        <w:trPr>
          <w:trHeight w:val="225"/>
        </w:trPr>
        <w:tc>
          <w:tcPr>
            <w:tcW w:w="2850" w:type="dxa"/>
            <w:tcBorders>
              <w:top w:val="single" w:sz="4" w:space="0" w:color="auto"/>
              <w:left w:val="single" w:sz="8" w:space="0" w:color="auto"/>
              <w:bottom w:val="nil"/>
              <w:right w:val="single" w:sz="4" w:space="0" w:color="auto"/>
            </w:tcBorders>
            <w:shd w:val="clear" w:color="auto" w:fill="auto"/>
            <w:noWrap/>
            <w:vAlign w:val="bottom"/>
            <w:hideMark/>
          </w:tcPr>
          <w:p w:rsidR="00EE162B"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Spolufinancovanie zo ŠR (zdroj </w:t>
            </w:r>
            <w:r w:rsidRPr="006E0C08">
              <w:rPr>
                <w:rFonts w:ascii="Times New Roman CE" w:eastAsia="Times New Roman" w:hAnsi="Times New Roman CE" w:cs="Times New Roman CE"/>
                <w:b/>
                <w:bCs/>
                <w:sz w:val="16"/>
                <w:szCs w:val="16"/>
                <w:lang w:eastAsia="sk-SK"/>
              </w:rPr>
              <w:t>13S2</w:t>
            </w:r>
            <w:r w:rsidRPr="006E0C08">
              <w:rPr>
                <w:rFonts w:ascii="Times New Roman CE" w:eastAsia="Times New Roman" w:hAnsi="Times New Roman CE" w:cs="Times New Roman CE"/>
                <w:sz w:val="16"/>
                <w:szCs w:val="16"/>
                <w:lang w:eastAsia="sk-SK"/>
              </w:rPr>
              <w:t xml:space="preserve"> </w:t>
            </w:r>
            <w:r w:rsidR="00EE162B">
              <w:rPr>
                <w:rFonts w:ascii="Times New Roman CE" w:eastAsia="Times New Roman" w:hAnsi="Times New Roman CE" w:cs="Times New Roman CE"/>
                <w:sz w:val="16"/>
                <w:szCs w:val="16"/>
                <w:lang w:eastAsia="sk-SK"/>
              </w:rPr>
              <w:t>–</w:t>
            </w:r>
          </w:p>
          <w:p w:rsidR="006E0C08" w:rsidRPr="006E0C08" w:rsidRDefault="006E0C08" w:rsidP="006E0C08">
            <w:pPr>
              <w:spacing w:after="0" w:line="240" w:lineRule="auto"/>
              <w:rPr>
                <w:rFonts w:ascii="Times New Roman CE" w:eastAsia="Times New Roman" w:hAnsi="Times New Roman CE" w:cs="Times New Roman CE"/>
                <w:sz w:val="16"/>
                <w:szCs w:val="16"/>
                <w:lang w:eastAsia="sk-SK"/>
              </w:rPr>
            </w:pPr>
            <w:r w:rsidRPr="006E0C08">
              <w:rPr>
                <w:rFonts w:ascii="Times New Roman CE" w:eastAsia="Times New Roman" w:hAnsi="Times New Roman CE" w:cs="Times New Roman CE"/>
                <w:sz w:val="16"/>
                <w:szCs w:val="16"/>
                <w:lang w:eastAsia="sk-SK"/>
              </w:rPr>
              <w:t xml:space="preserve"> 2. programové obdobie)</w:t>
            </w:r>
          </w:p>
        </w:tc>
        <w:tc>
          <w:tcPr>
            <w:tcW w:w="3544" w:type="dxa"/>
            <w:gridSpan w:val="2"/>
            <w:tcBorders>
              <w:top w:val="single" w:sz="4" w:space="0" w:color="auto"/>
              <w:left w:val="nil"/>
              <w:bottom w:val="nil"/>
              <w:right w:val="nil"/>
            </w:tcBorders>
            <w:shd w:val="clear" w:color="auto" w:fill="auto"/>
            <w:noWrap/>
            <w:vAlign w:val="bottom"/>
            <w:hideMark/>
          </w:tcPr>
          <w:p w:rsidR="006E0C08" w:rsidRPr="006E0C08" w:rsidRDefault="006E0C08" w:rsidP="006E0C08">
            <w:pPr>
              <w:spacing w:after="0" w:line="240" w:lineRule="auto"/>
              <w:rPr>
                <w:rFonts w:ascii="Arial CE" w:eastAsia="Times New Roman" w:hAnsi="Arial CE" w:cs="Arial CE"/>
                <w:sz w:val="16"/>
                <w:szCs w:val="16"/>
                <w:lang w:eastAsia="sk-SK"/>
              </w:rPr>
            </w:pPr>
            <w:r w:rsidRPr="006E0C08">
              <w:rPr>
                <w:rFonts w:ascii="Arial CE" w:eastAsia="Times New Roman" w:hAnsi="Arial CE" w:cs="Arial CE"/>
                <w:sz w:val="16"/>
                <w:szCs w:val="16"/>
                <w:lang w:eastAsia="sk-SK"/>
              </w:rPr>
              <w:t> </w:t>
            </w:r>
          </w:p>
        </w:tc>
        <w:tc>
          <w:tcPr>
            <w:tcW w:w="1418" w:type="dxa"/>
            <w:tcBorders>
              <w:top w:val="nil"/>
              <w:left w:val="single" w:sz="8" w:space="0" w:color="auto"/>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 xml:space="preserve">0,00 </w:t>
            </w:r>
          </w:p>
        </w:tc>
        <w:tc>
          <w:tcPr>
            <w:tcW w:w="1417"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 xml:space="preserve">0,00 </w:t>
            </w:r>
          </w:p>
        </w:tc>
        <w:tc>
          <w:tcPr>
            <w:tcW w:w="138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113 967,86</w:t>
            </w:r>
          </w:p>
        </w:tc>
        <w:tc>
          <w:tcPr>
            <w:tcW w:w="122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0,00</w:t>
            </w:r>
          </w:p>
        </w:tc>
        <w:tc>
          <w:tcPr>
            <w:tcW w:w="1060" w:type="dxa"/>
            <w:tcBorders>
              <w:top w:val="nil"/>
              <w:left w:val="nil"/>
              <w:bottom w:val="single" w:sz="4" w:space="0" w:color="auto"/>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113 967,86</w:t>
            </w:r>
          </w:p>
        </w:tc>
        <w:tc>
          <w:tcPr>
            <w:tcW w:w="940" w:type="dxa"/>
            <w:tcBorders>
              <w:top w:val="nil"/>
              <w:left w:val="nil"/>
              <w:bottom w:val="single" w:sz="4" w:space="0" w:color="auto"/>
              <w:right w:val="single" w:sz="8" w:space="0" w:color="auto"/>
            </w:tcBorders>
            <w:shd w:val="clear" w:color="000000" w:fill="FFFFFF"/>
            <w:noWrap/>
            <w:vAlign w:val="center"/>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EE162B">
        <w:trPr>
          <w:trHeight w:val="240"/>
        </w:trPr>
        <w:tc>
          <w:tcPr>
            <w:tcW w:w="6394" w:type="dxa"/>
            <w:gridSpan w:val="3"/>
            <w:tcBorders>
              <w:top w:val="single" w:sz="4" w:space="0" w:color="auto"/>
              <w:left w:val="single" w:sz="8" w:space="0" w:color="auto"/>
              <w:bottom w:val="nil"/>
              <w:right w:val="nil"/>
            </w:tcBorders>
            <w:shd w:val="clear" w:color="auto" w:fill="auto"/>
            <w:noWrap/>
            <w:vAlign w:val="bottom"/>
            <w:hideMark/>
          </w:tcPr>
          <w:p w:rsidR="006E0C08" w:rsidRPr="006E0C08" w:rsidRDefault="006E0C08" w:rsidP="006E0C08">
            <w:pPr>
              <w:spacing w:after="0" w:line="240" w:lineRule="auto"/>
              <w:rPr>
                <w:rFonts w:ascii="Times New Roman" w:eastAsia="Times New Roman" w:hAnsi="Times New Roman" w:cs="Times New Roman"/>
                <w:sz w:val="16"/>
                <w:szCs w:val="16"/>
                <w:lang w:eastAsia="sk-SK"/>
              </w:rPr>
            </w:pPr>
            <w:proofErr w:type="spellStart"/>
            <w:r w:rsidRPr="006E0C08">
              <w:rPr>
                <w:rFonts w:ascii="Times New Roman" w:eastAsia="Times New Roman" w:hAnsi="Times New Roman" w:cs="Times New Roman"/>
                <w:sz w:val="16"/>
                <w:szCs w:val="16"/>
                <w:lang w:eastAsia="sk-SK"/>
              </w:rPr>
              <w:t>Speciálny</w:t>
            </w:r>
            <w:proofErr w:type="spellEnd"/>
            <w:r w:rsidRPr="006E0C08">
              <w:rPr>
                <w:rFonts w:ascii="Times New Roman" w:eastAsia="Times New Roman" w:hAnsi="Times New Roman" w:cs="Times New Roman"/>
                <w:sz w:val="16"/>
                <w:szCs w:val="16"/>
                <w:lang w:eastAsia="sk-SK"/>
              </w:rPr>
              <w:t xml:space="preserve"> príjmový účet VOJ (zdroj </w:t>
            </w:r>
            <w:r w:rsidRPr="006E0C08">
              <w:rPr>
                <w:rFonts w:ascii="Times New Roman" w:eastAsia="Times New Roman" w:hAnsi="Times New Roman" w:cs="Times New Roman"/>
                <w:b/>
                <w:bCs/>
                <w:sz w:val="16"/>
                <w:szCs w:val="16"/>
                <w:lang w:eastAsia="sk-SK"/>
              </w:rPr>
              <w:t>111</w:t>
            </w:r>
            <w:r w:rsidRPr="006E0C08">
              <w:rPr>
                <w:rFonts w:ascii="Times New Roman" w:eastAsia="Times New Roman" w:hAnsi="Times New Roman" w:cs="Times New Roman"/>
                <w:sz w:val="16"/>
                <w:szCs w:val="16"/>
                <w:lang w:eastAsia="sk-SK"/>
              </w:rPr>
              <w:t>)</w:t>
            </w:r>
          </w:p>
        </w:tc>
        <w:tc>
          <w:tcPr>
            <w:tcW w:w="1418" w:type="dxa"/>
            <w:tcBorders>
              <w:top w:val="nil"/>
              <w:left w:val="single" w:sz="8" w:space="0" w:color="auto"/>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 xml:space="preserve">0,00 </w:t>
            </w:r>
          </w:p>
        </w:tc>
        <w:tc>
          <w:tcPr>
            <w:tcW w:w="1417"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 xml:space="preserve">0,00 </w:t>
            </w:r>
          </w:p>
        </w:tc>
        <w:tc>
          <w:tcPr>
            <w:tcW w:w="138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0,00</w:t>
            </w:r>
          </w:p>
        </w:tc>
        <w:tc>
          <w:tcPr>
            <w:tcW w:w="122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0,00</w:t>
            </w:r>
          </w:p>
        </w:tc>
        <w:tc>
          <w:tcPr>
            <w:tcW w:w="1060" w:type="dxa"/>
            <w:tcBorders>
              <w:top w:val="nil"/>
              <w:left w:val="nil"/>
              <w:bottom w:val="nil"/>
              <w:right w:val="single" w:sz="4" w:space="0" w:color="auto"/>
            </w:tcBorders>
            <w:shd w:val="clear" w:color="000000" w:fill="FFFFFF"/>
            <w:noWrap/>
            <w:vAlign w:val="bottom"/>
            <w:hideMark/>
          </w:tcPr>
          <w:p w:rsidR="006E0C08" w:rsidRPr="006E0C08" w:rsidRDefault="006E0C08" w:rsidP="006E0C08">
            <w:pPr>
              <w:spacing w:after="0" w:line="240" w:lineRule="auto"/>
              <w:jc w:val="right"/>
              <w:rPr>
                <w:rFonts w:ascii="Times New Roman" w:eastAsia="Times New Roman" w:hAnsi="Times New Roman" w:cs="Times New Roman"/>
                <w:sz w:val="16"/>
                <w:szCs w:val="16"/>
                <w:lang w:eastAsia="sk-SK"/>
              </w:rPr>
            </w:pPr>
            <w:r w:rsidRPr="006E0C08">
              <w:rPr>
                <w:rFonts w:ascii="Times New Roman" w:eastAsia="Times New Roman" w:hAnsi="Times New Roman" w:cs="Times New Roman"/>
                <w:sz w:val="16"/>
                <w:szCs w:val="16"/>
                <w:lang w:eastAsia="sk-SK"/>
              </w:rPr>
              <w:t>0,00</w:t>
            </w:r>
          </w:p>
        </w:tc>
        <w:tc>
          <w:tcPr>
            <w:tcW w:w="940" w:type="dxa"/>
            <w:tcBorders>
              <w:top w:val="nil"/>
              <w:left w:val="nil"/>
              <w:bottom w:val="nil"/>
              <w:right w:val="single" w:sz="8" w:space="0" w:color="auto"/>
            </w:tcBorders>
            <w:shd w:val="clear" w:color="000000" w:fill="FFFFFF"/>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w:t>
            </w:r>
          </w:p>
        </w:tc>
      </w:tr>
      <w:tr w:rsidR="00EE162B" w:rsidRPr="006E0C08" w:rsidTr="00EE162B">
        <w:trPr>
          <w:trHeight w:val="240"/>
        </w:trPr>
        <w:tc>
          <w:tcPr>
            <w:tcW w:w="4287" w:type="dxa"/>
            <w:gridSpan w:val="2"/>
            <w:tcBorders>
              <w:top w:val="single" w:sz="8" w:space="0" w:color="auto"/>
              <w:left w:val="single" w:sz="8" w:space="0" w:color="auto"/>
              <w:bottom w:val="single" w:sz="8" w:space="0" w:color="auto"/>
              <w:right w:val="nil"/>
            </w:tcBorders>
            <w:shd w:val="clear" w:color="000000" w:fill="E4DFEC"/>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Prostriedky z rozpočtu EÚ a príjmy VOJ - </w:t>
            </w:r>
            <w:proofErr w:type="spellStart"/>
            <w:r w:rsidRPr="006E0C08">
              <w:rPr>
                <w:rFonts w:ascii="Times New Roman CE" w:eastAsia="Times New Roman" w:hAnsi="Times New Roman CE" w:cs="Times New Roman CE"/>
                <w:b/>
                <w:bCs/>
                <w:sz w:val="16"/>
                <w:szCs w:val="16"/>
                <w:lang w:eastAsia="sk-SK"/>
              </w:rPr>
              <w:t>PJ</w:t>
            </w:r>
            <w:proofErr w:type="spellEnd"/>
            <w:r w:rsidRPr="006E0C08">
              <w:rPr>
                <w:rFonts w:ascii="Times New Roman CE" w:eastAsia="Times New Roman" w:hAnsi="Times New Roman CE" w:cs="Times New Roman CE"/>
                <w:b/>
                <w:bCs/>
                <w:sz w:val="16"/>
                <w:szCs w:val="16"/>
                <w:lang w:eastAsia="sk-SK"/>
              </w:rPr>
              <w:t xml:space="preserve">  -   S P O L U</w:t>
            </w:r>
          </w:p>
        </w:tc>
        <w:tc>
          <w:tcPr>
            <w:tcW w:w="2107" w:type="dxa"/>
            <w:tcBorders>
              <w:top w:val="single" w:sz="8" w:space="0" w:color="auto"/>
              <w:left w:val="single" w:sz="8" w:space="0" w:color="auto"/>
              <w:bottom w:val="single" w:sz="8" w:space="0" w:color="auto"/>
              <w:right w:val="nil"/>
            </w:tcBorders>
            <w:shd w:val="clear" w:color="000000" w:fill="E4DFEC"/>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r w:rsidRPr="006E0C08">
              <w:rPr>
                <w:rFonts w:ascii="Calibri" w:eastAsia="Times New Roman" w:hAnsi="Calibri" w:cs="Times New Roman"/>
                <w:color w:val="000000"/>
                <w:sz w:val="16"/>
                <w:szCs w:val="16"/>
                <w:lang w:eastAsia="sk-SK"/>
              </w:rPr>
              <w:t> </w:t>
            </w:r>
          </w:p>
        </w:tc>
        <w:tc>
          <w:tcPr>
            <w:tcW w:w="1418" w:type="dxa"/>
            <w:tcBorders>
              <w:top w:val="single" w:sz="8" w:space="0" w:color="auto"/>
              <w:left w:val="single" w:sz="8" w:space="0" w:color="auto"/>
              <w:bottom w:val="single" w:sz="8" w:space="0" w:color="auto"/>
              <w:right w:val="single" w:sz="4" w:space="0" w:color="auto"/>
            </w:tcBorders>
            <w:shd w:val="clear" w:color="000000" w:fill="E4DFE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170 130 029,00 </w:t>
            </w:r>
          </w:p>
        </w:tc>
        <w:tc>
          <w:tcPr>
            <w:tcW w:w="1417" w:type="dxa"/>
            <w:tcBorders>
              <w:top w:val="single" w:sz="8" w:space="0" w:color="auto"/>
              <w:left w:val="nil"/>
              <w:bottom w:val="single" w:sz="8" w:space="0" w:color="auto"/>
              <w:right w:val="single" w:sz="4" w:space="0" w:color="auto"/>
            </w:tcBorders>
            <w:shd w:val="clear" w:color="000000" w:fill="E4DFE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268 551 088,05 </w:t>
            </w:r>
          </w:p>
        </w:tc>
        <w:tc>
          <w:tcPr>
            <w:tcW w:w="1380" w:type="dxa"/>
            <w:tcBorders>
              <w:top w:val="single" w:sz="8" w:space="0" w:color="auto"/>
              <w:left w:val="nil"/>
              <w:bottom w:val="single" w:sz="8" w:space="0" w:color="auto"/>
              <w:right w:val="single" w:sz="4" w:space="0" w:color="auto"/>
            </w:tcBorders>
            <w:shd w:val="clear" w:color="000000" w:fill="E4DFE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269 032 298,62</w:t>
            </w:r>
          </w:p>
        </w:tc>
        <w:tc>
          <w:tcPr>
            <w:tcW w:w="1220" w:type="dxa"/>
            <w:tcBorders>
              <w:top w:val="single" w:sz="8" w:space="0" w:color="auto"/>
              <w:left w:val="nil"/>
              <w:bottom w:val="single" w:sz="8" w:space="0" w:color="auto"/>
              <w:right w:val="single" w:sz="4" w:space="0" w:color="auto"/>
            </w:tcBorders>
            <w:shd w:val="clear" w:color="000000" w:fill="E4DFE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268 551 088,05</w:t>
            </w:r>
          </w:p>
        </w:tc>
        <w:tc>
          <w:tcPr>
            <w:tcW w:w="1060" w:type="dxa"/>
            <w:tcBorders>
              <w:top w:val="single" w:sz="8" w:space="0" w:color="auto"/>
              <w:left w:val="nil"/>
              <w:bottom w:val="single" w:sz="8" w:space="0" w:color="auto"/>
              <w:right w:val="single" w:sz="4" w:space="0" w:color="auto"/>
            </w:tcBorders>
            <w:shd w:val="clear" w:color="000000" w:fill="E4DFEC"/>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481 210,57</w:t>
            </w:r>
          </w:p>
        </w:tc>
        <w:tc>
          <w:tcPr>
            <w:tcW w:w="940" w:type="dxa"/>
            <w:tcBorders>
              <w:top w:val="single" w:sz="8" w:space="0" w:color="auto"/>
              <w:left w:val="nil"/>
              <w:bottom w:val="single" w:sz="8" w:space="0" w:color="auto"/>
              <w:right w:val="single" w:sz="8" w:space="0" w:color="auto"/>
            </w:tcBorders>
            <w:shd w:val="clear" w:color="000000" w:fill="E4DFEC"/>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100,18%</w:t>
            </w:r>
          </w:p>
        </w:tc>
      </w:tr>
      <w:tr w:rsidR="00EE162B" w:rsidRPr="006E0C08" w:rsidTr="00EE162B">
        <w:trPr>
          <w:trHeight w:val="240"/>
        </w:trPr>
        <w:tc>
          <w:tcPr>
            <w:tcW w:w="6394" w:type="dxa"/>
            <w:gridSpan w:val="3"/>
            <w:tcBorders>
              <w:top w:val="single" w:sz="8" w:space="0" w:color="auto"/>
              <w:left w:val="single" w:sz="8" w:space="0" w:color="auto"/>
              <w:bottom w:val="single" w:sz="8" w:space="0" w:color="auto"/>
              <w:right w:val="nil"/>
            </w:tcBorders>
            <w:shd w:val="clear" w:color="000000" w:fill="FFFF00"/>
            <w:noWrap/>
            <w:vAlign w:val="bottom"/>
            <w:hideMark/>
          </w:tcPr>
          <w:p w:rsidR="006E0C08" w:rsidRPr="006E0C08" w:rsidRDefault="006E0C08" w:rsidP="006E0C08">
            <w:pPr>
              <w:spacing w:after="0" w:line="240" w:lineRule="auto"/>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                       C E L K O M </w:t>
            </w:r>
          </w:p>
        </w:tc>
        <w:tc>
          <w:tcPr>
            <w:tcW w:w="1418" w:type="dxa"/>
            <w:tcBorders>
              <w:top w:val="nil"/>
              <w:left w:val="single" w:sz="8" w:space="0" w:color="auto"/>
              <w:bottom w:val="single" w:sz="8" w:space="0" w:color="auto"/>
              <w:right w:val="single" w:sz="4" w:space="0" w:color="auto"/>
            </w:tcBorders>
            <w:shd w:val="clear" w:color="000000" w:fill="FFFF00"/>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286 304 989,00 </w:t>
            </w:r>
          </w:p>
        </w:tc>
        <w:tc>
          <w:tcPr>
            <w:tcW w:w="1417" w:type="dxa"/>
            <w:tcBorders>
              <w:top w:val="nil"/>
              <w:left w:val="nil"/>
              <w:bottom w:val="single" w:sz="8" w:space="0" w:color="auto"/>
              <w:right w:val="single" w:sz="4" w:space="0" w:color="auto"/>
            </w:tcBorders>
            <w:shd w:val="clear" w:color="000000" w:fill="FFFF00"/>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 xml:space="preserve">366 929 934,78 </w:t>
            </w:r>
          </w:p>
        </w:tc>
        <w:tc>
          <w:tcPr>
            <w:tcW w:w="1380" w:type="dxa"/>
            <w:tcBorders>
              <w:top w:val="nil"/>
              <w:left w:val="nil"/>
              <w:bottom w:val="single" w:sz="8" w:space="0" w:color="auto"/>
              <w:right w:val="single" w:sz="4" w:space="0" w:color="auto"/>
            </w:tcBorders>
            <w:shd w:val="clear" w:color="000000" w:fill="FFFF00"/>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369 085 004,57</w:t>
            </w:r>
          </w:p>
        </w:tc>
        <w:tc>
          <w:tcPr>
            <w:tcW w:w="1220" w:type="dxa"/>
            <w:tcBorders>
              <w:top w:val="nil"/>
              <w:left w:val="nil"/>
              <w:bottom w:val="single" w:sz="8" w:space="0" w:color="auto"/>
              <w:right w:val="single" w:sz="4" w:space="0" w:color="auto"/>
            </w:tcBorders>
            <w:shd w:val="clear" w:color="000000" w:fill="FFFF00"/>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367 626 125,57</w:t>
            </w:r>
          </w:p>
        </w:tc>
        <w:tc>
          <w:tcPr>
            <w:tcW w:w="1060" w:type="dxa"/>
            <w:tcBorders>
              <w:top w:val="nil"/>
              <w:left w:val="nil"/>
              <w:bottom w:val="single" w:sz="8" w:space="0" w:color="auto"/>
              <w:right w:val="single" w:sz="4" w:space="0" w:color="auto"/>
            </w:tcBorders>
            <w:shd w:val="clear" w:color="000000" w:fill="FFFF00"/>
            <w:noWrap/>
            <w:vAlign w:val="bottom"/>
            <w:hideMark/>
          </w:tcPr>
          <w:p w:rsidR="006E0C08" w:rsidRPr="006E0C08" w:rsidRDefault="006E0C08" w:rsidP="006E0C08">
            <w:pPr>
              <w:spacing w:after="0" w:line="240" w:lineRule="auto"/>
              <w:jc w:val="right"/>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1 458 879,00</w:t>
            </w:r>
          </w:p>
        </w:tc>
        <w:tc>
          <w:tcPr>
            <w:tcW w:w="940" w:type="dxa"/>
            <w:tcBorders>
              <w:top w:val="nil"/>
              <w:left w:val="nil"/>
              <w:bottom w:val="single" w:sz="8" w:space="0" w:color="auto"/>
              <w:right w:val="single" w:sz="8" w:space="0" w:color="auto"/>
            </w:tcBorders>
            <w:shd w:val="clear" w:color="000000" w:fill="FFFF00"/>
            <w:noWrap/>
            <w:vAlign w:val="bottom"/>
            <w:hideMark/>
          </w:tcPr>
          <w:p w:rsidR="006E0C08" w:rsidRPr="006E0C08" w:rsidRDefault="006E0C08" w:rsidP="006E0C08">
            <w:pPr>
              <w:spacing w:after="0" w:line="240" w:lineRule="auto"/>
              <w:jc w:val="center"/>
              <w:rPr>
                <w:rFonts w:ascii="Times New Roman CE" w:eastAsia="Times New Roman" w:hAnsi="Times New Roman CE" w:cs="Times New Roman CE"/>
                <w:b/>
                <w:bCs/>
                <w:sz w:val="16"/>
                <w:szCs w:val="16"/>
                <w:lang w:eastAsia="sk-SK"/>
              </w:rPr>
            </w:pPr>
            <w:r w:rsidRPr="006E0C08">
              <w:rPr>
                <w:rFonts w:ascii="Times New Roman CE" w:eastAsia="Times New Roman" w:hAnsi="Times New Roman CE" w:cs="Times New Roman CE"/>
                <w:b/>
                <w:bCs/>
                <w:sz w:val="16"/>
                <w:szCs w:val="16"/>
                <w:lang w:eastAsia="sk-SK"/>
              </w:rPr>
              <w:t>100,59%</w:t>
            </w:r>
          </w:p>
        </w:tc>
      </w:tr>
      <w:tr w:rsidR="006E0C08" w:rsidRPr="006E0C08" w:rsidTr="00EE162B">
        <w:trPr>
          <w:trHeight w:val="225"/>
        </w:trPr>
        <w:tc>
          <w:tcPr>
            <w:tcW w:w="4287" w:type="dxa"/>
            <w:gridSpan w:val="2"/>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2107"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1418"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1417"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1380"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1220"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1060"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c>
          <w:tcPr>
            <w:tcW w:w="940" w:type="dxa"/>
            <w:tcBorders>
              <w:top w:val="nil"/>
              <w:left w:val="nil"/>
              <w:bottom w:val="nil"/>
              <w:right w:val="nil"/>
            </w:tcBorders>
            <w:shd w:val="clear" w:color="auto" w:fill="auto"/>
            <w:noWrap/>
            <w:vAlign w:val="bottom"/>
            <w:hideMark/>
          </w:tcPr>
          <w:p w:rsidR="006E0C08" w:rsidRPr="006E0C08" w:rsidRDefault="006E0C08" w:rsidP="006E0C08">
            <w:pPr>
              <w:spacing w:after="0" w:line="240" w:lineRule="auto"/>
              <w:rPr>
                <w:rFonts w:ascii="Calibri" w:eastAsia="Times New Roman" w:hAnsi="Calibri" w:cs="Times New Roman"/>
                <w:color w:val="000000"/>
                <w:sz w:val="16"/>
                <w:szCs w:val="16"/>
                <w:lang w:eastAsia="sk-SK"/>
              </w:rPr>
            </w:pPr>
          </w:p>
        </w:tc>
      </w:tr>
    </w:tbl>
    <w:p w:rsidR="00484BD5" w:rsidRDefault="00484BD5" w:rsidP="006B2369">
      <w:pPr>
        <w:spacing w:before="240" w:line="240" w:lineRule="auto"/>
        <w:jc w:val="both"/>
        <w:rPr>
          <w:rFonts w:ascii="Times New Roman" w:hAnsi="Times New Roman" w:cs="Times New Roman"/>
          <w:i/>
          <w:sz w:val="24"/>
          <w:szCs w:val="24"/>
        </w:rPr>
        <w:sectPr w:rsidR="00484BD5" w:rsidSect="00DC68EF">
          <w:pgSz w:w="16838" w:h="11906" w:orient="landscape" w:code="9"/>
          <w:pgMar w:top="1418" w:right="1418" w:bottom="1418" w:left="1418" w:header="709" w:footer="709" w:gutter="0"/>
          <w:cols w:space="708"/>
          <w:docGrid w:linePitch="360"/>
        </w:sectPr>
      </w:pPr>
    </w:p>
    <w:p w:rsidR="0012367D" w:rsidRPr="00543D50" w:rsidRDefault="00543D50" w:rsidP="00B13962">
      <w:pPr>
        <w:pStyle w:val="Nadpis3"/>
        <w:spacing w:before="0" w:line="240" w:lineRule="auto"/>
        <w:ind w:left="1560" w:hanging="851"/>
        <w:jc w:val="both"/>
        <w:rPr>
          <w:rFonts w:ascii="Times New Roman" w:hAnsi="Times New Roman" w:cs="Times New Roman"/>
        </w:rPr>
      </w:pPr>
      <w:r>
        <w:rPr>
          <w:rFonts w:ascii="Times New Roman" w:hAnsi="Times New Roman" w:cs="Times New Roman"/>
        </w:rPr>
        <w:t xml:space="preserve">1.2.2. </w:t>
      </w:r>
      <w:r w:rsidR="00822E32">
        <w:rPr>
          <w:rFonts w:ascii="Times New Roman" w:hAnsi="Times New Roman" w:cs="Times New Roman"/>
        </w:rPr>
        <w:t xml:space="preserve"> </w:t>
      </w:r>
      <w:r w:rsidR="0012367D" w:rsidRPr="00543D50">
        <w:rPr>
          <w:rFonts w:ascii="Times New Roman" w:hAnsi="Times New Roman" w:cs="Times New Roman"/>
        </w:rPr>
        <w:t>Prostriedky prijaté z</w:t>
      </w:r>
      <w:r w:rsidR="0034566C" w:rsidRPr="00543D50">
        <w:rPr>
          <w:rFonts w:ascii="Times New Roman" w:hAnsi="Times New Roman" w:cs="Times New Roman"/>
        </w:rPr>
        <w:t xml:space="preserve"> rozpočtu Európskej únie </w:t>
      </w:r>
      <w:r w:rsidR="0012367D" w:rsidRPr="00543D50">
        <w:rPr>
          <w:rFonts w:ascii="Times New Roman" w:hAnsi="Times New Roman" w:cs="Times New Roman"/>
        </w:rPr>
        <w:t xml:space="preserve">a iné prostriedky zo </w:t>
      </w:r>
      <w:r w:rsidR="00B13962">
        <w:rPr>
          <w:rFonts w:ascii="Times New Roman" w:hAnsi="Times New Roman" w:cs="Times New Roman"/>
        </w:rPr>
        <w:t xml:space="preserve">  </w:t>
      </w:r>
      <w:r w:rsidR="0012367D" w:rsidRPr="00543D50">
        <w:rPr>
          <w:rFonts w:ascii="Times New Roman" w:hAnsi="Times New Roman" w:cs="Times New Roman"/>
        </w:rPr>
        <w:t>zahraničia poskytnuté S</w:t>
      </w:r>
      <w:r w:rsidR="0034566C" w:rsidRPr="00543D50">
        <w:rPr>
          <w:rFonts w:ascii="Times New Roman" w:hAnsi="Times New Roman" w:cs="Times New Roman"/>
        </w:rPr>
        <w:t>lovenskej republike</w:t>
      </w:r>
      <w:r w:rsidR="0012367D" w:rsidRPr="00543D50">
        <w:rPr>
          <w:rFonts w:ascii="Times New Roman" w:hAnsi="Times New Roman" w:cs="Times New Roman"/>
        </w:rPr>
        <w:t xml:space="preserve"> na základe medzinárodných zmlúv uzavretých medzi </w:t>
      </w:r>
      <w:r w:rsidR="0034566C" w:rsidRPr="00543D50">
        <w:rPr>
          <w:rFonts w:ascii="Times New Roman" w:hAnsi="Times New Roman" w:cs="Times New Roman"/>
        </w:rPr>
        <w:t>Slovenskou republikou</w:t>
      </w:r>
      <w:r w:rsidR="0012367D" w:rsidRPr="00543D50">
        <w:rPr>
          <w:rFonts w:ascii="Times New Roman" w:hAnsi="Times New Roman" w:cs="Times New Roman"/>
        </w:rPr>
        <w:t xml:space="preserve"> a inými štátmi</w:t>
      </w:r>
      <w:bookmarkEnd w:id="8"/>
    </w:p>
    <w:p w:rsidR="0012367D" w:rsidRPr="009B64C9" w:rsidRDefault="0012367D" w:rsidP="002110B9">
      <w:pPr>
        <w:pStyle w:val="Odsekzoznamu"/>
        <w:tabs>
          <w:tab w:val="left" w:pos="-540"/>
        </w:tabs>
        <w:spacing w:after="0" w:line="240" w:lineRule="auto"/>
        <w:ind w:left="0"/>
        <w:jc w:val="both"/>
        <w:rPr>
          <w:rFonts w:ascii="Times New Roman" w:hAnsi="Times New Roman" w:cs="Times New Roman"/>
          <w:b/>
          <w:bCs/>
          <w:sz w:val="24"/>
          <w:szCs w:val="24"/>
        </w:rPr>
      </w:pPr>
    </w:p>
    <w:p w:rsidR="0012367D" w:rsidRDefault="0012367D" w:rsidP="00822E32">
      <w:pPr>
        <w:spacing w:after="0" w:line="240" w:lineRule="auto"/>
        <w:ind w:firstLine="709"/>
        <w:jc w:val="both"/>
        <w:rPr>
          <w:rFonts w:ascii="Times New Roman" w:hAnsi="Times New Roman" w:cs="Times New Roman"/>
          <w:sz w:val="24"/>
          <w:szCs w:val="24"/>
        </w:rPr>
      </w:pPr>
      <w:r w:rsidRPr="006E7F0A">
        <w:rPr>
          <w:rFonts w:ascii="Times New Roman" w:hAnsi="Times New Roman" w:cs="Times New Roman"/>
          <w:sz w:val="24"/>
          <w:szCs w:val="24"/>
        </w:rPr>
        <w:t>V roku 201</w:t>
      </w:r>
      <w:r w:rsidR="007C052F">
        <w:rPr>
          <w:rFonts w:ascii="Times New Roman" w:hAnsi="Times New Roman" w:cs="Times New Roman"/>
          <w:sz w:val="24"/>
          <w:szCs w:val="24"/>
        </w:rPr>
        <w:t>5</w:t>
      </w:r>
      <w:r w:rsidR="00F301D4" w:rsidRPr="006E7F0A">
        <w:rPr>
          <w:rFonts w:ascii="Times New Roman" w:hAnsi="Times New Roman" w:cs="Times New Roman"/>
          <w:sz w:val="24"/>
          <w:szCs w:val="24"/>
        </w:rPr>
        <w:t xml:space="preserve"> </w:t>
      </w:r>
      <w:r w:rsidR="00CE4D03" w:rsidRPr="006E7F0A">
        <w:rPr>
          <w:rFonts w:ascii="Times New Roman" w:hAnsi="Times New Roman" w:cs="Times New Roman"/>
          <w:sz w:val="24"/>
          <w:szCs w:val="24"/>
        </w:rPr>
        <w:t xml:space="preserve">kapitola MH SR prijala prostriedky z EÚ </w:t>
      </w:r>
      <w:r w:rsidR="00B21D4A" w:rsidRPr="006E7F0A">
        <w:rPr>
          <w:rFonts w:ascii="Times New Roman" w:hAnsi="Times New Roman" w:cs="Times New Roman"/>
          <w:sz w:val="24"/>
          <w:szCs w:val="24"/>
        </w:rPr>
        <w:t xml:space="preserve">(zahraničné transfery) </w:t>
      </w:r>
      <w:r w:rsidR="00CE4D03" w:rsidRPr="006E7F0A">
        <w:rPr>
          <w:rFonts w:ascii="Times New Roman" w:hAnsi="Times New Roman" w:cs="Times New Roman"/>
          <w:sz w:val="24"/>
          <w:szCs w:val="24"/>
        </w:rPr>
        <w:t>a</w:t>
      </w:r>
      <w:r w:rsidR="00E90410">
        <w:rPr>
          <w:rFonts w:ascii="Times New Roman" w:hAnsi="Times New Roman" w:cs="Times New Roman"/>
          <w:sz w:val="24"/>
          <w:szCs w:val="24"/>
        </w:rPr>
        <w:t xml:space="preserve"> prostriedky </w:t>
      </w:r>
      <w:r w:rsidR="00B21D4A" w:rsidRPr="006E7F0A">
        <w:rPr>
          <w:rFonts w:ascii="Times New Roman" w:hAnsi="Times New Roman" w:cs="Times New Roman"/>
          <w:sz w:val="24"/>
          <w:szCs w:val="24"/>
        </w:rPr>
        <w:t xml:space="preserve">zo </w:t>
      </w:r>
      <w:r w:rsidR="00CE4D03" w:rsidRPr="006E7F0A">
        <w:rPr>
          <w:rFonts w:ascii="Times New Roman" w:hAnsi="Times New Roman" w:cs="Times New Roman"/>
          <w:sz w:val="24"/>
          <w:szCs w:val="24"/>
        </w:rPr>
        <w:t>zahraničia</w:t>
      </w:r>
      <w:r w:rsidR="00B21D4A" w:rsidRPr="006E7F0A">
        <w:rPr>
          <w:rFonts w:ascii="Times New Roman" w:hAnsi="Times New Roman" w:cs="Times New Roman"/>
          <w:sz w:val="24"/>
          <w:szCs w:val="24"/>
        </w:rPr>
        <w:t xml:space="preserve"> (zahraničné granty)</w:t>
      </w:r>
      <w:r w:rsidR="00CE4D03" w:rsidRPr="006E7F0A">
        <w:rPr>
          <w:rFonts w:ascii="Times New Roman" w:hAnsi="Times New Roman" w:cs="Times New Roman"/>
          <w:sz w:val="24"/>
          <w:szCs w:val="24"/>
        </w:rPr>
        <w:t xml:space="preserve"> v celkovej </w:t>
      </w:r>
      <w:r w:rsidR="00125FFD">
        <w:rPr>
          <w:rFonts w:ascii="Times New Roman" w:hAnsi="Times New Roman" w:cs="Times New Roman"/>
          <w:sz w:val="24"/>
          <w:szCs w:val="24"/>
        </w:rPr>
        <w:t>sume</w:t>
      </w:r>
      <w:r w:rsidR="00CE4D03" w:rsidRPr="006E7F0A">
        <w:rPr>
          <w:rFonts w:ascii="Times New Roman" w:hAnsi="Times New Roman" w:cs="Times New Roman"/>
          <w:sz w:val="24"/>
          <w:szCs w:val="24"/>
        </w:rPr>
        <w:t xml:space="preserve"> </w:t>
      </w:r>
      <w:r w:rsidR="00D2660A">
        <w:rPr>
          <w:rFonts w:ascii="Times New Roman" w:hAnsi="Times New Roman" w:cs="Times New Roman"/>
          <w:sz w:val="24"/>
          <w:szCs w:val="24"/>
        </w:rPr>
        <w:t>268 551 600,95</w:t>
      </w:r>
      <w:r w:rsidR="00FB476B">
        <w:rPr>
          <w:rFonts w:ascii="Times New Roman" w:hAnsi="Times New Roman" w:cs="Times New Roman"/>
          <w:sz w:val="24"/>
          <w:szCs w:val="24"/>
        </w:rPr>
        <w:t xml:space="preserve"> e</w:t>
      </w:r>
      <w:r w:rsidRPr="006E7F0A">
        <w:rPr>
          <w:rFonts w:ascii="Times New Roman" w:hAnsi="Times New Roman" w:cs="Times New Roman"/>
          <w:sz w:val="24"/>
          <w:szCs w:val="24"/>
        </w:rPr>
        <w:t xml:space="preserve">ur. </w:t>
      </w:r>
    </w:p>
    <w:p w:rsidR="00A76A7A" w:rsidRDefault="00A76A7A" w:rsidP="002110B9">
      <w:pPr>
        <w:spacing w:after="0" w:line="240" w:lineRule="auto"/>
        <w:ind w:firstLine="567"/>
        <w:jc w:val="both"/>
        <w:rPr>
          <w:rFonts w:ascii="Times New Roman" w:hAnsi="Times New Roman" w:cs="Times New Roman"/>
          <w:sz w:val="24"/>
          <w:szCs w:val="24"/>
        </w:rPr>
      </w:pPr>
    </w:p>
    <w:p w:rsidR="0012367D" w:rsidRDefault="00A76A7A" w:rsidP="00822E32">
      <w:pPr>
        <w:spacing w:after="0" w:line="240" w:lineRule="auto"/>
        <w:ind w:firstLine="709"/>
        <w:jc w:val="both"/>
        <w:rPr>
          <w:rFonts w:ascii="Times New Roman" w:hAnsi="Times New Roman" w:cs="Times New Roman"/>
          <w:sz w:val="24"/>
          <w:szCs w:val="24"/>
        </w:rPr>
      </w:pPr>
      <w:r w:rsidRPr="006E7F0A">
        <w:rPr>
          <w:rFonts w:ascii="Times New Roman" w:hAnsi="Times New Roman" w:cs="Times New Roman"/>
          <w:b/>
          <w:sz w:val="24"/>
          <w:szCs w:val="24"/>
        </w:rPr>
        <w:t>Platobná  jednotka – VOJ MH SR</w:t>
      </w:r>
      <w:r>
        <w:rPr>
          <w:rFonts w:ascii="Times New Roman" w:hAnsi="Times New Roman" w:cs="Times New Roman"/>
          <w:b/>
          <w:sz w:val="24"/>
          <w:szCs w:val="24"/>
        </w:rPr>
        <w:t xml:space="preserve"> </w:t>
      </w:r>
      <w:r w:rsidRPr="00FA188B">
        <w:rPr>
          <w:rFonts w:ascii="Times New Roman" w:hAnsi="Times New Roman" w:cs="Times New Roman"/>
          <w:sz w:val="24"/>
          <w:szCs w:val="24"/>
        </w:rPr>
        <w:t xml:space="preserve">mala  schválené príjmy  prostriedkov z rozpočtu </w:t>
      </w:r>
      <w:r>
        <w:rPr>
          <w:rFonts w:ascii="Times New Roman" w:hAnsi="Times New Roman" w:cs="Times New Roman"/>
          <w:sz w:val="24"/>
          <w:szCs w:val="24"/>
        </w:rPr>
        <w:t>EÚ</w:t>
      </w:r>
      <w:r w:rsidRPr="00FA188B">
        <w:rPr>
          <w:rFonts w:ascii="Times New Roman" w:hAnsi="Times New Roman" w:cs="Times New Roman"/>
          <w:sz w:val="24"/>
          <w:szCs w:val="24"/>
        </w:rPr>
        <w:t xml:space="preserve">  na  rok  201</w:t>
      </w:r>
      <w:r w:rsidR="00125FFD">
        <w:rPr>
          <w:rFonts w:ascii="Times New Roman" w:hAnsi="Times New Roman" w:cs="Times New Roman"/>
          <w:sz w:val="24"/>
          <w:szCs w:val="24"/>
        </w:rPr>
        <w:t>5</w:t>
      </w:r>
      <w:r w:rsidRPr="00FA188B">
        <w:rPr>
          <w:rFonts w:ascii="Times New Roman" w:hAnsi="Times New Roman" w:cs="Times New Roman"/>
          <w:sz w:val="24"/>
          <w:szCs w:val="24"/>
        </w:rPr>
        <w:t xml:space="preserve"> </w:t>
      </w:r>
      <w:r w:rsidR="00125FFD">
        <w:rPr>
          <w:rFonts w:ascii="Times New Roman" w:hAnsi="Times New Roman" w:cs="Times New Roman"/>
          <w:sz w:val="24"/>
          <w:szCs w:val="24"/>
        </w:rPr>
        <w:t xml:space="preserve">v </w:t>
      </w:r>
      <w:r w:rsidR="002E7842">
        <w:rPr>
          <w:rFonts w:ascii="Times New Roman" w:hAnsi="Times New Roman" w:cs="Times New Roman"/>
          <w:sz w:val="24"/>
          <w:szCs w:val="24"/>
        </w:rPr>
        <w:t>sume</w:t>
      </w:r>
      <w:r w:rsidRPr="00FA188B">
        <w:rPr>
          <w:rFonts w:ascii="Times New Roman" w:hAnsi="Times New Roman" w:cs="Times New Roman"/>
          <w:sz w:val="24"/>
          <w:szCs w:val="24"/>
        </w:rPr>
        <w:t xml:space="preserve"> </w:t>
      </w:r>
      <w:r w:rsidR="00D2660A">
        <w:rPr>
          <w:rFonts w:ascii="Times New Roman" w:hAnsi="Times New Roman" w:cs="Times New Roman"/>
          <w:sz w:val="24"/>
          <w:szCs w:val="24"/>
        </w:rPr>
        <w:t>170 130 029,00</w:t>
      </w:r>
      <w:r w:rsidRPr="00FA188B">
        <w:rPr>
          <w:rFonts w:ascii="Times New Roman" w:hAnsi="Times New Roman" w:cs="Times New Roman"/>
          <w:sz w:val="24"/>
          <w:szCs w:val="24"/>
        </w:rPr>
        <w:t xml:space="preserve"> eur. Upravený rozpočet príjmov  k 31.12.201</w:t>
      </w:r>
      <w:r w:rsidR="00125FFD">
        <w:rPr>
          <w:rFonts w:ascii="Times New Roman" w:hAnsi="Times New Roman" w:cs="Times New Roman"/>
          <w:sz w:val="24"/>
          <w:szCs w:val="24"/>
        </w:rPr>
        <w:t>5</w:t>
      </w:r>
      <w:r w:rsidRPr="00FA188B">
        <w:rPr>
          <w:rFonts w:ascii="Times New Roman" w:hAnsi="Times New Roman" w:cs="Times New Roman"/>
          <w:sz w:val="24"/>
          <w:szCs w:val="24"/>
        </w:rPr>
        <w:t xml:space="preserve">  bol </w:t>
      </w:r>
      <w:r w:rsidR="00125FFD">
        <w:rPr>
          <w:rFonts w:ascii="Times New Roman" w:hAnsi="Times New Roman" w:cs="Times New Roman"/>
          <w:sz w:val="24"/>
          <w:szCs w:val="24"/>
        </w:rPr>
        <w:t>v</w:t>
      </w:r>
      <w:r w:rsidR="00D2660A">
        <w:rPr>
          <w:rFonts w:ascii="Times New Roman" w:hAnsi="Times New Roman" w:cs="Times New Roman"/>
          <w:sz w:val="24"/>
          <w:szCs w:val="24"/>
        </w:rPr>
        <w:t> </w:t>
      </w:r>
      <w:r w:rsidR="00125FFD">
        <w:rPr>
          <w:rFonts w:ascii="Times New Roman" w:hAnsi="Times New Roman" w:cs="Times New Roman"/>
          <w:sz w:val="24"/>
          <w:szCs w:val="24"/>
        </w:rPr>
        <w:t>hodnote</w:t>
      </w:r>
      <w:r w:rsidR="00D2660A">
        <w:rPr>
          <w:rFonts w:ascii="Times New Roman" w:hAnsi="Times New Roman" w:cs="Times New Roman"/>
          <w:sz w:val="24"/>
          <w:szCs w:val="24"/>
        </w:rPr>
        <w:t xml:space="preserve"> 268 551 088,05</w:t>
      </w:r>
      <w:r w:rsidRPr="00FA188B">
        <w:rPr>
          <w:rFonts w:ascii="Times New Roman" w:hAnsi="Times New Roman" w:cs="Times New Roman"/>
          <w:sz w:val="24"/>
          <w:szCs w:val="24"/>
        </w:rPr>
        <w:t xml:space="preserve"> eur. </w:t>
      </w:r>
      <w:r>
        <w:rPr>
          <w:rFonts w:ascii="Times New Roman" w:hAnsi="Times New Roman" w:cs="Times New Roman"/>
          <w:sz w:val="24"/>
          <w:szCs w:val="24"/>
        </w:rPr>
        <w:t>Pr</w:t>
      </w:r>
      <w:r w:rsidR="0012367D" w:rsidRPr="006E7F0A">
        <w:rPr>
          <w:rFonts w:ascii="Times New Roman" w:hAnsi="Times New Roman" w:cs="Times New Roman"/>
          <w:sz w:val="24"/>
          <w:szCs w:val="24"/>
        </w:rPr>
        <w:t xml:space="preserve">íjmy rozpočtu </w:t>
      </w:r>
      <w:r w:rsidR="005C2D48">
        <w:rPr>
          <w:rFonts w:ascii="Times New Roman" w:hAnsi="Times New Roman" w:cs="Times New Roman"/>
          <w:sz w:val="24"/>
          <w:szCs w:val="24"/>
        </w:rPr>
        <w:t>platobnej jednotky</w:t>
      </w:r>
      <w:r w:rsidR="00D6242B" w:rsidRPr="006E7F0A">
        <w:rPr>
          <w:rFonts w:ascii="Times New Roman" w:hAnsi="Times New Roman" w:cs="Times New Roman"/>
          <w:sz w:val="24"/>
          <w:szCs w:val="24"/>
        </w:rPr>
        <w:t xml:space="preserve"> v ekonomickej klasifikácii </w:t>
      </w:r>
      <w:r w:rsidR="00E90410">
        <w:rPr>
          <w:rFonts w:ascii="Times New Roman" w:hAnsi="Times New Roman" w:cs="Times New Roman"/>
          <w:sz w:val="24"/>
          <w:szCs w:val="24"/>
        </w:rPr>
        <w:t>Zahraničné transfery</w:t>
      </w:r>
      <w:r w:rsidR="00D6242B" w:rsidRPr="006E7F0A">
        <w:rPr>
          <w:rFonts w:ascii="Times New Roman" w:hAnsi="Times New Roman" w:cs="Times New Roman"/>
          <w:sz w:val="24"/>
          <w:szCs w:val="24"/>
        </w:rPr>
        <w:t xml:space="preserve"> </w:t>
      </w:r>
      <w:r w:rsidR="00125FFD">
        <w:rPr>
          <w:rFonts w:ascii="Times New Roman" w:hAnsi="Times New Roman" w:cs="Times New Roman"/>
          <w:sz w:val="24"/>
          <w:szCs w:val="24"/>
        </w:rPr>
        <w:t xml:space="preserve">boli k </w:t>
      </w:r>
      <w:r w:rsidR="0012367D" w:rsidRPr="006E7F0A">
        <w:rPr>
          <w:rFonts w:ascii="Times New Roman" w:hAnsi="Times New Roman" w:cs="Times New Roman"/>
          <w:sz w:val="24"/>
          <w:szCs w:val="24"/>
        </w:rPr>
        <w:t> 31.12.201</w:t>
      </w:r>
      <w:r w:rsidR="00125FFD">
        <w:rPr>
          <w:rFonts w:ascii="Times New Roman" w:hAnsi="Times New Roman" w:cs="Times New Roman"/>
          <w:sz w:val="24"/>
          <w:szCs w:val="24"/>
        </w:rPr>
        <w:t>5</w:t>
      </w:r>
      <w:r w:rsidR="0012367D" w:rsidRPr="006E7F0A">
        <w:rPr>
          <w:rFonts w:ascii="Times New Roman" w:hAnsi="Times New Roman" w:cs="Times New Roman"/>
          <w:sz w:val="24"/>
          <w:szCs w:val="24"/>
        </w:rPr>
        <w:t xml:space="preserve"> napln</w:t>
      </w:r>
      <w:r w:rsidR="00125FFD">
        <w:rPr>
          <w:rFonts w:ascii="Times New Roman" w:hAnsi="Times New Roman" w:cs="Times New Roman"/>
          <w:sz w:val="24"/>
          <w:szCs w:val="24"/>
        </w:rPr>
        <w:t>ené v</w:t>
      </w:r>
      <w:r w:rsidR="00D2660A">
        <w:rPr>
          <w:rFonts w:ascii="Times New Roman" w:hAnsi="Times New Roman" w:cs="Times New Roman"/>
          <w:sz w:val="24"/>
          <w:szCs w:val="24"/>
        </w:rPr>
        <w:t> sume 268 551 088,05</w:t>
      </w:r>
      <w:r w:rsidR="0012367D" w:rsidRPr="006E7F0A">
        <w:rPr>
          <w:rFonts w:ascii="Times New Roman" w:hAnsi="Times New Roman" w:cs="Times New Roman"/>
          <w:sz w:val="24"/>
          <w:szCs w:val="24"/>
        </w:rPr>
        <w:t xml:space="preserve"> </w:t>
      </w:r>
      <w:r>
        <w:rPr>
          <w:rFonts w:ascii="Times New Roman" w:hAnsi="Times New Roman" w:cs="Times New Roman"/>
          <w:sz w:val="24"/>
          <w:szCs w:val="24"/>
        </w:rPr>
        <w:t>e</w:t>
      </w:r>
      <w:r w:rsidR="0012367D" w:rsidRPr="006E7F0A">
        <w:rPr>
          <w:rFonts w:ascii="Times New Roman" w:hAnsi="Times New Roman" w:cs="Times New Roman"/>
          <w:sz w:val="24"/>
          <w:szCs w:val="24"/>
        </w:rPr>
        <w:t>ur, čo predstavuje  plnenie upraveného  rozpočtu na 100,</w:t>
      </w:r>
      <w:r w:rsidR="00D6242B" w:rsidRPr="006E7F0A">
        <w:rPr>
          <w:rFonts w:ascii="Times New Roman" w:hAnsi="Times New Roman" w:cs="Times New Roman"/>
          <w:sz w:val="24"/>
          <w:szCs w:val="24"/>
        </w:rPr>
        <w:t>00</w:t>
      </w:r>
      <w:r w:rsidR="0012367D" w:rsidRPr="006E7F0A">
        <w:rPr>
          <w:rFonts w:ascii="Times New Roman" w:hAnsi="Times New Roman" w:cs="Times New Roman"/>
          <w:sz w:val="24"/>
          <w:szCs w:val="24"/>
        </w:rPr>
        <w:t xml:space="preserve"> %. </w:t>
      </w:r>
    </w:p>
    <w:p w:rsidR="00A76A7A" w:rsidRPr="00A76A7A" w:rsidRDefault="00A76A7A" w:rsidP="002110B9">
      <w:pPr>
        <w:spacing w:after="0" w:line="240" w:lineRule="auto"/>
        <w:ind w:firstLine="567"/>
        <w:jc w:val="both"/>
        <w:rPr>
          <w:rFonts w:ascii="Times New Roman" w:hAnsi="Times New Roman" w:cs="Times New Roman"/>
          <w:color w:val="00FF00"/>
          <w:sz w:val="24"/>
          <w:szCs w:val="24"/>
        </w:rPr>
      </w:pPr>
    </w:p>
    <w:p w:rsidR="0010715E" w:rsidRPr="00D2660A" w:rsidRDefault="0012367D" w:rsidP="0010715E">
      <w:pPr>
        <w:pStyle w:val="Hlavika"/>
        <w:tabs>
          <w:tab w:val="clear" w:pos="4536"/>
        </w:tabs>
        <w:ind w:firstLine="709"/>
        <w:jc w:val="both"/>
        <w:rPr>
          <w:rFonts w:ascii="Times New Roman" w:hAnsi="Times New Roman" w:cs="Times New Roman"/>
          <w:sz w:val="24"/>
          <w:szCs w:val="24"/>
        </w:rPr>
      </w:pPr>
      <w:r w:rsidRPr="006E7F0A">
        <w:rPr>
          <w:rFonts w:ascii="Times New Roman" w:hAnsi="Times New Roman" w:cs="Times New Roman"/>
          <w:sz w:val="24"/>
          <w:szCs w:val="24"/>
        </w:rPr>
        <w:t xml:space="preserve">Súčasťou </w:t>
      </w:r>
      <w:r w:rsidR="002170F7">
        <w:rPr>
          <w:rFonts w:ascii="Times New Roman" w:hAnsi="Times New Roman" w:cs="Times New Roman"/>
          <w:sz w:val="24"/>
          <w:szCs w:val="24"/>
        </w:rPr>
        <w:t xml:space="preserve">prijatých </w:t>
      </w:r>
      <w:r w:rsidRPr="006E7F0A">
        <w:rPr>
          <w:rFonts w:ascii="Times New Roman" w:hAnsi="Times New Roman" w:cs="Times New Roman"/>
          <w:sz w:val="24"/>
          <w:szCs w:val="24"/>
        </w:rPr>
        <w:t xml:space="preserve">grantov a transferov </w:t>
      </w:r>
      <w:r w:rsidR="000913E6">
        <w:rPr>
          <w:rFonts w:ascii="Times New Roman" w:hAnsi="Times New Roman" w:cs="Times New Roman"/>
          <w:sz w:val="24"/>
          <w:szCs w:val="24"/>
        </w:rPr>
        <w:t>v roku 2015 bol</w:t>
      </w:r>
      <w:r w:rsidRPr="006E7F0A">
        <w:rPr>
          <w:rFonts w:ascii="Times New Roman" w:hAnsi="Times New Roman" w:cs="Times New Roman"/>
          <w:sz w:val="24"/>
          <w:szCs w:val="24"/>
        </w:rPr>
        <w:t xml:space="preserve"> zahraničný grant </w:t>
      </w:r>
      <w:proofErr w:type="spellStart"/>
      <w:r w:rsidRPr="00D2660A">
        <w:rPr>
          <w:rFonts w:ascii="Times New Roman" w:hAnsi="Times New Roman" w:cs="Times New Roman"/>
          <w:sz w:val="24"/>
          <w:szCs w:val="24"/>
        </w:rPr>
        <w:t>EK</w:t>
      </w:r>
      <w:proofErr w:type="spellEnd"/>
      <w:r w:rsidR="00A76A7A" w:rsidRPr="00D2660A">
        <w:rPr>
          <w:rFonts w:ascii="Times New Roman" w:hAnsi="Times New Roman" w:cs="Times New Roman"/>
          <w:sz w:val="24"/>
          <w:szCs w:val="24"/>
        </w:rPr>
        <w:t xml:space="preserve"> </w:t>
      </w:r>
      <w:r w:rsidR="00D2660A" w:rsidRPr="00D2660A">
        <w:rPr>
          <w:rFonts w:ascii="Times New Roman" w:hAnsi="Times New Roman" w:cs="Times New Roman"/>
          <w:sz w:val="24"/>
          <w:szCs w:val="24"/>
        </w:rPr>
        <w:t xml:space="preserve">v sume </w:t>
      </w:r>
      <w:r w:rsidR="00A76A7A" w:rsidRPr="00D2660A">
        <w:rPr>
          <w:rFonts w:ascii="Times New Roman" w:hAnsi="Times New Roman" w:cs="Times New Roman"/>
          <w:sz w:val="24"/>
          <w:szCs w:val="24"/>
        </w:rPr>
        <w:t xml:space="preserve"> </w:t>
      </w:r>
      <w:r w:rsidR="00D2660A" w:rsidRPr="00D2660A">
        <w:rPr>
          <w:rFonts w:ascii="Times New Roman" w:hAnsi="Times New Roman" w:cs="Times New Roman"/>
          <w:sz w:val="24"/>
          <w:szCs w:val="24"/>
        </w:rPr>
        <w:t xml:space="preserve">512,90 </w:t>
      </w:r>
      <w:r w:rsidR="00A76A7A" w:rsidRPr="00D2660A">
        <w:rPr>
          <w:rFonts w:ascii="Times New Roman" w:hAnsi="Times New Roman" w:cs="Times New Roman"/>
          <w:sz w:val="24"/>
          <w:szCs w:val="24"/>
        </w:rPr>
        <w:t>eur</w:t>
      </w:r>
      <w:r w:rsidRPr="006E7F0A">
        <w:rPr>
          <w:rFonts w:ascii="Times New Roman" w:hAnsi="Times New Roman" w:cs="Times New Roman"/>
          <w:sz w:val="24"/>
          <w:szCs w:val="24"/>
        </w:rPr>
        <w:t xml:space="preserve">, ktorý </w:t>
      </w:r>
      <w:r w:rsidR="00D2660A">
        <w:rPr>
          <w:rFonts w:ascii="Times New Roman" w:hAnsi="Times New Roman" w:cs="Times New Roman"/>
          <w:sz w:val="24"/>
          <w:szCs w:val="24"/>
        </w:rPr>
        <w:t>prijala</w:t>
      </w:r>
      <w:r w:rsidRPr="006E7F0A">
        <w:rPr>
          <w:rFonts w:ascii="Times New Roman" w:hAnsi="Times New Roman" w:cs="Times New Roman"/>
          <w:sz w:val="24"/>
          <w:szCs w:val="24"/>
        </w:rPr>
        <w:t xml:space="preserve"> </w:t>
      </w:r>
      <w:r w:rsidRPr="00D2660A">
        <w:rPr>
          <w:rFonts w:ascii="Times New Roman" w:hAnsi="Times New Roman" w:cs="Times New Roman"/>
          <w:b/>
          <w:sz w:val="24"/>
          <w:szCs w:val="24"/>
        </w:rPr>
        <w:t>Slovenská obchodná inšpekcia</w:t>
      </w:r>
      <w:r w:rsidR="009C7A03" w:rsidRPr="00D2660A">
        <w:rPr>
          <w:rFonts w:ascii="Times New Roman" w:hAnsi="Times New Roman" w:cs="Times New Roman"/>
          <w:sz w:val="24"/>
          <w:szCs w:val="24"/>
        </w:rPr>
        <w:t xml:space="preserve"> </w:t>
      </w:r>
      <w:r w:rsidR="00A76A7A" w:rsidRPr="00FA188B">
        <w:rPr>
          <w:rFonts w:ascii="Times New Roman" w:hAnsi="Times New Roman" w:cs="Times New Roman"/>
          <w:sz w:val="24"/>
          <w:szCs w:val="24"/>
        </w:rPr>
        <w:t xml:space="preserve">na projekt </w:t>
      </w:r>
      <w:proofErr w:type="spellStart"/>
      <w:r w:rsidR="00D2660A" w:rsidRPr="00D2660A">
        <w:rPr>
          <w:rFonts w:ascii="Times New Roman" w:hAnsi="Times New Roman" w:cs="Times New Roman"/>
          <w:sz w:val="24"/>
          <w:szCs w:val="24"/>
        </w:rPr>
        <w:t>EUTS</w:t>
      </w:r>
      <w:proofErr w:type="spellEnd"/>
      <w:r w:rsidR="00D2660A" w:rsidRPr="00D2660A">
        <w:rPr>
          <w:rFonts w:ascii="Times New Roman" w:hAnsi="Times New Roman" w:cs="Times New Roman"/>
          <w:sz w:val="24"/>
          <w:szCs w:val="24"/>
        </w:rPr>
        <w:t xml:space="preserve"> III – Európska stratégia pre nekalé obchodné praktiky III v roku 2015.</w:t>
      </w:r>
    </w:p>
    <w:p w:rsidR="00D2660A" w:rsidRDefault="00D2660A" w:rsidP="00D2660A">
      <w:pPr>
        <w:spacing w:line="240" w:lineRule="auto"/>
        <w:ind w:firstLine="709"/>
        <w:jc w:val="both"/>
        <w:rPr>
          <w:rFonts w:ascii="Times New Roman" w:hAnsi="Times New Roman" w:cs="Times New Roman"/>
          <w:b/>
          <w:sz w:val="24"/>
          <w:szCs w:val="24"/>
        </w:rPr>
      </w:pPr>
    </w:p>
    <w:p w:rsidR="004629A6" w:rsidRDefault="004629A6" w:rsidP="00D2660A">
      <w:pPr>
        <w:spacing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1.2.3. </w:t>
      </w:r>
      <w:r w:rsidR="004D0CA5">
        <w:rPr>
          <w:rFonts w:ascii="Times New Roman" w:hAnsi="Times New Roman" w:cs="Times New Roman"/>
          <w:b/>
          <w:sz w:val="24"/>
          <w:szCs w:val="24"/>
        </w:rPr>
        <w:t xml:space="preserve"> </w:t>
      </w:r>
      <w:r>
        <w:rPr>
          <w:rFonts w:ascii="Times New Roman" w:hAnsi="Times New Roman" w:cs="Times New Roman"/>
          <w:b/>
          <w:sz w:val="24"/>
          <w:szCs w:val="24"/>
        </w:rPr>
        <w:t>Úpravy pôvodne schváleného rozpočtu príjmov v priebehu roka</w:t>
      </w:r>
    </w:p>
    <w:p w:rsidR="00D03180" w:rsidRPr="002E7842" w:rsidRDefault="00BB28CB" w:rsidP="002E7842">
      <w:pPr>
        <w:autoSpaceDE w:val="0"/>
        <w:autoSpaceDN w:val="0"/>
        <w:adjustRightInd w:val="0"/>
        <w:spacing w:after="0" w:line="240" w:lineRule="auto"/>
        <w:ind w:firstLine="708"/>
        <w:jc w:val="both"/>
        <w:rPr>
          <w:rFonts w:ascii="Times New Roman" w:hAnsi="Times New Roman" w:cs="Times New Roman"/>
          <w:sz w:val="24"/>
          <w:szCs w:val="24"/>
        </w:rPr>
      </w:pPr>
      <w:r w:rsidRPr="002E7842">
        <w:rPr>
          <w:rFonts w:ascii="Times New Roman" w:hAnsi="Times New Roman" w:cs="Times New Roman"/>
          <w:sz w:val="24"/>
          <w:szCs w:val="24"/>
        </w:rPr>
        <w:t>P</w:t>
      </w:r>
      <w:r w:rsidR="004629A6" w:rsidRPr="002E7842">
        <w:rPr>
          <w:rFonts w:ascii="Times New Roman" w:hAnsi="Times New Roman" w:cs="Times New Roman"/>
          <w:sz w:val="24"/>
          <w:szCs w:val="24"/>
        </w:rPr>
        <w:t>ríjm</w:t>
      </w:r>
      <w:r w:rsidRPr="002E7842">
        <w:rPr>
          <w:rFonts w:ascii="Times New Roman" w:hAnsi="Times New Roman" w:cs="Times New Roman"/>
          <w:sz w:val="24"/>
          <w:szCs w:val="24"/>
        </w:rPr>
        <w:t>y</w:t>
      </w:r>
      <w:r w:rsidR="004629A6" w:rsidRPr="002E7842">
        <w:rPr>
          <w:rFonts w:ascii="Times New Roman" w:hAnsi="Times New Roman" w:cs="Times New Roman"/>
          <w:sz w:val="24"/>
          <w:szCs w:val="24"/>
        </w:rPr>
        <w:t xml:space="preserve"> kapitoly MH SR </w:t>
      </w:r>
      <w:r w:rsidR="00EF4DF7" w:rsidRPr="002E7842">
        <w:rPr>
          <w:rFonts w:ascii="Times New Roman" w:hAnsi="Times New Roman" w:cs="Times New Roman"/>
          <w:sz w:val="24"/>
          <w:szCs w:val="24"/>
        </w:rPr>
        <w:t>bol</w:t>
      </w:r>
      <w:r w:rsidRPr="002E7842">
        <w:rPr>
          <w:rFonts w:ascii="Times New Roman" w:hAnsi="Times New Roman" w:cs="Times New Roman"/>
          <w:sz w:val="24"/>
          <w:szCs w:val="24"/>
        </w:rPr>
        <w:t>i</w:t>
      </w:r>
      <w:r w:rsidR="00EF4DF7" w:rsidRPr="002E7842">
        <w:rPr>
          <w:rFonts w:ascii="Times New Roman" w:hAnsi="Times New Roman" w:cs="Times New Roman"/>
          <w:sz w:val="24"/>
          <w:szCs w:val="24"/>
        </w:rPr>
        <w:t xml:space="preserve"> </w:t>
      </w:r>
      <w:r w:rsidR="004629A6" w:rsidRPr="002E7842">
        <w:rPr>
          <w:rFonts w:ascii="Times New Roman" w:hAnsi="Times New Roman" w:cs="Times New Roman"/>
          <w:sz w:val="24"/>
          <w:szCs w:val="24"/>
        </w:rPr>
        <w:t>v priebehu roka 201</w:t>
      </w:r>
      <w:r w:rsidR="007C052F" w:rsidRPr="002E7842">
        <w:rPr>
          <w:rFonts w:ascii="Times New Roman" w:hAnsi="Times New Roman" w:cs="Times New Roman"/>
          <w:sz w:val="24"/>
          <w:szCs w:val="24"/>
        </w:rPr>
        <w:t>5</w:t>
      </w:r>
      <w:r w:rsidR="004629A6" w:rsidRPr="002E7842">
        <w:rPr>
          <w:rFonts w:ascii="Times New Roman" w:hAnsi="Times New Roman" w:cs="Times New Roman"/>
          <w:sz w:val="24"/>
          <w:szCs w:val="24"/>
        </w:rPr>
        <w:t xml:space="preserve"> </w:t>
      </w:r>
      <w:r w:rsidR="00D03180" w:rsidRPr="002E7842">
        <w:rPr>
          <w:rFonts w:ascii="Times New Roman" w:hAnsi="Times New Roman" w:cs="Times New Roman"/>
          <w:sz w:val="24"/>
          <w:szCs w:val="24"/>
        </w:rPr>
        <w:t xml:space="preserve"> upraven</w:t>
      </w:r>
      <w:r w:rsidRPr="002E7842">
        <w:rPr>
          <w:rFonts w:ascii="Times New Roman" w:hAnsi="Times New Roman" w:cs="Times New Roman"/>
          <w:sz w:val="24"/>
          <w:szCs w:val="24"/>
        </w:rPr>
        <w:t>é</w:t>
      </w:r>
      <w:r w:rsidR="00D03180"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 xml:space="preserve">štyrmi </w:t>
      </w:r>
      <w:r w:rsidR="00E90410" w:rsidRPr="002E7842">
        <w:rPr>
          <w:rFonts w:ascii="Times New Roman" w:hAnsi="Times New Roman" w:cs="Times New Roman"/>
          <w:sz w:val="24"/>
          <w:szCs w:val="24"/>
        </w:rPr>
        <w:t xml:space="preserve">rozpočtovými opatreniami </w:t>
      </w:r>
      <w:r w:rsidR="00D03180" w:rsidRPr="002E7842">
        <w:rPr>
          <w:rFonts w:ascii="Times New Roman" w:hAnsi="Times New Roman" w:cs="Times New Roman"/>
          <w:sz w:val="24"/>
          <w:szCs w:val="24"/>
        </w:rPr>
        <w:t>zo schválenej výšky príjmov v</w:t>
      </w:r>
      <w:r w:rsidRPr="002E7842">
        <w:rPr>
          <w:rFonts w:ascii="Times New Roman" w:hAnsi="Times New Roman" w:cs="Times New Roman"/>
          <w:sz w:val="24"/>
          <w:szCs w:val="24"/>
        </w:rPr>
        <w:t> </w:t>
      </w:r>
      <w:r w:rsidR="00D2660A" w:rsidRPr="002E7842">
        <w:rPr>
          <w:rFonts w:ascii="Times New Roman" w:hAnsi="Times New Roman" w:cs="Times New Roman"/>
          <w:sz w:val="24"/>
          <w:szCs w:val="24"/>
        </w:rPr>
        <w:t>sume</w:t>
      </w:r>
      <w:r w:rsidRPr="002E7842">
        <w:rPr>
          <w:rFonts w:ascii="Times New Roman" w:hAnsi="Times New Roman" w:cs="Times New Roman"/>
          <w:sz w:val="24"/>
          <w:szCs w:val="24"/>
        </w:rPr>
        <w:t xml:space="preserve"> </w:t>
      </w:r>
      <w:r w:rsidRPr="002E7842">
        <w:rPr>
          <w:rFonts w:ascii="Times New Roman" w:hAnsi="Times New Roman" w:cs="Times New Roman"/>
          <w:sz w:val="24"/>
          <w:szCs w:val="24"/>
          <w:lang w:eastAsia="sk-SK"/>
        </w:rPr>
        <w:t xml:space="preserve">286 304 989,00 </w:t>
      </w:r>
      <w:r w:rsidR="00D03180" w:rsidRPr="002E7842">
        <w:rPr>
          <w:rFonts w:ascii="Times New Roman" w:eastAsia="Times New Roman" w:hAnsi="Times New Roman" w:cs="Times New Roman"/>
          <w:bCs/>
          <w:sz w:val="24"/>
          <w:szCs w:val="24"/>
          <w:lang w:eastAsia="sk-SK"/>
        </w:rPr>
        <w:t xml:space="preserve">eur na </w:t>
      </w:r>
      <w:r w:rsidR="00D2660A" w:rsidRPr="002E7842">
        <w:rPr>
          <w:rFonts w:ascii="Times New Roman" w:eastAsia="Times New Roman" w:hAnsi="Times New Roman" w:cs="Times New Roman"/>
          <w:bCs/>
          <w:sz w:val="24"/>
          <w:szCs w:val="24"/>
          <w:lang w:eastAsia="sk-SK"/>
        </w:rPr>
        <w:t>sumu</w:t>
      </w:r>
      <w:r w:rsidR="00E90410" w:rsidRPr="002E7842">
        <w:rPr>
          <w:rFonts w:ascii="Times New Roman" w:eastAsia="Times New Roman" w:hAnsi="Times New Roman" w:cs="Times New Roman"/>
          <w:bCs/>
          <w:sz w:val="24"/>
          <w:szCs w:val="24"/>
          <w:lang w:eastAsia="sk-SK"/>
        </w:rPr>
        <w:t xml:space="preserve"> </w:t>
      </w:r>
      <w:r w:rsidR="00920EB1" w:rsidRPr="002E7842">
        <w:rPr>
          <w:rFonts w:ascii="Times New Roman" w:eastAsia="Times New Roman" w:hAnsi="Times New Roman" w:cs="Times New Roman"/>
          <w:bCs/>
          <w:sz w:val="24"/>
          <w:szCs w:val="24"/>
          <w:lang w:eastAsia="sk-SK"/>
        </w:rPr>
        <w:t xml:space="preserve">  </w:t>
      </w:r>
      <w:r w:rsidR="00D2660A" w:rsidRPr="002E7842">
        <w:rPr>
          <w:rFonts w:ascii="Times New Roman" w:eastAsia="Times New Roman" w:hAnsi="Times New Roman" w:cs="Times New Roman"/>
          <w:bCs/>
          <w:sz w:val="24"/>
          <w:szCs w:val="24"/>
          <w:lang w:eastAsia="sk-SK"/>
        </w:rPr>
        <w:t>366 929 934,78</w:t>
      </w:r>
      <w:r w:rsidR="00E90410" w:rsidRPr="002E7842">
        <w:rPr>
          <w:rFonts w:ascii="Times New Roman" w:eastAsia="Times New Roman" w:hAnsi="Times New Roman" w:cs="Times New Roman"/>
          <w:bCs/>
          <w:sz w:val="24"/>
          <w:szCs w:val="24"/>
          <w:lang w:eastAsia="sk-SK"/>
        </w:rPr>
        <w:t xml:space="preserve">   </w:t>
      </w:r>
      <w:r w:rsidR="00D03180" w:rsidRPr="002E7842">
        <w:rPr>
          <w:rFonts w:ascii="Times New Roman" w:eastAsia="Times New Roman" w:hAnsi="Times New Roman" w:cs="Times New Roman"/>
          <w:bCs/>
          <w:sz w:val="24"/>
          <w:szCs w:val="24"/>
          <w:lang w:eastAsia="sk-SK"/>
        </w:rPr>
        <w:t xml:space="preserve"> eur</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xml:space="preserve"> a</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to navýšením</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xml:space="preserve"> v</w:t>
      </w:r>
      <w:r w:rsidR="00920EB1" w:rsidRPr="002E7842">
        <w:rPr>
          <w:rFonts w:ascii="Times New Roman" w:eastAsia="Times New Roman" w:hAnsi="Times New Roman" w:cs="Times New Roman"/>
          <w:bCs/>
          <w:sz w:val="24"/>
          <w:szCs w:val="24"/>
          <w:lang w:eastAsia="sk-SK"/>
        </w:rPr>
        <w:t xml:space="preserve"> </w:t>
      </w:r>
      <w:r w:rsidR="00A80F93" w:rsidRPr="002E7842">
        <w:rPr>
          <w:rFonts w:ascii="Times New Roman" w:eastAsia="Times New Roman" w:hAnsi="Times New Roman" w:cs="Times New Roman"/>
          <w:bCs/>
          <w:sz w:val="24"/>
          <w:szCs w:val="24"/>
          <w:lang w:eastAsia="sk-SK"/>
        </w:rPr>
        <w:t xml:space="preserve"> príjmovej časti  </w:t>
      </w:r>
      <w:r w:rsidR="00A80F93" w:rsidRPr="002E7842">
        <w:rPr>
          <w:rFonts w:ascii="Times New Roman" w:hAnsi="Times New Roman" w:cs="Times New Roman"/>
          <w:sz w:val="24"/>
          <w:szCs w:val="24"/>
        </w:rPr>
        <w:t>rozpočtu   o</w:t>
      </w:r>
      <w:r w:rsidR="00FC5166" w:rsidRPr="002E7842">
        <w:rPr>
          <w:rFonts w:ascii="Times New Roman" w:hAnsi="Times New Roman" w:cs="Times New Roman"/>
          <w:sz w:val="24"/>
          <w:szCs w:val="24"/>
        </w:rPr>
        <w:t xml:space="preserve"> </w:t>
      </w:r>
      <w:r w:rsidR="00D2660A" w:rsidRPr="002E7842">
        <w:rPr>
          <w:rFonts w:ascii="Times New Roman" w:hAnsi="Times New Roman" w:cs="Times New Roman"/>
          <w:sz w:val="24"/>
          <w:szCs w:val="24"/>
        </w:rPr>
        <w:t xml:space="preserve"> 335 359 610,60</w:t>
      </w:r>
      <w:r w:rsidR="00A80F93" w:rsidRPr="002E7842">
        <w:rPr>
          <w:rFonts w:ascii="Times New Roman" w:hAnsi="Times New Roman" w:cs="Times New Roman"/>
          <w:sz w:val="24"/>
          <w:szCs w:val="24"/>
        </w:rPr>
        <w:t xml:space="preserve"> eur a viazaním v príjmovej časti  rozpočtu o</w:t>
      </w:r>
      <w:r w:rsidR="00D2660A" w:rsidRPr="002E7842">
        <w:rPr>
          <w:rFonts w:ascii="Times New Roman" w:hAnsi="Times New Roman" w:cs="Times New Roman"/>
          <w:sz w:val="24"/>
          <w:szCs w:val="24"/>
        </w:rPr>
        <w:t xml:space="preserve"> 254 734 664,82</w:t>
      </w:r>
      <w:r w:rsidR="00A80F93" w:rsidRPr="002E7842">
        <w:rPr>
          <w:rFonts w:ascii="Times New Roman" w:hAnsi="Times New Roman" w:cs="Times New Roman"/>
          <w:sz w:val="24"/>
          <w:szCs w:val="24"/>
        </w:rPr>
        <w:t xml:space="preserve"> eur.</w:t>
      </w:r>
      <w:r w:rsidR="00D03180"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K</w:t>
      </w:r>
      <w:r w:rsidR="00EF4DF7" w:rsidRPr="002E7842">
        <w:rPr>
          <w:rFonts w:ascii="Times New Roman" w:hAnsi="Times New Roman" w:cs="Times New Roman"/>
          <w:sz w:val="24"/>
          <w:szCs w:val="24"/>
        </w:rPr>
        <w:t> 31.12.201</w:t>
      </w:r>
      <w:r w:rsidRPr="002E7842">
        <w:rPr>
          <w:rFonts w:ascii="Times New Roman" w:hAnsi="Times New Roman" w:cs="Times New Roman"/>
          <w:sz w:val="24"/>
          <w:szCs w:val="24"/>
        </w:rPr>
        <w:t>5</w:t>
      </w:r>
      <w:r w:rsidR="00EF4DF7"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bol rozpočet príjmov kapitoly</w:t>
      </w:r>
      <w:r w:rsidR="00C6398F" w:rsidRPr="002E7842">
        <w:rPr>
          <w:rFonts w:ascii="Times New Roman" w:hAnsi="Times New Roman" w:cs="Times New Roman"/>
          <w:sz w:val="24"/>
          <w:szCs w:val="24"/>
        </w:rPr>
        <w:t xml:space="preserve">  </w:t>
      </w:r>
      <w:r w:rsidR="00A80F93" w:rsidRPr="002E7842">
        <w:rPr>
          <w:rFonts w:ascii="Times New Roman" w:hAnsi="Times New Roman" w:cs="Times New Roman"/>
          <w:sz w:val="24"/>
          <w:szCs w:val="24"/>
        </w:rPr>
        <w:t xml:space="preserve"> MH SR upravený </w:t>
      </w:r>
      <w:r w:rsidR="00D03180" w:rsidRPr="002E7842">
        <w:rPr>
          <w:rFonts w:ascii="Times New Roman" w:hAnsi="Times New Roman" w:cs="Times New Roman"/>
          <w:sz w:val="24"/>
          <w:szCs w:val="24"/>
        </w:rPr>
        <w:t>celkovo o</w:t>
      </w:r>
      <w:r w:rsidR="00EF4DF7" w:rsidRPr="002E7842">
        <w:rPr>
          <w:rFonts w:ascii="Times New Roman" w:hAnsi="Times New Roman" w:cs="Times New Roman"/>
          <w:sz w:val="24"/>
          <w:szCs w:val="24"/>
        </w:rPr>
        <w:t xml:space="preserve"> </w:t>
      </w:r>
      <w:r w:rsidR="00D2660A" w:rsidRPr="002E7842">
        <w:rPr>
          <w:rFonts w:ascii="Times New Roman" w:hAnsi="Times New Roman" w:cs="Times New Roman"/>
          <w:sz w:val="24"/>
          <w:szCs w:val="24"/>
        </w:rPr>
        <w:t>+ 80 624 945,78</w:t>
      </w:r>
      <w:r w:rsidR="00D03180" w:rsidRPr="002E7842">
        <w:rPr>
          <w:rFonts w:ascii="Times New Roman" w:hAnsi="Times New Roman" w:cs="Times New Roman"/>
          <w:sz w:val="24"/>
          <w:szCs w:val="24"/>
        </w:rPr>
        <w:t xml:space="preserve"> eur.</w:t>
      </w:r>
    </w:p>
    <w:p w:rsidR="000C3A18" w:rsidRPr="002E7842" w:rsidRDefault="000C3A18" w:rsidP="002E7842">
      <w:pPr>
        <w:tabs>
          <w:tab w:val="left" w:pos="0"/>
          <w:tab w:val="right" w:pos="9072"/>
        </w:tabs>
        <w:spacing w:after="0" w:line="240" w:lineRule="auto"/>
        <w:ind w:firstLine="567"/>
        <w:jc w:val="both"/>
        <w:rPr>
          <w:rFonts w:ascii="Times New Roman" w:hAnsi="Times New Roman" w:cs="Times New Roman"/>
          <w:i/>
          <w:sz w:val="24"/>
          <w:szCs w:val="24"/>
        </w:rPr>
      </w:pPr>
    </w:p>
    <w:p w:rsidR="00D03180" w:rsidRPr="002E7842" w:rsidRDefault="00D03180" w:rsidP="002E7842">
      <w:pPr>
        <w:tabs>
          <w:tab w:val="left" w:pos="0"/>
          <w:tab w:val="right" w:pos="9072"/>
        </w:tabs>
        <w:spacing w:after="0" w:line="240" w:lineRule="auto"/>
        <w:ind w:firstLine="709"/>
        <w:jc w:val="both"/>
        <w:rPr>
          <w:rFonts w:ascii="Times New Roman" w:hAnsi="Times New Roman" w:cs="Times New Roman"/>
          <w:sz w:val="24"/>
          <w:szCs w:val="24"/>
        </w:rPr>
      </w:pPr>
      <w:r w:rsidRPr="002E7842">
        <w:rPr>
          <w:rFonts w:ascii="Times New Roman" w:hAnsi="Times New Roman" w:cs="Times New Roman"/>
          <w:i/>
          <w:sz w:val="24"/>
          <w:szCs w:val="24"/>
        </w:rPr>
        <w:t>Zvýšenie rozpočtu príjmov</w:t>
      </w:r>
      <w:r w:rsidRPr="002E7842">
        <w:rPr>
          <w:rFonts w:ascii="Times New Roman" w:hAnsi="Times New Roman" w:cs="Times New Roman"/>
          <w:sz w:val="24"/>
          <w:szCs w:val="24"/>
        </w:rPr>
        <w:t xml:space="preserve"> kapitoly oproti schválenému rozpisu rozpočtu ovplyvnil</w:t>
      </w:r>
      <w:r w:rsidR="0046660A" w:rsidRPr="002E7842">
        <w:rPr>
          <w:rFonts w:ascii="Times New Roman" w:hAnsi="Times New Roman" w:cs="Times New Roman"/>
          <w:sz w:val="24"/>
          <w:szCs w:val="24"/>
        </w:rPr>
        <w:t>o</w:t>
      </w:r>
      <w:r w:rsidRPr="002E7842">
        <w:rPr>
          <w:rFonts w:ascii="Times New Roman" w:hAnsi="Times New Roman" w:cs="Times New Roman"/>
          <w:sz w:val="24"/>
          <w:szCs w:val="24"/>
        </w:rPr>
        <w:t xml:space="preserve"> rozpočtové opatreni</w:t>
      </w:r>
      <w:r w:rsidR="0046660A" w:rsidRPr="002E7842">
        <w:rPr>
          <w:rFonts w:ascii="Times New Roman" w:hAnsi="Times New Roman" w:cs="Times New Roman"/>
          <w:sz w:val="24"/>
          <w:szCs w:val="24"/>
        </w:rPr>
        <w:t>e</w:t>
      </w:r>
      <w:r w:rsidRPr="002E7842">
        <w:rPr>
          <w:rFonts w:ascii="Times New Roman" w:hAnsi="Times New Roman" w:cs="Times New Roman"/>
          <w:sz w:val="24"/>
          <w:szCs w:val="24"/>
        </w:rPr>
        <w:t xml:space="preserve"> MF SR: </w:t>
      </w:r>
    </w:p>
    <w:p w:rsidR="00FC5166" w:rsidRPr="002E7842" w:rsidRDefault="00FC5166" w:rsidP="002E7842">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2E7842">
        <w:rPr>
          <w:rFonts w:ascii="Times New Roman" w:hAnsi="Times New Roman" w:cs="Times New Roman"/>
          <w:sz w:val="24"/>
          <w:szCs w:val="24"/>
        </w:rPr>
        <w:t xml:space="preserve">povolené prekročenie príjmov (prostriedky EÚ + spolufinancovanie) viazaných v roku 2014 podľa § 8 ods. 6 a § 17 zákona NR SR č.523/2004 – </w:t>
      </w:r>
      <w:proofErr w:type="spellStart"/>
      <w:r w:rsidRPr="002E7842">
        <w:rPr>
          <w:rFonts w:ascii="Times New Roman" w:hAnsi="Times New Roman" w:cs="Times New Roman"/>
          <w:sz w:val="24"/>
          <w:szCs w:val="24"/>
        </w:rPr>
        <w:t>RO</w:t>
      </w:r>
      <w:proofErr w:type="spellEnd"/>
      <w:r w:rsidRPr="002E7842">
        <w:rPr>
          <w:rFonts w:ascii="Times New Roman" w:hAnsi="Times New Roman" w:cs="Times New Roman"/>
          <w:sz w:val="24"/>
          <w:szCs w:val="24"/>
        </w:rPr>
        <w:t xml:space="preserve"> č. 5/2015.</w:t>
      </w:r>
    </w:p>
    <w:p w:rsidR="000C3A18" w:rsidRPr="002E7842" w:rsidRDefault="000C3A18" w:rsidP="002E7842">
      <w:pPr>
        <w:tabs>
          <w:tab w:val="left" w:pos="284"/>
          <w:tab w:val="right" w:pos="9072"/>
        </w:tabs>
        <w:spacing w:after="0" w:line="240" w:lineRule="auto"/>
        <w:ind w:left="284"/>
        <w:jc w:val="both"/>
        <w:rPr>
          <w:rFonts w:ascii="Times New Roman" w:hAnsi="Times New Roman" w:cs="Times New Roman"/>
          <w:sz w:val="24"/>
          <w:szCs w:val="24"/>
        </w:rPr>
      </w:pPr>
    </w:p>
    <w:p w:rsidR="00D03180" w:rsidRPr="002E7842" w:rsidRDefault="00D03180" w:rsidP="002E7842">
      <w:pPr>
        <w:tabs>
          <w:tab w:val="left" w:pos="709"/>
          <w:tab w:val="right" w:pos="9072"/>
        </w:tabs>
        <w:spacing w:after="0" w:line="240" w:lineRule="auto"/>
        <w:jc w:val="both"/>
        <w:rPr>
          <w:rFonts w:ascii="Times New Roman" w:hAnsi="Times New Roman" w:cs="Times New Roman"/>
          <w:sz w:val="24"/>
          <w:szCs w:val="24"/>
        </w:rPr>
      </w:pPr>
      <w:r w:rsidRPr="002E7842">
        <w:rPr>
          <w:rFonts w:ascii="Times New Roman" w:hAnsi="Times New Roman" w:cs="Times New Roman"/>
          <w:sz w:val="24"/>
          <w:szCs w:val="24"/>
        </w:rPr>
        <w:tab/>
      </w:r>
      <w:r w:rsidRPr="002E7842">
        <w:rPr>
          <w:rFonts w:ascii="Times New Roman" w:hAnsi="Times New Roman" w:cs="Times New Roman"/>
          <w:i/>
          <w:sz w:val="24"/>
          <w:szCs w:val="24"/>
        </w:rPr>
        <w:t>Zníženie rozpočtu príjmov</w:t>
      </w:r>
      <w:r w:rsidRPr="002E7842">
        <w:rPr>
          <w:rFonts w:ascii="Times New Roman" w:hAnsi="Times New Roman" w:cs="Times New Roman"/>
          <w:sz w:val="24"/>
          <w:szCs w:val="24"/>
        </w:rPr>
        <w:t xml:space="preserve"> kapitoly oproti schválenému rozpisu rozpočtu ovplyvnili rozpočtové opatrenia MF SR: </w:t>
      </w:r>
    </w:p>
    <w:p w:rsidR="00FC5166" w:rsidRPr="002E7842" w:rsidRDefault="00FC5166" w:rsidP="002E7842">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2E7842">
        <w:rPr>
          <w:rFonts w:ascii="Times New Roman" w:hAnsi="Times New Roman" w:cs="Times New Roman"/>
          <w:sz w:val="24"/>
          <w:szCs w:val="24"/>
        </w:rPr>
        <w:t xml:space="preserve">viazanie limitu kapitálových výdavkov v prvku 07K0403 Podpora rozvoja strategických investícií – Investičné stimuly (zdroj 131D) a zároveň viazanie limitu príjmov – </w:t>
      </w:r>
      <w:proofErr w:type="spellStart"/>
      <w:r w:rsidRPr="002E7842">
        <w:rPr>
          <w:rFonts w:ascii="Times New Roman" w:hAnsi="Times New Roman" w:cs="Times New Roman"/>
          <w:sz w:val="24"/>
          <w:szCs w:val="24"/>
        </w:rPr>
        <w:t>RO</w:t>
      </w:r>
      <w:proofErr w:type="spellEnd"/>
      <w:r w:rsidRPr="002E7842">
        <w:rPr>
          <w:rFonts w:ascii="Times New Roman" w:hAnsi="Times New Roman" w:cs="Times New Roman"/>
          <w:sz w:val="24"/>
          <w:szCs w:val="24"/>
        </w:rPr>
        <w:t xml:space="preserve"> č. 54/2015,</w:t>
      </w:r>
    </w:p>
    <w:p w:rsidR="00FC5166" w:rsidRPr="002E7842" w:rsidRDefault="00FC5166" w:rsidP="002E7842">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2E7842">
        <w:rPr>
          <w:rFonts w:ascii="Times New Roman" w:hAnsi="Times New Roman" w:cs="Times New Roman"/>
          <w:sz w:val="24"/>
          <w:szCs w:val="24"/>
        </w:rPr>
        <w:t xml:space="preserve">zmena záväzného ukazovateľa – zníženie príjmov kapitoly z titulu neplnenia rozpočtovaných príjmov – </w:t>
      </w:r>
      <w:proofErr w:type="spellStart"/>
      <w:r w:rsidRPr="002E7842">
        <w:rPr>
          <w:rFonts w:ascii="Times New Roman" w:hAnsi="Times New Roman" w:cs="Times New Roman"/>
          <w:sz w:val="24"/>
          <w:szCs w:val="24"/>
        </w:rPr>
        <w:t>RO</w:t>
      </w:r>
      <w:proofErr w:type="spellEnd"/>
      <w:r w:rsidRPr="002E7842">
        <w:rPr>
          <w:rFonts w:ascii="Times New Roman" w:hAnsi="Times New Roman" w:cs="Times New Roman"/>
          <w:sz w:val="24"/>
          <w:szCs w:val="24"/>
        </w:rPr>
        <w:t xml:space="preserve"> č. 61/2015,</w:t>
      </w:r>
    </w:p>
    <w:p w:rsidR="00FC5166" w:rsidRPr="002E7842" w:rsidRDefault="00FC5166" w:rsidP="002E7842">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2E7842">
        <w:rPr>
          <w:rFonts w:ascii="Times New Roman" w:hAnsi="Times New Roman" w:cs="Times New Roman"/>
          <w:sz w:val="24"/>
          <w:szCs w:val="24"/>
        </w:rPr>
        <w:t xml:space="preserve">viazanie limitu príjmov a výdavkov -  prostriedky EÚ a spolufinancovania – </w:t>
      </w:r>
      <w:proofErr w:type="spellStart"/>
      <w:r w:rsidRPr="002E7842">
        <w:rPr>
          <w:rFonts w:ascii="Times New Roman" w:hAnsi="Times New Roman" w:cs="Times New Roman"/>
          <w:sz w:val="24"/>
          <w:szCs w:val="24"/>
        </w:rPr>
        <w:t>RO</w:t>
      </w:r>
      <w:proofErr w:type="spellEnd"/>
      <w:r w:rsidRPr="002E7842">
        <w:rPr>
          <w:rFonts w:ascii="Times New Roman" w:hAnsi="Times New Roman" w:cs="Times New Roman"/>
          <w:sz w:val="24"/>
          <w:szCs w:val="24"/>
        </w:rPr>
        <w:t xml:space="preserve">  č. 65/2015. </w:t>
      </w:r>
    </w:p>
    <w:p w:rsidR="00D2660A" w:rsidRPr="002E7842" w:rsidRDefault="00D2660A" w:rsidP="002E7842">
      <w:pPr>
        <w:spacing w:line="240" w:lineRule="auto"/>
        <w:jc w:val="both"/>
        <w:rPr>
          <w:rFonts w:ascii="Times New Roman" w:hAnsi="Times New Roman" w:cs="Times New Roman"/>
          <w:sz w:val="24"/>
          <w:szCs w:val="24"/>
        </w:rPr>
      </w:pPr>
    </w:p>
    <w:p w:rsidR="002170F7" w:rsidRPr="002170F7" w:rsidRDefault="0012367D" w:rsidP="002110B9">
      <w:pPr>
        <w:pStyle w:val="Nadpis2"/>
        <w:numPr>
          <w:ilvl w:val="0"/>
          <w:numId w:val="1"/>
        </w:numPr>
        <w:spacing w:before="0" w:line="240" w:lineRule="auto"/>
        <w:ind w:left="567" w:hanging="567"/>
        <w:jc w:val="both"/>
        <w:rPr>
          <w:rFonts w:ascii="Times New Roman" w:hAnsi="Times New Roman" w:cs="Times New Roman"/>
          <w:color w:val="00FF00"/>
          <w:sz w:val="24"/>
          <w:szCs w:val="24"/>
        </w:rPr>
      </w:pPr>
      <w:bookmarkStart w:id="9" w:name="_Toc415553098"/>
      <w:r w:rsidRPr="002170F7">
        <w:rPr>
          <w:rFonts w:ascii="Times New Roman" w:hAnsi="Times New Roman" w:cs="Times New Roman"/>
          <w:sz w:val="24"/>
          <w:szCs w:val="24"/>
        </w:rPr>
        <w:t>Výdavky kapitoly</w:t>
      </w:r>
      <w:bookmarkEnd w:id="9"/>
      <w:r w:rsidR="00D7741F" w:rsidRPr="002170F7">
        <w:rPr>
          <w:rFonts w:ascii="Times New Roman" w:hAnsi="Times New Roman" w:cs="Times New Roman"/>
          <w:sz w:val="24"/>
          <w:szCs w:val="24"/>
        </w:rPr>
        <w:tab/>
      </w:r>
      <w:r w:rsidR="00D7741F" w:rsidRPr="002170F7">
        <w:rPr>
          <w:rFonts w:ascii="Times New Roman" w:hAnsi="Times New Roman" w:cs="Times New Roman"/>
          <w:sz w:val="24"/>
          <w:szCs w:val="24"/>
        </w:rPr>
        <w:tab/>
      </w:r>
    </w:p>
    <w:p w:rsidR="0012367D" w:rsidRPr="002170F7" w:rsidRDefault="00D7741F" w:rsidP="002110B9">
      <w:pPr>
        <w:pStyle w:val="Nadpis2"/>
        <w:spacing w:before="0" w:line="240" w:lineRule="auto"/>
        <w:ind w:left="567"/>
        <w:jc w:val="both"/>
        <w:rPr>
          <w:rFonts w:ascii="Times New Roman" w:hAnsi="Times New Roman" w:cs="Times New Roman"/>
          <w:color w:val="00FF00"/>
          <w:sz w:val="24"/>
          <w:szCs w:val="24"/>
        </w:rPr>
      </w:pP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r w:rsidRPr="002170F7">
        <w:rPr>
          <w:rFonts w:ascii="Times New Roman" w:hAnsi="Times New Roman" w:cs="Times New Roman"/>
          <w:sz w:val="24"/>
          <w:szCs w:val="24"/>
        </w:rPr>
        <w:tab/>
      </w:r>
    </w:p>
    <w:p w:rsidR="0012367D" w:rsidRPr="00A4655E" w:rsidRDefault="0012367D" w:rsidP="00690925">
      <w:pPr>
        <w:pStyle w:val="Zarkazkladnhotextu"/>
        <w:tabs>
          <w:tab w:val="left" w:pos="1440"/>
          <w:tab w:val="left" w:pos="7938"/>
        </w:tabs>
        <w:spacing w:after="0" w:line="240" w:lineRule="auto"/>
        <w:ind w:left="0"/>
        <w:jc w:val="both"/>
        <w:rPr>
          <w:rFonts w:ascii="Times New Roman" w:hAnsi="Times New Roman" w:cs="Times New Roman"/>
          <w:b/>
          <w:i/>
          <w:sz w:val="24"/>
          <w:szCs w:val="24"/>
        </w:rPr>
      </w:pPr>
      <w:r w:rsidRPr="00A4655E">
        <w:rPr>
          <w:rFonts w:ascii="Times New Roman" w:hAnsi="Times New Roman" w:cs="Times New Roman"/>
          <w:b/>
          <w:i/>
          <w:sz w:val="24"/>
          <w:szCs w:val="24"/>
        </w:rPr>
        <w:t xml:space="preserve">Schválený rozpočet </w:t>
      </w:r>
      <w:r w:rsidR="00A4655E">
        <w:rPr>
          <w:rFonts w:ascii="Times New Roman" w:hAnsi="Times New Roman" w:cs="Times New Roman"/>
          <w:b/>
          <w:i/>
          <w:sz w:val="24"/>
          <w:szCs w:val="24"/>
        </w:rPr>
        <w:t xml:space="preserve">výdavkov </w:t>
      </w:r>
      <w:r w:rsidRPr="00A4655E">
        <w:rPr>
          <w:rFonts w:ascii="Times New Roman" w:hAnsi="Times New Roman" w:cs="Times New Roman"/>
          <w:b/>
          <w:i/>
          <w:sz w:val="24"/>
          <w:szCs w:val="24"/>
        </w:rPr>
        <w:t>v roku 201</w:t>
      </w:r>
      <w:r w:rsidR="00CE2765">
        <w:rPr>
          <w:rFonts w:ascii="Times New Roman" w:hAnsi="Times New Roman" w:cs="Times New Roman"/>
          <w:b/>
          <w:i/>
          <w:sz w:val="24"/>
          <w:szCs w:val="24"/>
        </w:rPr>
        <w:t>5</w:t>
      </w:r>
      <w:r w:rsidR="00F649AB" w:rsidRPr="00A4655E">
        <w:rPr>
          <w:rFonts w:ascii="Times New Roman" w:hAnsi="Times New Roman" w:cs="Times New Roman"/>
          <w:b/>
          <w:i/>
          <w:sz w:val="24"/>
          <w:szCs w:val="24"/>
        </w:rPr>
        <w:tab/>
      </w:r>
      <w:r w:rsidR="00CC3215">
        <w:rPr>
          <w:rFonts w:ascii="Times New Roman" w:hAnsi="Times New Roman" w:cs="Times New Roman"/>
          <w:b/>
          <w:i/>
          <w:sz w:val="24"/>
          <w:szCs w:val="24"/>
        </w:rPr>
        <w:t xml:space="preserve">    </w:t>
      </w:r>
      <w:r w:rsidR="002170F7" w:rsidRPr="00A4655E">
        <w:rPr>
          <w:rFonts w:ascii="Times New Roman" w:hAnsi="Times New Roman" w:cs="Times New Roman"/>
          <w:b/>
          <w:i/>
          <w:sz w:val="24"/>
          <w:szCs w:val="24"/>
        </w:rPr>
        <w:t>v eur</w:t>
      </w:r>
      <w:r w:rsidR="00FC5166">
        <w:rPr>
          <w:rFonts w:ascii="Times New Roman" w:hAnsi="Times New Roman" w:cs="Times New Roman"/>
          <w:b/>
          <w:i/>
          <w:sz w:val="24"/>
          <w:szCs w:val="24"/>
        </w:rPr>
        <w:t>ách</w:t>
      </w:r>
    </w:p>
    <w:p w:rsidR="0012367D" w:rsidRPr="004B0F52" w:rsidRDefault="0012367D" w:rsidP="002110B9">
      <w:pPr>
        <w:pStyle w:val="Styl1"/>
        <w:tabs>
          <w:tab w:val="left" w:pos="8820"/>
          <w:tab w:val="right" w:pos="9072"/>
        </w:tabs>
        <w:spacing w:after="0" w:line="240" w:lineRule="auto"/>
        <w:rPr>
          <w:rFonts w:ascii="Times New Roman" w:hAnsi="Times New Roman" w:cs="Times New Roman"/>
          <w:color w:val="00FF00"/>
          <w:sz w:val="24"/>
          <w:szCs w:val="24"/>
        </w:rPr>
      </w:pPr>
    </w:p>
    <w:p w:rsidR="00F649AB" w:rsidRDefault="0012367D" w:rsidP="00CC23C2">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Výdavky kapitoly spolu (</w:t>
      </w:r>
      <w:proofErr w:type="spellStart"/>
      <w:r w:rsidRPr="004B0F52">
        <w:rPr>
          <w:rFonts w:ascii="Times New Roman" w:hAnsi="Times New Roman" w:cs="Times New Roman"/>
          <w:sz w:val="24"/>
          <w:szCs w:val="24"/>
        </w:rPr>
        <w:t>ŠR+EÚ</w:t>
      </w:r>
      <w:proofErr w:type="spellEnd"/>
      <w:r w:rsidRPr="004B0F52">
        <w:rPr>
          <w:rFonts w:ascii="Times New Roman" w:hAnsi="Times New Roman" w:cs="Times New Roman"/>
          <w:sz w:val="24"/>
          <w:szCs w:val="24"/>
        </w:rPr>
        <w:t>)</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7C052F">
        <w:rPr>
          <w:rFonts w:ascii="Times New Roman" w:hAnsi="Times New Roman" w:cs="Times New Roman"/>
          <w:sz w:val="24"/>
          <w:szCs w:val="24"/>
        </w:rPr>
        <w:t>298 270 138</w:t>
      </w:r>
      <w:r w:rsidR="002E6DE9">
        <w:rPr>
          <w:rFonts w:ascii="Times New Roman" w:hAnsi="Times New Roman" w:cs="Times New Roman"/>
          <w:sz w:val="24"/>
          <w:szCs w:val="24"/>
        </w:rPr>
        <w:t>,00</w:t>
      </w:r>
    </w:p>
    <w:p w:rsidR="0012367D" w:rsidRPr="004B0F52" w:rsidRDefault="0012367D" w:rsidP="00CC23C2">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A. Výdavky spolu bez prostriedkov Európskej únie</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7C052F">
        <w:rPr>
          <w:rFonts w:ascii="Times New Roman" w:hAnsi="Times New Roman" w:cs="Times New Roman"/>
          <w:sz w:val="24"/>
          <w:szCs w:val="24"/>
        </w:rPr>
        <w:t>128 140 109</w:t>
      </w:r>
      <w:r w:rsidR="002E6DE9">
        <w:rPr>
          <w:rFonts w:ascii="Times New Roman" w:hAnsi="Times New Roman" w:cs="Times New Roman"/>
          <w:sz w:val="24"/>
          <w:szCs w:val="24"/>
        </w:rPr>
        <w:t>,00</w:t>
      </w:r>
    </w:p>
    <w:p w:rsidR="0012367D" w:rsidRPr="004B0F52" w:rsidRDefault="0012367D" w:rsidP="002110B9">
      <w:pPr>
        <w:pStyle w:val="Styl1"/>
        <w:tabs>
          <w:tab w:val="left" w:pos="7655"/>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z toho:</w:t>
      </w:r>
      <w:r w:rsidR="009720F1">
        <w:rPr>
          <w:rFonts w:ascii="Times New Roman" w:hAnsi="Times New Roman" w:cs="Times New Roman"/>
          <w:sz w:val="24"/>
          <w:szCs w:val="24"/>
        </w:rPr>
        <w:tab/>
      </w:r>
    </w:p>
    <w:p w:rsidR="00F649AB" w:rsidRDefault="0012367D" w:rsidP="00CC23C2">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 xml:space="preserve">     A1. prostriedky štátneho rozpočtu (kód zdroja 111)</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7C052F">
        <w:rPr>
          <w:rFonts w:ascii="Times New Roman" w:hAnsi="Times New Roman" w:cs="Times New Roman"/>
          <w:sz w:val="24"/>
          <w:szCs w:val="24"/>
          <w:lang w:eastAsia="sk-SK"/>
        </w:rPr>
        <w:t>105 730 671</w:t>
      </w:r>
      <w:r w:rsidR="002E6DE9">
        <w:rPr>
          <w:rFonts w:ascii="Times New Roman" w:hAnsi="Times New Roman" w:cs="Times New Roman"/>
          <w:sz w:val="24"/>
          <w:szCs w:val="24"/>
          <w:lang w:eastAsia="sk-SK"/>
        </w:rPr>
        <w:t>,00</w:t>
      </w:r>
    </w:p>
    <w:p w:rsidR="0012367D" w:rsidRPr="004B0F52" w:rsidRDefault="0012367D" w:rsidP="00CC23C2">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A2. prostriedky na spolufinancovanie</w:t>
      </w:r>
      <w:r w:rsidR="00CC23C2">
        <w:rPr>
          <w:rFonts w:ascii="Times New Roman" w:hAnsi="Times New Roman" w:cs="Times New Roman"/>
          <w:sz w:val="24"/>
          <w:szCs w:val="24"/>
        </w:rPr>
        <w:tab/>
      </w:r>
      <w:r w:rsidR="00CC3215">
        <w:rPr>
          <w:rFonts w:ascii="Times New Roman" w:hAnsi="Times New Roman" w:cs="Times New Roman"/>
          <w:sz w:val="24"/>
          <w:szCs w:val="24"/>
        </w:rPr>
        <w:t xml:space="preserve">   </w:t>
      </w:r>
      <w:r w:rsidR="00CC23C2">
        <w:rPr>
          <w:rFonts w:ascii="Times New Roman" w:hAnsi="Times New Roman" w:cs="Times New Roman"/>
          <w:sz w:val="24"/>
          <w:szCs w:val="24"/>
        </w:rPr>
        <w:t xml:space="preserve">  </w:t>
      </w:r>
      <w:r w:rsidR="007C052F">
        <w:rPr>
          <w:rFonts w:ascii="Times New Roman" w:hAnsi="Times New Roman" w:cs="Times New Roman"/>
          <w:sz w:val="24"/>
          <w:szCs w:val="24"/>
        </w:rPr>
        <w:t>22 409 438</w:t>
      </w:r>
      <w:r w:rsidR="002E6DE9">
        <w:rPr>
          <w:rFonts w:ascii="Times New Roman" w:hAnsi="Times New Roman" w:cs="Times New Roman"/>
          <w:sz w:val="24"/>
          <w:szCs w:val="24"/>
        </w:rPr>
        <w:t>,00</w:t>
      </w:r>
    </w:p>
    <w:p w:rsidR="0012367D" w:rsidRPr="004B0F52" w:rsidRDefault="0012367D" w:rsidP="002110B9">
      <w:pPr>
        <w:pStyle w:val="Styl1"/>
        <w:tabs>
          <w:tab w:val="left" w:pos="360"/>
          <w:tab w:val="left" w:pos="7655"/>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A3. mzdy, platy, služobné príjmy a ostatné osobné  </w:t>
      </w:r>
      <w:r w:rsidR="00F649AB">
        <w:rPr>
          <w:rFonts w:ascii="Times New Roman" w:hAnsi="Times New Roman" w:cs="Times New Roman"/>
          <w:sz w:val="24"/>
          <w:szCs w:val="24"/>
        </w:rPr>
        <w:tab/>
      </w:r>
    </w:p>
    <w:p w:rsidR="00F649AB" w:rsidRDefault="0012367D" w:rsidP="00CC23C2">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vyrovnania (610), (kód zdroja 111)</w:t>
      </w:r>
      <w:r w:rsidR="00CC23C2">
        <w:rPr>
          <w:rFonts w:ascii="Times New Roman" w:hAnsi="Times New Roman" w:cs="Times New Roman"/>
          <w:sz w:val="24"/>
          <w:szCs w:val="24"/>
        </w:rPr>
        <w:tab/>
        <w:t xml:space="preserve">    </w:t>
      </w:r>
      <w:r w:rsidR="002E7842">
        <w:rPr>
          <w:rFonts w:ascii="Times New Roman" w:hAnsi="Times New Roman" w:cs="Times New Roman"/>
          <w:sz w:val="24"/>
          <w:szCs w:val="24"/>
        </w:rPr>
        <w:tab/>
      </w:r>
      <w:r w:rsidR="00CE2765">
        <w:rPr>
          <w:rFonts w:ascii="Times New Roman" w:hAnsi="Times New Roman" w:cs="Times New Roman"/>
          <w:sz w:val="24"/>
          <w:szCs w:val="24"/>
        </w:rPr>
        <w:t>8 622 641</w:t>
      </w:r>
      <w:r w:rsidR="002E6DE9">
        <w:rPr>
          <w:rFonts w:ascii="Times New Roman" w:hAnsi="Times New Roman" w:cs="Times New Roman"/>
          <w:sz w:val="24"/>
          <w:szCs w:val="24"/>
        </w:rPr>
        <w:t>,00</w:t>
      </w:r>
    </w:p>
    <w:p w:rsidR="002110B9" w:rsidRDefault="0012367D" w:rsidP="002110B9">
      <w:pPr>
        <w:pStyle w:val="Styl1"/>
        <w:tabs>
          <w:tab w:val="right" w:pos="8820"/>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w:t>
      </w:r>
    </w:p>
    <w:p w:rsidR="0012367D" w:rsidRPr="004B0F52" w:rsidRDefault="002110B9" w:rsidP="002110B9">
      <w:pPr>
        <w:pStyle w:val="Styl1"/>
        <w:tabs>
          <w:tab w:val="right" w:pos="8820"/>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ab/>
      </w:r>
      <w:r w:rsidR="0012367D" w:rsidRPr="004B0F52">
        <w:rPr>
          <w:rFonts w:ascii="Times New Roman" w:hAnsi="Times New Roman" w:cs="Times New Roman"/>
          <w:sz w:val="24"/>
          <w:szCs w:val="24"/>
        </w:rPr>
        <w:t>A4. kapitálové výdavky (700) bez prostriedkov</w:t>
      </w:r>
    </w:p>
    <w:p w:rsidR="0012367D" w:rsidRPr="004B0F52" w:rsidRDefault="0012367D" w:rsidP="00CC23C2">
      <w:pPr>
        <w:pStyle w:val="Styl1"/>
        <w:tabs>
          <w:tab w:val="left" w:pos="36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na spolufinancovanie  (kód zdroja 111)</w:t>
      </w:r>
      <w:r w:rsidR="00CC23C2">
        <w:rPr>
          <w:rFonts w:ascii="Times New Roman" w:hAnsi="Times New Roman" w:cs="Times New Roman"/>
          <w:sz w:val="24"/>
          <w:szCs w:val="24"/>
        </w:rPr>
        <w:tab/>
        <w:t xml:space="preserve">  </w:t>
      </w:r>
      <w:r w:rsidR="002E7842">
        <w:rPr>
          <w:rFonts w:ascii="Times New Roman" w:hAnsi="Times New Roman" w:cs="Times New Roman"/>
          <w:sz w:val="24"/>
          <w:szCs w:val="24"/>
        </w:rPr>
        <w:tab/>
      </w:r>
      <w:r w:rsidR="00CE2765">
        <w:rPr>
          <w:rFonts w:ascii="Times New Roman" w:hAnsi="Times New Roman" w:cs="Times New Roman"/>
          <w:sz w:val="24"/>
          <w:szCs w:val="24"/>
        </w:rPr>
        <w:t>2 021 375</w:t>
      </w:r>
      <w:r w:rsidR="002E6DE9">
        <w:rPr>
          <w:rFonts w:ascii="Times New Roman" w:hAnsi="Times New Roman" w:cs="Times New Roman"/>
          <w:sz w:val="24"/>
          <w:szCs w:val="24"/>
        </w:rPr>
        <w:t>,00</w:t>
      </w:r>
    </w:p>
    <w:p w:rsidR="0012367D" w:rsidRPr="004B0F52" w:rsidRDefault="0012367D" w:rsidP="00CC23C2">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B. prostriedky z rozpočtu EÚ</w:t>
      </w:r>
      <w:r w:rsidR="00CC23C2">
        <w:rPr>
          <w:rFonts w:ascii="Times New Roman" w:hAnsi="Times New Roman" w:cs="Times New Roman"/>
          <w:sz w:val="24"/>
          <w:szCs w:val="24"/>
        </w:rPr>
        <w:tab/>
      </w:r>
      <w:r w:rsidR="002E7842">
        <w:rPr>
          <w:rFonts w:ascii="Times New Roman" w:hAnsi="Times New Roman" w:cs="Times New Roman"/>
          <w:sz w:val="24"/>
          <w:szCs w:val="24"/>
        </w:rPr>
        <w:t xml:space="preserve">   </w:t>
      </w:r>
      <w:r w:rsidR="00CE2765">
        <w:rPr>
          <w:rFonts w:ascii="Times New Roman" w:hAnsi="Times New Roman" w:cs="Times New Roman"/>
          <w:sz w:val="24"/>
          <w:szCs w:val="24"/>
        </w:rPr>
        <w:t>170 130 029</w:t>
      </w:r>
      <w:r w:rsidR="002A413D">
        <w:rPr>
          <w:rFonts w:ascii="Times New Roman" w:hAnsi="Times New Roman" w:cs="Times New Roman"/>
          <w:sz w:val="24"/>
          <w:szCs w:val="24"/>
        </w:rPr>
        <w:t>,00</w:t>
      </w:r>
    </w:p>
    <w:p w:rsidR="002110B9" w:rsidRDefault="002110B9" w:rsidP="00F649AB">
      <w:pPr>
        <w:spacing w:after="0" w:line="240" w:lineRule="auto"/>
        <w:rPr>
          <w:rFonts w:ascii="Times New Roman" w:hAnsi="Times New Roman" w:cs="Times New Roman"/>
          <w:i/>
          <w:sz w:val="24"/>
          <w:szCs w:val="24"/>
        </w:rPr>
      </w:pPr>
    </w:p>
    <w:p w:rsidR="0012367D" w:rsidRDefault="00F649AB" w:rsidP="00690925">
      <w:pPr>
        <w:pStyle w:val="Zarkazkladnhotextu"/>
        <w:tabs>
          <w:tab w:val="left" w:pos="1440"/>
          <w:tab w:val="left" w:pos="7938"/>
        </w:tabs>
        <w:spacing w:after="0" w:line="240" w:lineRule="auto"/>
        <w:ind w:left="0"/>
        <w:jc w:val="both"/>
        <w:rPr>
          <w:rFonts w:ascii="Times New Roman" w:hAnsi="Times New Roman" w:cs="Times New Roman"/>
          <w:b/>
          <w:i/>
          <w:sz w:val="24"/>
          <w:szCs w:val="24"/>
        </w:rPr>
      </w:pPr>
      <w:r w:rsidRPr="00A4655E">
        <w:rPr>
          <w:rFonts w:ascii="Times New Roman" w:hAnsi="Times New Roman" w:cs="Times New Roman"/>
          <w:b/>
          <w:i/>
          <w:sz w:val="24"/>
          <w:szCs w:val="24"/>
        </w:rPr>
        <w:t>Upravený rozpočet</w:t>
      </w:r>
      <w:r w:rsidR="00A4655E">
        <w:rPr>
          <w:rFonts w:ascii="Times New Roman" w:hAnsi="Times New Roman" w:cs="Times New Roman"/>
          <w:b/>
          <w:i/>
          <w:sz w:val="24"/>
          <w:szCs w:val="24"/>
        </w:rPr>
        <w:t xml:space="preserve"> výdavkov </w:t>
      </w:r>
      <w:r w:rsidRPr="00A4655E">
        <w:rPr>
          <w:rFonts w:ascii="Times New Roman" w:hAnsi="Times New Roman" w:cs="Times New Roman"/>
          <w:b/>
          <w:i/>
          <w:sz w:val="24"/>
          <w:szCs w:val="24"/>
        </w:rPr>
        <w:t>v roku 201</w:t>
      </w:r>
      <w:r w:rsidR="00CE2765">
        <w:rPr>
          <w:rFonts w:ascii="Times New Roman" w:hAnsi="Times New Roman" w:cs="Times New Roman"/>
          <w:b/>
          <w:i/>
          <w:sz w:val="24"/>
          <w:szCs w:val="24"/>
        </w:rPr>
        <w:t>5</w:t>
      </w:r>
      <w:r w:rsidRPr="00A4655E">
        <w:rPr>
          <w:rFonts w:ascii="Times New Roman" w:hAnsi="Times New Roman" w:cs="Times New Roman"/>
          <w:b/>
          <w:i/>
          <w:sz w:val="24"/>
          <w:szCs w:val="24"/>
        </w:rPr>
        <w:tab/>
      </w:r>
      <w:r w:rsidR="00CC3215">
        <w:rPr>
          <w:rFonts w:ascii="Times New Roman" w:hAnsi="Times New Roman" w:cs="Times New Roman"/>
          <w:b/>
          <w:i/>
          <w:sz w:val="24"/>
          <w:szCs w:val="24"/>
        </w:rPr>
        <w:t xml:space="preserve">    </w:t>
      </w:r>
      <w:r w:rsidR="00690925" w:rsidRPr="00A4655E">
        <w:rPr>
          <w:rFonts w:ascii="Times New Roman" w:hAnsi="Times New Roman" w:cs="Times New Roman"/>
          <w:b/>
          <w:i/>
          <w:sz w:val="24"/>
          <w:szCs w:val="24"/>
        </w:rPr>
        <w:t>v</w:t>
      </w:r>
      <w:r w:rsidR="00690925">
        <w:rPr>
          <w:rFonts w:ascii="Times New Roman" w:hAnsi="Times New Roman" w:cs="Times New Roman"/>
          <w:b/>
          <w:i/>
          <w:sz w:val="24"/>
          <w:szCs w:val="24"/>
        </w:rPr>
        <w:t> </w:t>
      </w:r>
      <w:r w:rsidR="00690925" w:rsidRPr="00A4655E">
        <w:rPr>
          <w:rFonts w:ascii="Times New Roman" w:hAnsi="Times New Roman" w:cs="Times New Roman"/>
          <w:b/>
          <w:i/>
          <w:sz w:val="24"/>
          <w:szCs w:val="24"/>
        </w:rPr>
        <w:t>eur</w:t>
      </w:r>
      <w:r w:rsidR="00690925">
        <w:rPr>
          <w:rFonts w:ascii="Times New Roman" w:hAnsi="Times New Roman" w:cs="Times New Roman"/>
          <w:b/>
          <w:i/>
          <w:sz w:val="24"/>
          <w:szCs w:val="24"/>
        </w:rPr>
        <w:t>ách</w:t>
      </w:r>
    </w:p>
    <w:p w:rsidR="00690925" w:rsidRPr="00690925" w:rsidRDefault="00690925" w:rsidP="00690925">
      <w:pPr>
        <w:pStyle w:val="Zarkazkladnhotextu"/>
        <w:tabs>
          <w:tab w:val="left" w:pos="1440"/>
          <w:tab w:val="left" w:pos="7938"/>
        </w:tabs>
        <w:spacing w:after="0" w:line="240" w:lineRule="auto"/>
        <w:ind w:left="0"/>
        <w:jc w:val="both"/>
        <w:rPr>
          <w:rFonts w:ascii="Times New Roman" w:hAnsi="Times New Roman" w:cs="Times New Roman"/>
          <w:b/>
          <w:i/>
          <w:sz w:val="24"/>
          <w:szCs w:val="24"/>
        </w:rPr>
      </w:pPr>
    </w:p>
    <w:p w:rsidR="0012367D" w:rsidRPr="004B0F52" w:rsidRDefault="0012367D" w:rsidP="00690925">
      <w:pPr>
        <w:pStyle w:val="Styl1"/>
        <w:tabs>
          <w:tab w:val="left" w:pos="7371"/>
          <w:tab w:val="left" w:pos="8820"/>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Výdavky kapitoly spolu (</w:t>
      </w:r>
      <w:proofErr w:type="spellStart"/>
      <w:r w:rsidRPr="004B0F52">
        <w:rPr>
          <w:rFonts w:ascii="Times New Roman" w:hAnsi="Times New Roman" w:cs="Times New Roman"/>
          <w:sz w:val="24"/>
          <w:szCs w:val="24"/>
        </w:rPr>
        <w:t>ŠR+EÚ</w:t>
      </w:r>
      <w:proofErr w:type="spellEnd"/>
      <w:r w:rsidRPr="004B0F52">
        <w:rPr>
          <w:rFonts w:ascii="Times New Roman" w:hAnsi="Times New Roman" w:cs="Times New Roman"/>
          <w:sz w:val="24"/>
          <w:szCs w:val="24"/>
        </w:rPr>
        <w:t>)</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690925">
        <w:rPr>
          <w:rFonts w:ascii="Times New Roman" w:hAnsi="Times New Roman" w:cs="Times New Roman"/>
          <w:sz w:val="24"/>
          <w:szCs w:val="24"/>
        </w:rPr>
        <w:t>441 217 548,62</w:t>
      </w:r>
      <w:r w:rsidRPr="004B0F52">
        <w:rPr>
          <w:rFonts w:ascii="Times New Roman" w:hAnsi="Times New Roman" w:cs="Times New Roman"/>
          <w:sz w:val="24"/>
          <w:szCs w:val="24"/>
        </w:rPr>
        <w:t xml:space="preserve">                         </w:t>
      </w:r>
      <w:r w:rsidR="00690925">
        <w:rPr>
          <w:rFonts w:ascii="Times New Roman" w:hAnsi="Times New Roman" w:cs="Times New Roman"/>
          <w:sz w:val="24"/>
          <w:szCs w:val="24"/>
        </w:rPr>
        <w:t xml:space="preserve">                             </w:t>
      </w:r>
      <w:r w:rsidRPr="004B0F52">
        <w:rPr>
          <w:rFonts w:ascii="Times New Roman" w:hAnsi="Times New Roman" w:cs="Times New Roman"/>
          <w:sz w:val="24"/>
          <w:szCs w:val="24"/>
        </w:rPr>
        <w:t xml:space="preserve"> </w:t>
      </w:r>
    </w:p>
    <w:p w:rsidR="0012367D" w:rsidRPr="004B0F52" w:rsidRDefault="0012367D" w:rsidP="00690925">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A. Výdavky spolu bez prostriedkov Európskej únie</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690925">
        <w:rPr>
          <w:rFonts w:ascii="Times New Roman" w:hAnsi="Times New Roman" w:cs="Times New Roman"/>
          <w:sz w:val="24"/>
          <w:szCs w:val="24"/>
        </w:rPr>
        <w:t>166 089 870,07</w:t>
      </w:r>
      <w:r w:rsidRPr="004B0F52">
        <w:rPr>
          <w:rFonts w:ascii="Times New Roman" w:hAnsi="Times New Roman" w:cs="Times New Roman"/>
          <w:sz w:val="24"/>
          <w:szCs w:val="24"/>
        </w:rPr>
        <w:t xml:space="preserve">                                        </w:t>
      </w:r>
      <w:r w:rsidR="009720F1">
        <w:rPr>
          <w:rFonts w:ascii="Times New Roman" w:hAnsi="Times New Roman" w:cs="Times New Roman"/>
          <w:sz w:val="24"/>
          <w:szCs w:val="24"/>
        </w:rPr>
        <w:tab/>
      </w:r>
      <w:r w:rsidRPr="004B0F52">
        <w:rPr>
          <w:rFonts w:ascii="Times New Roman" w:hAnsi="Times New Roman" w:cs="Times New Roman"/>
          <w:sz w:val="24"/>
          <w:szCs w:val="24"/>
        </w:rPr>
        <w:t>z toho:</w:t>
      </w:r>
    </w:p>
    <w:p w:rsidR="0012367D" w:rsidRPr="004B0F52" w:rsidRDefault="0012367D" w:rsidP="00690925">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A1. prostriedky štátneho rozpočtu (kód zdroja 111)  </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690925">
        <w:rPr>
          <w:rFonts w:ascii="Times New Roman" w:hAnsi="Times New Roman" w:cs="Times New Roman"/>
          <w:sz w:val="24"/>
          <w:szCs w:val="24"/>
        </w:rPr>
        <w:t>105 399 721,40</w:t>
      </w:r>
      <w:r w:rsidRPr="004B0F52">
        <w:rPr>
          <w:rFonts w:ascii="Times New Roman" w:hAnsi="Times New Roman" w:cs="Times New Roman"/>
          <w:sz w:val="24"/>
          <w:szCs w:val="24"/>
        </w:rPr>
        <w:t xml:space="preserve">                 </w:t>
      </w:r>
      <w:r w:rsidR="00F649AB">
        <w:rPr>
          <w:rFonts w:ascii="Times New Roman" w:hAnsi="Times New Roman" w:cs="Times New Roman"/>
          <w:sz w:val="24"/>
          <w:szCs w:val="24"/>
        </w:rPr>
        <w:tab/>
      </w:r>
      <w:r w:rsidRPr="004B0F52">
        <w:rPr>
          <w:rFonts w:ascii="Times New Roman" w:hAnsi="Times New Roman" w:cs="Times New Roman"/>
          <w:sz w:val="24"/>
          <w:szCs w:val="24"/>
        </w:rPr>
        <w:t xml:space="preserve">prostriedky štátneho rozpočtu (kód zdroja 131)                                   </w:t>
      </w:r>
      <w:r w:rsidR="00F649AB">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F649AB">
        <w:rPr>
          <w:rFonts w:ascii="Times New Roman" w:hAnsi="Times New Roman" w:cs="Times New Roman"/>
          <w:sz w:val="24"/>
          <w:szCs w:val="24"/>
        </w:rPr>
        <w:t xml:space="preserve"> </w:t>
      </w:r>
      <w:r w:rsidR="00E54B52">
        <w:rPr>
          <w:rFonts w:ascii="Times New Roman" w:hAnsi="Times New Roman" w:cs="Times New Roman"/>
          <w:sz w:val="24"/>
          <w:szCs w:val="24"/>
        </w:rPr>
        <w:t>1</w:t>
      </w:r>
      <w:r w:rsidR="00690925">
        <w:rPr>
          <w:rFonts w:ascii="Times New Roman" w:hAnsi="Times New Roman" w:cs="Times New Roman"/>
          <w:sz w:val="24"/>
          <w:szCs w:val="24"/>
        </w:rPr>
        <w:t>2 813 591,13</w:t>
      </w:r>
    </w:p>
    <w:p w:rsidR="00F649AB" w:rsidRDefault="0012367D" w:rsidP="00690925">
      <w:pPr>
        <w:pStyle w:val="Styl1"/>
        <w:tabs>
          <w:tab w:val="left" w:pos="7371"/>
        </w:tabs>
        <w:spacing w:after="0" w:line="240" w:lineRule="auto"/>
        <w:ind w:left="709" w:hanging="709"/>
        <w:rPr>
          <w:rFonts w:ascii="Times New Roman" w:hAnsi="Times New Roman" w:cs="Times New Roman"/>
          <w:sz w:val="24"/>
          <w:szCs w:val="24"/>
        </w:rPr>
      </w:pPr>
      <w:r w:rsidRPr="004B0F52">
        <w:rPr>
          <w:rFonts w:ascii="Times New Roman" w:hAnsi="Times New Roman" w:cs="Times New Roman"/>
          <w:sz w:val="24"/>
          <w:szCs w:val="24"/>
        </w:rPr>
        <w:t xml:space="preserve">     A2. prostriedky na spolufinancovanie     </w:t>
      </w:r>
      <w:r w:rsidR="00690925">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690925">
        <w:rPr>
          <w:rFonts w:ascii="Times New Roman" w:hAnsi="Times New Roman" w:cs="Times New Roman"/>
          <w:sz w:val="24"/>
          <w:szCs w:val="24"/>
        </w:rPr>
        <w:t>47 454 794,41</w:t>
      </w:r>
      <w:r w:rsidRPr="004B0F52">
        <w:rPr>
          <w:rFonts w:ascii="Times New Roman" w:hAnsi="Times New Roman" w:cs="Times New Roman"/>
          <w:sz w:val="24"/>
          <w:szCs w:val="24"/>
        </w:rPr>
        <w:t xml:space="preserve">                                             </w:t>
      </w:r>
      <w:r w:rsidR="00690925">
        <w:rPr>
          <w:rFonts w:ascii="Times New Roman" w:hAnsi="Times New Roman" w:cs="Times New Roman"/>
          <w:sz w:val="24"/>
          <w:szCs w:val="24"/>
        </w:rPr>
        <w:t xml:space="preserve"> </w:t>
      </w:r>
      <w:r w:rsidRPr="004B0F52">
        <w:rPr>
          <w:rFonts w:ascii="Times New Roman" w:hAnsi="Times New Roman" w:cs="Times New Roman"/>
          <w:sz w:val="24"/>
          <w:szCs w:val="24"/>
        </w:rPr>
        <w:t xml:space="preserve">           </w:t>
      </w:r>
      <w:r w:rsidR="00690925">
        <w:rPr>
          <w:rFonts w:ascii="Times New Roman" w:hAnsi="Times New Roman" w:cs="Times New Roman"/>
          <w:sz w:val="24"/>
          <w:szCs w:val="24"/>
        </w:rPr>
        <w:t xml:space="preserve">     </w:t>
      </w:r>
      <w:r w:rsidR="00E54B52">
        <w:rPr>
          <w:rFonts w:ascii="Times New Roman" w:hAnsi="Times New Roman" w:cs="Times New Roman"/>
          <w:sz w:val="24"/>
          <w:szCs w:val="24"/>
        </w:rPr>
        <w:t>prostriedky PRO RATA</w:t>
      </w:r>
      <w:r w:rsidR="00F649AB">
        <w:rPr>
          <w:rFonts w:ascii="Times New Roman" w:hAnsi="Times New Roman" w:cs="Times New Roman"/>
          <w:sz w:val="24"/>
          <w:szCs w:val="24"/>
        </w:rPr>
        <w:t xml:space="preserve"> </w:t>
      </w:r>
      <w:r w:rsidR="00690925">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690925">
        <w:rPr>
          <w:rFonts w:ascii="Times New Roman" w:hAnsi="Times New Roman" w:cs="Times New Roman"/>
          <w:sz w:val="24"/>
          <w:szCs w:val="24"/>
        </w:rPr>
        <w:t xml:space="preserve">    421 763,13</w:t>
      </w:r>
      <w:r w:rsidR="00E54B52">
        <w:rPr>
          <w:rFonts w:ascii="Times New Roman" w:hAnsi="Times New Roman" w:cs="Times New Roman"/>
          <w:sz w:val="24"/>
          <w:szCs w:val="24"/>
        </w:rPr>
        <w:t xml:space="preserve">       </w:t>
      </w:r>
    </w:p>
    <w:p w:rsidR="0012367D" w:rsidRPr="004B0F52" w:rsidRDefault="0012367D" w:rsidP="00F649AB">
      <w:pPr>
        <w:pStyle w:val="Styl1"/>
        <w:tabs>
          <w:tab w:val="left" w:pos="8820"/>
          <w:tab w:val="right" w:pos="9072"/>
        </w:tabs>
        <w:spacing w:after="0" w:line="240" w:lineRule="auto"/>
        <w:ind w:firstLine="284"/>
        <w:rPr>
          <w:rFonts w:ascii="Times New Roman" w:hAnsi="Times New Roman" w:cs="Times New Roman"/>
          <w:sz w:val="24"/>
          <w:szCs w:val="24"/>
        </w:rPr>
      </w:pPr>
      <w:r w:rsidRPr="004B0F52">
        <w:rPr>
          <w:rFonts w:ascii="Times New Roman" w:hAnsi="Times New Roman" w:cs="Times New Roman"/>
          <w:sz w:val="24"/>
          <w:szCs w:val="24"/>
        </w:rPr>
        <w:t xml:space="preserve">A3. mzdy, platy, služobné príjmy a ostatné osobné  </w:t>
      </w:r>
    </w:p>
    <w:p w:rsidR="0012367D" w:rsidRPr="004B0F52" w:rsidRDefault="0012367D" w:rsidP="00690925">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vyrovnania (610), (kód zdroja 111)   </w:t>
      </w:r>
      <w:r w:rsidR="00690925">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690925">
        <w:rPr>
          <w:rFonts w:ascii="Times New Roman" w:hAnsi="Times New Roman" w:cs="Times New Roman"/>
          <w:sz w:val="24"/>
          <w:szCs w:val="24"/>
        </w:rPr>
        <w:t xml:space="preserve">  9 453 295,00</w:t>
      </w:r>
      <w:r w:rsidRPr="004B0F52">
        <w:rPr>
          <w:rFonts w:ascii="Times New Roman" w:hAnsi="Times New Roman" w:cs="Times New Roman"/>
          <w:sz w:val="24"/>
          <w:szCs w:val="24"/>
        </w:rPr>
        <w:t xml:space="preserve">                                      </w:t>
      </w:r>
      <w:r w:rsidR="00F649AB">
        <w:rPr>
          <w:rFonts w:ascii="Times New Roman" w:hAnsi="Times New Roman" w:cs="Times New Roman"/>
          <w:sz w:val="24"/>
          <w:szCs w:val="24"/>
        </w:rPr>
        <w:t xml:space="preserve">    </w:t>
      </w:r>
    </w:p>
    <w:p w:rsidR="0012367D" w:rsidRPr="004B0F52" w:rsidRDefault="0012367D" w:rsidP="00F63FC4">
      <w:pPr>
        <w:pStyle w:val="Styl1"/>
        <w:tabs>
          <w:tab w:val="left" w:pos="360"/>
          <w:tab w:val="right" w:pos="8820"/>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A4. kapitálové výdavky (700) bez prostriedkov</w:t>
      </w:r>
    </w:p>
    <w:p w:rsidR="0012367D" w:rsidRPr="004B0F52" w:rsidRDefault="0012367D" w:rsidP="00690925">
      <w:pPr>
        <w:pStyle w:val="Styl1"/>
        <w:tabs>
          <w:tab w:val="left" w:pos="36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na spolufinancovanie  (kód zdroja 111)     </w:t>
      </w:r>
      <w:r w:rsidR="00690925">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690925">
        <w:rPr>
          <w:rFonts w:ascii="Times New Roman" w:hAnsi="Times New Roman" w:cs="Times New Roman"/>
          <w:sz w:val="24"/>
          <w:szCs w:val="24"/>
        </w:rPr>
        <w:t xml:space="preserve"> 3 676 098,87</w:t>
      </w:r>
      <w:r w:rsidRPr="004B0F52">
        <w:rPr>
          <w:rFonts w:ascii="Times New Roman" w:hAnsi="Times New Roman" w:cs="Times New Roman"/>
          <w:sz w:val="24"/>
          <w:szCs w:val="24"/>
        </w:rPr>
        <w:t xml:space="preserve">  </w:t>
      </w:r>
      <w:r w:rsidR="00F649AB">
        <w:rPr>
          <w:rFonts w:ascii="Times New Roman" w:hAnsi="Times New Roman" w:cs="Times New Roman"/>
          <w:sz w:val="24"/>
          <w:szCs w:val="24"/>
        </w:rPr>
        <w:t xml:space="preserve">  </w:t>
      </w:r>
    </w:p>
    <w:p w:rsidR="00F649AB" w:rsidRDefault="0012367D" w:rsidP="00690925">
      <w:pPr>
        <w:pStyle w:val="Styl1"/>
        <w:tabs>
          <w:tab w:val="left" w:pos="36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B.  prostriedky z rozpočtu EÚ   </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690925">
        <w:rPr>
          <w:rFonts w:ascii="Times New Roman" w:hAnsi="Times New Roman" w:cs="Times New Roman"/>
          <w:sz w:val="24"/>
          <w:szCs w:val="24"/>
        </w:rPr>
        <w:t>275 127 678,55</w:t>
      </w:r>
      <w:r w:rsidR="00F649AB">
        <w:rPr>
          <w:rFonts w:ascii="Times New Roman" w:hAnsi="Times New Roman" w:cs="Times New Roman"/>
          <w:sz w:val="24"/>
          <w:szCs w:val="24"/>
        </w:rPr>
        <w:tab/>
      </w:r>
      <w:r w:rsidR="00BD289C">
        <w:rPr>
          <w:rFonts w:ascii="Times New Roman" w:hAnsi="Times New Roman" w:cs="Times New Roman"/>
          <w:sz w:val="24"/>
          <w:szCs w:val="24"/>
        </w:rPr>
        <w:t xml:space="preserve">  </w:t>
      </w:r>
    </w:p>
    <w:p w:rsidR="0012367D" w:rsidRPr="00A4655E" w:rsidRDefault="00BD289C" w:rsidP="00690925">
      <w:pPr>
        <w:tabs>
          <w:tab w:val="left" w:pos="7938"/>
        </w:tabs>
        <w:spacing w:after="0" w:line="240" w:lineRule="auto"/>
        <w:jc w:val="both"/>
        <w:rPr>
          <w:rFonts w:ascii="Times New Roman" w:hAnsi="Times New Roman" w:cs="Times New Roman"/>
          <w:b/>
          <w:i/>
          <w:sz w:val="24"/>
          <w:szCs w:val="24"/>
        </w:rPr>
      </w:pPr>
      <w:r w:rsidRPr="00A4655E">
        <w:rPr>
          <w:rFonts w:ascii="Times New Roman" w:hAnsi="Times New Roman" w:cs="Times New Roman"/>
          <w:b/>
          <w:i/>
          <w:sz w:val="24"/>
          <w:szCs w:val="24"/>
        </w:rPr>
        <w:t>Skutočnosť výdavkov v roku 201</w:t>
      </w:r>
      <w:r w:rsidR="00690925">
        <w:rPr>
          <w:rFonts w:ascii="Times New Roman" w:hAnsi="Times New Roman" w:cs="Times New Roman"/>
          <w:b/>
          <w:i/>
          <w:sz w:val="24"/>
          <w:szCs w:val="24"/>
        </w:rPr>
        <w:t>5</w:t>
      </w:r>
      <w:r w:rsidRPr="00A4655E">
        <w:rPr>
          <w:rFonts w:ascii="Times New Roman" w:hAnsi="Times New Roman" w:cs="Times New Roman"/>
          <w:b/>
          <w:i/>
          <w:sz w:val="24"/>
          <w:szCs w:val="24"/>
        </w:rPr>
        <w:tab/>
      </w:r>
      <w:r w:rsidR="00CC3215">
        <w:rPr>
          <w:rFonts w:ascii="Times New Roman" w:hAnsi="Times New Roman" w:cs="Times New Roman"/>
          <w:b/>
          <w:i/>
          <w:sz w:val="24"/>
          <w:szCs w:val="24"/>
        </w:rPr>
        <w:t xml:space="preserve">    </w:t>
      </w:r>
      <w:r w:rsidR="00690925" w:rsidRPr="00A4655E">
        <w:rPr>
          <w:rFonts w:ascii="Times New Roman" w:hAnsi="Times New Roman" w:cs="Times New Roman"/>
          <w:b/>
          <w:i/>
          <w:sz w:val="24"/>
          <w:szCs w:val="24"/>
        </w:rPr>
        <w:t>v</w:t>
      </w:r>
      <w:r w:rsidR="00690925">
        <w:rPr>
          <w:rFonts w:ascii="Times New Roman" w:hAnsi="Times New Roman" w:cs="Times New Roman"/>
          <w:b/>
          <w:i/>
          <w:sz w:val="24"/>
          <w:szCs w:val="24"/>
        </w:rPr>
        <w:t> </w:t>
      </w:r>
      <w:r w:rsidR="00690925" w:rsidRPr="00A4655E">
        <w:rPr>
          <w:rFonts w:ascii="Times New Roman" w:hAnsi="Times New Roman" w:cs="Times New Roman"/>
          <w:b/>
          <w:i/>
          <w:sz w:val="24"/>
          <w:szCs w:val="24"/>
        </w:rPr>
        <w:t>eur</w:t>
      </w:r>
      <w:r w:rsidR="00690925">
        <w:rPr>
          <w:rFonts w:ascii="Times New Roman" w:hAnsi="Times New Roman" w:cs="Times New Roman"/>
          <w:b/>
          <w:i/>
          <w:sz w:val="24"/>
          <w:szCs w:val="24"/>
        </w:rPr>
        <w:t>ách</w:t>
      </w:r>
    </w:p>
    <w:p w:rsidR="0012367D" w:rsidRPr="004B0F52" w:rsidRDefault="0012367D" w:rsidP="00F63FC4">
      <w:pPr>
        <w:tabs>
          <w:tab w:val="right" w:pos="9072"/>
        </w:tabs>
        <w:spacing w:after="0" w:line="240" w:lineRule="auto"/>
        <w:jc w:val="both"/>
        <w:rPr>
          <w:rFonts w:ascii="Times New Roman" w:hAnsi="Times New Roman" w:cs="Times New Roman"/>
          <w:color w:val="00FF00"/>
          <w:sz w:val="24"/>
          <w:szCs w:val="24"/>
        </w:rPr>
      </w:pPr>
    </w:p>
    <w:p w:rsidR="0012367D" w:rsidRPr="004B0F52" w:rsidRDefault="0012367D" w:rsidP="00690925">
      <w:pPr>
        <w:pStyle w:val="Styl1"/>
        <w:tabs>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Výdavky kapitoly spolu (ŠR</w:t>
      </w:r>
      <w:r w:rsidR="00A67CB0">
        <w:rPr>
          <w:rFonts w:ascii="Times New Roman" w:hAnsi="Times New Roman" w:cs="Times New Roman"/>
          <w:sz w:val="24"/>
          <w:szCs w:val="24"/>
        </w:rPr>
        <w:t xml:space="preserve"> </w:t>
      </w:r>
      <w:r w:rsidRPr="004B0F52">
        <w:rPr>
          <w:rFonts w:ascii="Times New Roman" w:hAnsi="Times New Roman" w:cs="Times New Roman"/>
          <w:sz w:val="24"/>
          <w:szCs w:val="24"/>
        </w:rPr>
        <w:t>+</w:t>
      </w:r>
      <w:r w:rsidR="00A67CB0">
        <w:rPr>
          <w:rFonts w:ascii="Times New Roman" w:hAnsi="Times New Roman" w:cs="Times New Roman"/>
          <w:sz w:val="24"/>
          <w:szCs w:val="24"/>
        </w:rPr>
        <w:t xml:space="preserve"> </w:t>
      </w:r>
      <w:r w:rsidRPr="004B0F52">
        <w:rPr>
          <w:rFonts w:ascii="Times New Roman" w:hAnsi="Times New Roman" w:cs="Times New Roman"/>
          <w:sz w:val="24"/>
          <w:szCs w:val="24"/>
        </w:rPr>
        <w:t>EÚ</w:t>
      </w:r>
      <w:r w:rsidR="00A67CB0">
        <w:rPr>
          <w:rFonts w:ascii="Times New Roman" w:hAnsi="Times New Roman" w:cs="Times New Roman"/>
          <w:sz w:val="24"/>
          <w:szCs w:val="24"/>
        </w:rPr>
        <w:t xml:space="preserve"> </w:t>
      </w:r>
      <w:r w:rsidR="00E54B52">
        <w:rPr>
          <w:rFonts w:ascii="Times New Roman" w:hAnsi="Times New Roman" w:cs="Times New Roman"/>
          <w:sz w:val="24"/>
          <w:szCs w:val="24"/>
        </w:rPr>
        <w:t>+</w:t>
      </w:r>
      <w:r w:rsidR="00A67CB0">
        <w:rPr>
          <w:rFonts w:ascii="Times New Roman" w:hAnsi="Times New Roman" w:cs="Times New Roman"/>
          <w:sz w:val="24"/>
          <w:szCs w:val="24"/>
        </w:rPr>
        <w:t xml:space="preserve"> </w:t>
      </w:r>
      <w:r w:rsidRPr="004B0F52">
        <w:rPr>
          <w:rFonts w:ascii="Times New Roman" w:hAnsi="Times New Roman" w:cs="Times New Roman"/>
          <w:sz w:val="24"/>
          <w:szCs w:val="24"/>
        </w:rPr>
        <w:t>zdroj 72</w:t>
      </w:r>
      <w:r w:rsidR="00A67CB0">
        <w:rPr>
          <w:rFonts w:ascii="Times New Roman" w:hAnsi="Times New Roman" w:cs="Times New Roman"/>
          <w:sz w:val="24"/>
          <w:szCs w:val="24"/>
        </w:rPr>
        <w:t>c</w:t>
      </w:r>
      <w:r w:rsidRPr="004B0F52">
        <w:rPr>
          <w:rFonts w:ascii="Times New Roman" w:hAnsi="Times New Roman" w:cs="Times New Roman"/>
          <w:sz w:val="24"/>
          <w:szCs w:val="24"/>
        </w:rPr>
        <w:t>)</w:t>
      </w:r>
      <w:r w:rsidR="00690925">
        <w:rPr>
          <w:rFonts w:ascii="Times New Roman" w:hAnsi="Times New Roman" w:cs="Times New Roman"/>
          <w:sz w:val="24"/>
          <w:szCs w:val="24"/>
        </w:rPr>
        <w:tab/>
      </w:r>
      <w:r w:rsidR="002E7842">
        <w:rPr>
          <w:rFonts w:ascii="Times New Roman" w:hAnsi="Times New Roman" w:cs="Times New Roman"/>
          <w:sz w:val="24"/>
          <w:szCs w:val="24"/>
        </w:rPr>
        <w:t xml:space="preserve">   </w:t>
      </w:r>
      <w:r w:rsidR="00690925">
        <w:rPr>
          <w:rFonts w:ascii="Times New Roman" w:hAnsi="Times New Roman" w:cs="Times New Roman"/>
          <w:sz w:val="24"/>
          <w:szCs w:val="24"/>
        </w:rPr>
        <w:t>441 077 675,37</w:t>
      </w:r>
      <w:r w:rsidRPr="004B0F52">
        <w:rPr>
          <w:rFonts w:ascii="Times New Roman" w:hAnsi="Times New Roman" w:cs="Times New Roman"/>
          <w:sz w:val="24"/>
          <w:szCs w:val="24"/>
        </w:rPr>
        <w:t xml:space="preserve">             </w:t>
      </w:r>
      <w:r w:rsidR="00AD4B79">
        <w:rPr>
          <w:rFonts w:ascii="Times New Roman" w:hAnsi="Times New Roman" w:cs="Times New Roman"/>
          <w:sz w:val="24"/>
          <w:szCs w:val="24"/>
        </w:rPr>
        <w:t xml:space="preserve"> </w:t>
      </w:r>
    </w:p>
    <w:p w:rsidR="0012367D" w:rsidRPr="004B0F52" w:rsidRDefault="0012367D" w:rsidP="00463B70">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A. Výdavky spolu bez prostriedkov Európskej únie </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463B70">
        <w:rPr>
          <w:rFonts w:ascii="Times New Roman" w:hAnsi="Times New Roman" w:cs="Times New Roman"/>
          <w:sz w:val="24"/>
          <w:szCs w:val="24"/>
        </w:rPr>
        <w:t>165 949 483,92</w:t>
      </w:r>
      <w:r w:rsidRPr="004B0F52">
        <w:rPr>
          <w:rFonts w:ascii="Times New Roman" w:hAnsi="Times New Roman" w:cs="Times New Roman"/>
          <w:sz w:val="24"/>
          <w:szCs w:val="24"/>
        </w:rPr>
        <w:t xml:space="preserve">                                       </w:t>
      </w:r>
      <w:r w:rsidR="009720F1">
        <w:rPr>
          <w:rFonts w:ascii="Times New Roman" w:hAnsi="Times New Roman" w:cs="Times New Roman"/>
          <w:sz w:val="24"/>
          <w:szCs w:val="24"/>
        </w:rPr>
        <w:tab/>
      </w:r>
      <w:r w:rsidRPr="004B0F52">
        <w:rPr>
          <w:rFonts w:ascii="Times New Roman" w:hAnsi="Times New Roman" w:cs="Times New Roman"/>
          <w:sz w:val="24"/>
          <w:szCs w:val="24"/>
        </w:rPr>
        <w:t>z toho:</w:t>
      </w:r>
    </w:p>
    <w:p w:rsidR="0012367D" w:rsidRPr="009720F1" w:rsidRDefault="0012367D" w:rsidP="00463B70">
      <w:pPr>
        <w:pStyle w:val="Styl1"/>
        <w:tabs>
          <w:tab w:val="left" w:pos="720"/>
          <w:tab w:val="left" w:pos="7371"/>
        </w:tabs>
        <w:spacing w:after="0" w:line="240" w:lineRule="auto"/>
        <w:rPr>
          <w:rFonts w:ascii="Times New Roman" w:hAnsi="Times New Roman" w:cs="Times New Roman"/>
          <w:sz w:val="24"/>
          <w:szCs w:val="24"/>
        </w:rPr>
      </w:pPr>
      <w:r w:rsidRPr="004B0F52">
        <w:rPr>
          <w:rFonts w:ascii="Times New Roman" w:hAnsi="Times New Roman" w:cs="Times New Roman"/>
          <w:sz w:val="24"/>
          <w:szCs w:val="24"/>
        </w:rPr>
        <w:t xml:space="preserve">     A1. prostriedky štátneho rozpočtu (kód zdroja 111) </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463B70">
        <w:rPr>
          <w:rFonts w:ascii="Times New Roman" w:hAnsi="Times New Roman" w:cs="Times New Roman"/>
          <w:sz w:val="24"/>
          <w:szCs w:val="24"/>
        </w:rPr>
        <w:t>105 261 372,96</w:t>
      </w:r>
      <w:r w:rsidRPr="004B0F52">
        <w:rPr>
          <w:rFonts w:ascii="Times New Roman" w:hAnsi="Times New Roman" w:cs="Times New Roman"/>
          <w:sz w:val="24"/>
          <w:szCs w:val="24"/>
        </w:rPr>
        <w:t xml:space="preserve">                        </w:t>
      </w:r>
      <w:r w:rsidR="00BD289C">
        <w:rPr>
          <w:rFonts w:ascii="Times New Roman" w:hAnsi="Times New Roman" w:cs="Times New Roman"/>
          <w:sz w:val="24"/>
          <w:szCs w:val="24"/>
        </w:rPr>
        <w:tab/>
      </w:r>
      <w:r w:rsidRPr="004B0F52">
        <w:rPr>
          <w:rFonts w:ascii="Times New Roman" w:hAnsi="Times New Roman" w:cs="Times New Roman"/>
          <w:sz w:val="24"/>
          <w:szCs w:val="24"/>
        </w:rPr>
        <w:t>prostriedky štátneho rozpočtu (kód zdroja 131)</w:t>
      </w:r>
      <w:r w:rsidR="00463B70">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463B70">
        <w:rPr>
          <w:rFonts w:ascii="Times New Roman" w:hAnsi="Times New Roman" w:cs="Times New Roman"/>
          <w:sz w:val="24"/>
          <w:szCs w:val="24"/>
        </w:rPr>
        <w:t>12 813 527,92</w:t>
      </w:r>
      <w:r w:rsidRPr="004B0F52">
        <w:rPr>
          <w:rFonts w:ascii="Times New Roman" w:hAnsi="Times New Roman" w:cs="Times New Roman"/>
          <w:sz w:val="24"/>
          <w:szCs w:val="24"/>
        </w:rPr>
        <w:t xml:space="preserve">                         </w:t>
      </w:r>
      <w:r w:rsidR="001F3C0E">
        <w:rPr>
          <w:rFonts w:ascii="Times New Roman" w:hAnsi="Times New Roman" w:cs="Times New Roman"/>
          <w:sz w:val="24"/>
          <w:szCs w:val="24"/>
        </w:rPr>
        <w:t xml:space="preserve"> </w:t>
      </w:r>
    </w:p>
    <w:p w:rsidR="00463B70" w:rsidRDefault="0012367D" w:rsidP="00463B70">
      <w:pPr>
        <w:pStyle w:val="Styl1"/>
        <w:tabs>
          <w:tab w:val="left" w:pos="284"/>
          <w:tab w:val="left" w:pos="7371"/>
        </w:tabs>
        <w:spacing w:after="0" w:line="240" w:lineRule="auto"/>
        <w:ind w:left="284" w:hanging="284"/>
        <w:rPr>
          <w:rFonts w:ascii="Times New Roman" w:hAnsi="Times New Roman" w:cs="Times New Roman"/>
          <w:sz w:val="24"/>
          <w:szCs w:val="24"/>
        </w:rPr>
      </w:pPr>
      <w:r w:rsidRPr="004B0F52">
        <w:rPr>
          <w:rFonts w:ascii="Times New Roman" w:hAnsi="Times New Roman" w:cs="Times New Roman"/>
          <w:sz w:val="24"/>
          <w:szCs w:val="24"/>
        </w:rPr>
        <w:t xml:space="preserve">     A2. prostriedky na spolufinancovanie </w:t>
      </w:r>
      <w:r w:rsidR="00463B70">
        <w:rPr>
          <w:rFonts w:ascii="Times New Roman" w:hAnsi="Times New Roman" w:cs="Times New Roman"/>
          <w:sz w:val="24"/>
          <w:szCs w:val="24"/>
        </w:rPr>
        <w:tab/>
      </w:r>
      <w:r w:rsidR="002E7842">
        <w:rPr>
          <w:rFonts w:ascii="Times New Roman" w:hAnsi="Times New Roman" w:cs="Times New Roman"/>
          <w:sz w:val="24"/>
          <w:szCs w:val="24"/>
        </w:rPr>
        <w:t xml:space="preserve">   </w:t>
      </w:r>
      <w:r w:rsidR="00463B70">
        <w:rPr>
          <w:rFonts w:ascii="Times New Roman" w:hAnsi="Times New Roman" w:cs="Times New Roman"/>
          <w:sz w:val="24"/>
          <w:szCs w:val="24"/>
        </w:rPr>
        <w:t xml:space="preserve">  47 452 819,91</w:t>
      </w:r>
    </w:p>
    <w:p w:rsidR="0012367D" w:rsidRPr="004B0F52" w:rsidRDefault="0012367D" w:rsidP="00463B70">
      <w:pPr>
        <w:pStyle w:val="Styl1"/>
        <w:tabs>
          <w:tab w:val="left" w:pos="284"/>
          <w:tab w:val="left" w:pos="7371"/>
        </w:tabs>
        <w:spacing w:after="0" w:line="240" w:lineRule="auto"/>
        <w:ind w:left="284" w:hanging="284"/>
        <w:rPr>
          <w:rFonts w:ascii="Times New Roman" w:hAnsi="Times New Roman" w:cs="Times New Roman"/>
          <w:sz w:val="24"/>
          <w:szCs w:val="24"/>
        </w:rPr>
      </w:pPr>
      <w:r w:rsidRPr="004B0F52">
        <w:rPr>
          <w:rFonts w:ascii="Times New Roman" w:hAnsi="Times New Roman" w:cs="Times New Roman"/>
          <w:sz w:val="24"/>
          <w:szCs w:val="24"/>
        </w:rPr>
        <w:t xml:space="preserve">               </w:t>
      </w:r>
      <w:r w:rsidR="00463B70">
        <w:rPr>
          <w:rFonts w:ascii="Times New Roman" w:hAnsi="Times New Roman" w:cs="Times New Roman"/>
          <w:sz w:val="24"/>
          <w:szCs w:val="24"/>
        </w:rPr>
        <w:t>prostriedky PRO RATA</w:t>
      </w:r>
      <w:r w:rsidR="00463B70">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463B70">
        <w:rPr>
          <w:rFonts w:ascii="Times New Roman" w:hAnsi="Times New Roman" w:cs="Times New Roman"/>
          <w:sz w:val="24"/>
          <w:szCs w:val="24"/>
        </w:rPr>
        <w:t xml:space="preserve">     421 763,13</w:t>
      </w:r>
      <w:r w:rsidRPr="004B0F52">
        <w:rPr>
          <w:rFonts w:ascii="Times New Roman" w:hAnsi="Times New Roman" w:cs="Times New Roman"/>
          <w:sz w:val="24"/>
          <w:szCs w:val="24"/>
        </w:rPr>
        <w:t xml:space="preserve">                  </w:t>
      </w:r>
      <w:r w:rsidR="00AD4B79">
        <w:rPr>
          <w:rFonts w:ascii="Times New Roman" w:hAnsi="Times New Roman" w:cs="Times New Roman"/>
          <w:sz w:val="24"/>
          <w:szCs w:val="24"/>
        </w:rPr>
        <w:t xml:space="preserve">    </w:t>
      </w:r>
      <w:r w:rsidRPr="004B0F52">
        <w:rPr>
          <w:rFonts w:ascii="Times New Roman" w:hAnsi="Times New Roman" w:cs="Times New Roman"/>
          <w:sz w:val="24"/>
          <w:szCs w:val="24"/>
        </w:rPr>
        <w:t xml:space="preserve">                       </w:t>
      </w:r>
      <w:r w:rsidR="00AD4B79">
        <w:rPr>
          <w:rFonts w:ascii="Times New Roman" w:hAnsi="Times New Roman" w:cs="Times New Roman"/>
          <w:sz w:val="24"/>
          <w:szCs w:val="24"/>
        </w:rPr>
        <w:t xml:space="preserve">  </w:t>
      </w:r>
      <w:r w:rsidRPr="004B0F52">
        <w:rPr>
          <w:rFonts w:ascii="Times New Roman" w:hAnsi="Times New Roman" w:cs="Times New Roman"/>
          <w:sz w:val="24"/>
          <w:szCs w:val="24"/>
        </w:rPr>
        <w:t xml:space="preserve">     A3. mzdy, platy, služobné príjmy a ostatné osobné vyrovnania  </w:t>
      </w:r>
    </w:p>
    <w:p w:rsidR="00463B70" w:rsidRDefault="0012367D" w:rsidP="00675E19">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 xml:space="preserve">            (610), (kód zdroja 111) </w:t>
      </w:r>
      <w:r w:rsidR="00675E19">
        <w:rPr>
          <w:rFonts w:ascii="Times New Roman" w:hAnsi="Times New Roman" w:cs="Times New Roman"/>
          <w:sz w:val="24"/>
          <w:szCs w:val="24"/>
        </w:rPr>
        <w:tab/>
        <w:t xml:space="preserve"> </w:t>
      </w:r>
      <w:r w:rsidR="002E7842">
        <w:rPr>
          <w:rFonts w:ascii="Times New Roman" w:hAnsi="Times New Roman" w:cs="Times New Roman"/>
          <w:sz w:val="24"/>
          <w:szCs w:val="24"/>
        </w:rPr>
        <w:t xml:space="preserve">   </w:t>
      </w:r>
      <w:r w:rsidR="00675E19">
        <w:rPr>
          <w:rFonts w:ascii="Times New Roman" w:hAnsi="Times New Roman" w:cs="Times New Roman"/>
          <w:sz w:val="24"/>
          <w:szCs w:val="24"/>
        </w:rPr>
        <w:t xml:space="preserve">   </w:t>
      </w:r>
      <w:r w:rsidR="00675E19">
        <w:rPr>
          <w:rFonts w:ascii="Times New Roman" w:hAnsi="Times New Roman" w:cs="Times New Roman"/>
          <w:sz w:val="24"/>
          <w:szCs w:val="24"/>
          <w:lang w:eastAsia="sk-SK"/>
        </w:rPr>
        <w:t>9 449 157,10</w:t>
      </w:r>
      <w:r w:rsidRPr="004B0F52">
        <w:rPr>
          <w:rFonts w:ascii="Times New Roman" w:hAnsi="Times New Roman" w:cs="Times New Roman"/>
          <w:sz w:val="24"/>
          <w:szCs w:val="24"/>
        </w:rPr>
        <w:t xml:space="preserve"> </w:t>
      </w:r>
    </w:p>
    <w:p w:rsidR="00463B70" w:rsidRPr="004B0F52" w:rsidRDefault="00463B70" w:rsidP="00463B70">
      <w:pPr>
        <w:pStyle w:val="Styl1"/>
        <w:tabs>
          <w:tab w:val="right" w:pos="8820"/>
        </w:tabs>
        <w:spacing w:after="0" w:line="240" w:lineRule="auto"/>
        <w:ind w:left="284"/>
        <w:rPr>
          <w:rFonts w:ascii="Times New Roman" w:hAnsi="Times New Roman" w:cs="Times New Roman"/>
          <w:sz w:val="24"/>
          <w:szCs w:val="24"/>
        </w:rPr>
      </w:pPr>
      <w:r w:rsidRPr="004B0F52">
        <w:rPr>
          <w:rFonts w:ascii="Times New Roman" w:hAnsi="Times New Roman" w:cs="Times New Roman"/>
          <w:sz w:val="24"/>
          <w:szCs w:val="24"/>
        </w:rPr>
        <w:t>A4. kapitálové výdavky (700) bez prostriedkov</w:t>
      </w:r>
    </w:p>
    <w:p w:rsidR="002E6DE9" w:rsidRDefault="00463B70" w:rsidP="00E040FE">
      <w:pPr>
        <w:tabs>
          <w:tab w:val="left" w:pos="7371"/>
        </w:tabs>
        <w:autoSpaceDE w:val="0"/>
        <w:autoSpaceDN w:val="0"/>
        <w:adjustRightInd w:val="0"/>
        <w:spacing w:after="0" w:line="240" w:lineRule="auto"/>
        <w:rPr>
          <w:rFonts w:ascii="Times New Roman" w:hAnsi="Times New Roman" w:cs="Times New Roman"/>
          <w:sz w:val="24"/>
          <w:szCs w:val="24"/>
          <w:lang w:eastAsia="sk-SK"/>
        </w:rPr>
      </w:pPr>
      <w:r w:rsidRPr="004B0F52">
        <w:rPr>
          <w:rFonts w:ascii="Times New Roman" w:hAnsi="Times New Roman" w:cs="Times New Roman"/>
          <w:sz w:val="24"/>
          <w:szCs w:val="24"/>
        </w:rPr>
        <w:t xml:space="preserve">             na spolufinancovanie  (kód zdroja 111)</w:t>
      </w:r>
      <w:r w:rsidR="00E040FE" w:rsidRPr="00E040FE">
        <w:rPr>
          <w:rFonts w:ascii="Times New Roman" w:hAnsi="Times New Roman" w:cs="Times New Roman"/>
          <w:sz w:val="24"/>
          <w:szCs w:val="24"/>
          <w:lang w:eastAsia="sk-SK"/>
        </w:rPr>
        <w:t xml:space="preserve"> </w:t>
      </w:r>
      <w:r w:rsidR="00E040FE">
        <w:rPr>
          <w:rFonts w:ascii="Times New Roman" w:hAnsi="Times New Roman" w:cs="Times New Roman"/>
          <w:sz w:val="24"/>
          <w:szCs w:val="24"/>
          <w:lang w:eastAsia="sk-SK"/>
        </w:rPr>
        <w:tab/>
        <w:t xml:space="preserve">  </w:t>
      </w:r>
      <w:r w:rsidR="002E7842">
        <w:rPr>
          <w:rFonts w:ascii="Times New Roman" w:hAnsi="Times New Roman" w:cs="Times New Roman"/>
          <w:sz w:val="24"/>
          <w:szCs w:val="24"/>
          <w:lang w:eastAsia="sk-SK"/>
        </w:rPr>
        <w:t xml:space="preserve">    </w:t>
      </w:r>
      <w:r w:rsidR="00E040FE">
        <w:rPr>
          <w:rFonts w:ascii="Times New Roman" w:hAnsi="Times New Roman" w:cs="Times New Roman"/>
          <w:sz w:val="24"/>
          <w:szCs w:val="24"/>
          <w:lang w:eastAsia="sk-SK"/>
        </w:rPr>
        <w:t xml:space="preserve"> 3 675 504,74</w:t>
      </w:r>
      <w:r w:rsidR="0012367D" w:rsidRPr="004B0F52">
        <w:rPr>
          <w:rFonts w:ascii="Times New Roman" w:hAnsi="Times New Roman" w:cs="Times New Roman"/>
          <w:sz w:val="24"/>
          <w:szCs w:val="24"/>
        </w:rPr>
        <w:t xml:space="preserve">                                                    B.  prostriedky z rozpočtu EÚ</w:t>
      </w:r>
      <w:r>
        <w:rPr>
          <w:rFonts w:ascii="Times New Roman" w:hAnsi="Times New Roman" w:cs="Times New Roman"/>
          <w:sz w:val="24"/>
          <w:szCs w:val="24"/>
        </w:rPr>
        <w:tab/>
      </w:r>
      <w:r w:rsidR="002E7842">
        <w:rPr>
          <w:rFonts w:ascii="Times New Roman" w:hAnsi="Times New Roman" w:cs="Times New Roman"/>
          <w:sz w:val="24"/>
          <w:szCs w:val="24"/>
        </w:rPr>
        <w:t xml:space="preserve">   </w:t>
      </w:r>
      <w:r>
        <w:rPr>
          <w:rFonts w:ascii="Times New Roman" w:hAnsi="Times New Roman" w:cs="Times New Roman"/>
          <w:sz w:val="24"/>
          <w:szCs w:val="24"/>
        </w:rPr>
        <w:t>275 127 678,55</w:t>
      </w:r>
      <w:r w:rsidR="0012367D" w:rsidRPr="004B0F52">
        <w:rPr>
          <w:rFonts w:ascii="Times New Roman" w:hAnsi="Times New Roman" w:cs="Times New Roman"/>
          <w:sz w:val="24"/>
          <w:szCs w:val="24"/>
        </w:rPr>
        <w:t xml:space="preserve">                                                                        </w:t>
      </w:r>
      <w:r w:rsidR="00AD4B79">
        <w:rPr>
          <w:rFonts w:ascii="Times New Roman" w:hAnsi="Times New Roman" w:cs="Times New Roman"/>
          <w:sz w:val="24"/>
          <w:szCs w:val="24"/>
        </w:rPr>
        <w:t xml:space="preserve">          </w:t>
      </w:r>
    </w:p>
    <w:p w:rsidR="00E70D97" w:rsidRPr="000913E6" w:rsidRDefault="00EF731F" w:rsidP="00EF731F">
      <w:pPr>
        <w:pStyle w:val="Styl1"/>
        <w:numPr>
          <w:ilvl w:val="0"/>
          <w:numId w:val="28"/>
        </w:numPr>
        <w:spacing w:after="0" w:line="240" w:lineRule="auto"/>
        <w:ind w:left="284" w:hanging="284"/>
        <w:rPr>
          <w:rFonts w:ascii="Times New Roman" w:hAnsi="Times New Roman" w:cs="Times New Roman"/>
          <w:sz w:val="24"/>
          <w:szCs w:val="24"/>
        </w:rPr>
      </w:pPr>
      <w:r w:rsidRPr="000913E6">
        <w:rPr>
          <w:rFonts w:ascii="Times New Roman" w:hAnsi="Times New Roman" w:cs="Times New Roman"/>
          <w:sz w:val="24"/>
          <w:szCs w:val="24"/>
        </w:rPr>
        <w:t xml:space="preserve"> mimorozpočtový zdroj 72c                                                                             </w:t>
      </w:r>
      <w:r w:rsidR="002E7842">
        <w:rPr>
          <w:rFonts w:ascii="Times New Roman" w:hAnsi="Times New Roman" w:cs="Times New Roman"/>
          <w:sz w:val="24"/>
          <w:szCs w:val="24"/>
        </w:rPr>
        <w:t xml:space="preserve">   </w:t>
      </w:r>
      <w:r w:rsidRPr="000913E6">
        <w:rPr>
          <w:rFonts w:ascii="Times New Roman" w:hAnsi="Times New Roman" w:cs="Times New Roman"/>
          <w:sz w:val="24"/>
          <w:szCs w:val="24"/>
        </w:rPr>
        <w:t xml:space="preserve">          512,90</w:t>
      </w:r>
    </w:p>
    <w:p w:rsidR="00064E8E" w:rsidRDefault="00064E8E" w:rsidP="002E6DE9">
      <w:pPr>
        <w:pStyle w:val="Styl1"/>
        <w:tabs>
          <w:tab w:val="left" w:pos="540"/>
          <w:tab w:val="left" w:pos="7655"/>
        </w:tabs>
        <w:spacing w:after="0" w:line="240" w:lineRule="auto"/>
        <w:rPr>
          <w:rFonts w:ascii="Times New Roman" w:hAnsi="Times New Roman" w:cs="Times New Roman"/>
        </w:rPr>
      </w:pPr>
    </w:p>
    <w:p w:rsidR="0012367D" w:rsidRPr="00D11A1B" w:rsidRDefault="0088667A" w:rsidP="00822E32">
      <w:pPr>
        <w:pStyle w:val="Nadpis3"/>
        <w:spacing w:before="0" w:line="240" w:lineRule="auto"/>
        <w:ind w:left="1276" w:hanging="567"/>
        <w:jc w:val="both"/>
        <w:rPr>
          <w:rFonts w:ascii="Times New Roman" w:hAnsi="Times New Roman" w:cs="Times New Roman"/>
        </w:rPr>
      </w:pPr>
      <w:bookmarkStart w:id="10" w:name="_Toc415553099"/>
      <w:r w:rsidRPr="00D11A1B">
        <w:rPr>
          <w:rFonts w:ascii="Times New Roman" w:hAnsi="Times New Roman" w:cs="Times New Roman"/>
        </w:rPr>
        <w:t xml:space="preserve">1.3.1. </w:t>
      </w:r>
      <w:r w:rsidR="004D0CA5">
        <w:rPr>
          <w:rFonts w:ascii="Times New Roman" w:hAnsi="Times New Roman" w:cs="Times New Roman"/>
        </w:rPr>
        <w:tab/>
      </w:r>
      <w:r w:rsidR="0012367D" w:rsidRPr="00D11A1B">
        <w:rPr>
          <w:rFonts w:ascii="Times New Roman" w:hAnsi="Times New Roman" w:cs="Times New Roman"/>
        </w:rPr>
        <w:t>Výdavky kapitoly podľa ekonomickej klasifikácie</w:t>
      </w:r>
      <w:bookmarkEnd w:id="10"/>
    </w:p>
    <w:p w:rsidR="0012367D" w:rsidRPr="00EB4299" w:rsidRDefault="0012367D" w:rsidP="00CF5210">
      <w:pPr>
        <w:spacing w:after="0" w:line="240" w:lineRule="auto"/>
        <w:rPr>
          <w:rFonts w:ascii="Times New Roman" w:hAnsi="Times New Roman" w:cs="Times New Roman"/>
          <w:color w:val="00FF00"/>
          <w:sz w:val="24"/>
          <w:szCs w:val="24"/>
        </w:rPr>
      </w:pPr>
    </w:p>
    <w:p w:rsidR="00565C92" w:rsidRPr="0088667A" w:rsidRDefault="0012367D" w:rsidP="00822E32">
      <w:pPr>
        <w:tabs>
          <w:tab w:val="left" w:pos="709"/>
        </w:tabs>
        <w:spacing w:after="0" w:line="240" w:lineRule="auto"/>
        <w:jc w:val="both"/>
        <w:rPr>
          <w:rFonts w:ascii="Times New Roman" w:hAnsi="Times New Roman" w:cs="Times New Roman"/>
          <w:sz w:val="24"/>
          <w:szCs w:val="24"/>
        </w:rPr>
      </w:pPr>
      <w:r w:rsidRPr="0088667A">
        <w:rPr>
          <w:rFonts w:ascii="Times New Roman" w:hAnsi="Times New Roman" w:cs="Times New Roman"/>
          <w:sz w:val="24"/>
          <w:szCs w:val="24"/>
        </w:rPr>
        <w:tab/>
        <w:t xml:space="preserve">Upravený rozpočet </w:t>
      </w:r>
      <w:r w:rsidR="009B7A2B" w:rsidRPr="0088667A">
        <w:rPr>
          <w:rFonts w:ascii="Times New Roman" w:hAnsi="Times New Roman" w:cs="Times New Roman"/>
          <w:sz w:val="24"/>
          <w:szCs w:val="24"/>
        </w:rPr>
        <w:t xml:space="preserve">výdavkov </w:t>
      </w:r>
      <w:r w:rsidRPr="0088667A">
        <w:rPr>
          <w:rFonts w:ascii="Times New Roman" w:hAnsi="Times New Roman" w:cs="Times New Roman"/>
          <w:sz w:val="24"/>
          <w:szCs w:val="24"/>
        </w:rPr>
        <w:t>kapitol</w:t>
      </w:r>
      <w:r w:rsidR="009B7A2B" w:rsidRPr="0088667A">
        <w:rPr>
          <w:rFonts w:ascii="Times New Roman" w:hAnsi="Times New Roman" w:cs="Times New Roman"/>
          <w:sz w:val="24"/>
          <w:szCs w:val="24"/>
        </w:rPr>
        <w:t>y MH SR v</w:t>
      </w:r>
      <w:r w:rsidR="000C04AC" w:rsidRPr="0088667A">
        <w:rPr>
          <w:rFonts w:ascii="Times New Roman" w:hAnsi="Times New Roman" w:cs="Times New Roman"/>
          <w:sz w:val="24"/>
          <w:szCs w:val="24"/>
        </w:rPr>
        <w:t xml:space="preserve"> </w:t>
      </w:r>
      <w:r w:rsidR="009B7A2B" w:rsidRPr="0088667A">
        <w:rPr>
          <w:rFonts w:ascii="Times New Roman" w:hAnsi="Times New Roman" w:cs="Times New Roman"/>
          <w:sz w:val="24"/>
          <w:szCs w:val="24"/>
        </w:rPr>
        <w:t> roku 201</w:t>
      </w:r>
      <w:r w:rsidR="00CE2765">
        <w:rPr>
          <w:rFonts w:ascii="Times New Roman" w:hAnsi="Times New Roman" w:cs="Times New Roman"/>
          <w:sz w:val="24"/>
          <w:szCs w:val="24"/>
        </w:rPr>
        <w:t>5</w:t>
      </w:r>
      <w:r w:rsidR="003B31AD">
        <w:rPr>
          <w:rFonts w:ascii="Times New Roman" w:hAnsi="Times New Roman" w:cs="Times New Roman"/>
          <w:sz w:val="24"/>
          <w:szCs w:val="24"/>
        </w:rPr>
        <w:t xml:space="preserve"> </w:t>
      </w:r>
      <w:r w:rsidRPr="0088667A">
        <w:rPr>
          <w:rFonts w:ascii="Times New Roman" w:hAnsi="Times New Roman" w:cs="Times New Roman"/>
          <w:sz w:val="24"/>
          <w:szCs w:val="24"/>
        </w:rPr>
        <w:t xml:space="preserve">bol </w:t>
      </w:r>
      <w:r w:rsidR="00F74DF8">
        <w:rPr>
          <w:rFonts w:ascii="Times New Roman" w:hAnsi="Times New Roman" w:cs="Times New Roman"/>
          <w:sz w:val="24"/>
          <w:szCs w:val="24"/>
        </w:rPr>
        <w:t xml:space="preserve">v sume 441 217 548,62 </w:t>
      </w:r>
      <w:r w:rsidR="0088667A" w:rsidRPr="0088667A">
        <w:rPr>
          <w:rFonts w:ascii="Times New Roman" w:hAnsi="Times New Roman" w:cs="Times New Roman"/>
          <w:sz w:val="24"/>
          <w:szCs w:val="24"/>
        </w:rPr>
        <w:t>eu</w:t>
      </w:r>
      <w:r w:rsidRPr="0088667A">
        <w:rPr>
          <w:rFonts w:ascii="Times New Roman" w:hAnsi="Times New Roman" w:cs="Times New Roman"/>
          <w:sz w:val="24"/>
          <w:szCs w:val="24"/>
        </w:rPr>
        <w:t>r</w:t>
      </w:r>
      <w:r w:rsidR="000C04AC" w:rsidRPr="0088667A">
        <w:rPr>
          <w:rFonts w:ascii="Times New Roman" w:hAnsi="Times New Roman" w:cs="Times New Roman"/>
          <w:sz w:val="24"/>
          <w:szCs w:val="24"/>
        </w:rPr>
        <w:t xml:space="preserve"> </w:t>
      </w:r>
      <w:r w:rsidRPr="0088667A">
        <w:rPr>
          <w:rFonts w:ascii="Times New Roman" w:hAnsi="Times New Roman" w:cs="Times New Roman"/>
          <w:sz w:val="24"/>
          <w:szCs w:val="24"/>
        </w:rPr>
        <w:t>a</w:t>
      </w:r>
      <w:r w:rsidR="00CE2765">
        <w:rPr>
          <w:rFonts w:ascii="Times New Roman" w:hAnsi="Times New Roman" w:cs="Times New Roman"/>
          <w:sz w:val="24"/>
          <w:szCs w:val="24"/>
        </w:rPr>
        <w:t> </w:t>
      </w:r>
      <w:r w:rsidRPr="0088667A">
        <w:rPr>
          <w:rFonts w:ascii="Times New Roman" w:hAnsi="Times New Roman" w:cs="Times New Roman"/>
          <w:sz w:val="24"/>
          <w:szCs w:val="24"/>
        </w:rPr>
        <w:t>čerpanie</w:t>
      </w:r>
      <w:r w:rsidR="00CE2765">
        <w:rPr>
          <w:rFonts w:ascii="Times New Roman" w:hAnsi="Times New Roman" w:cs="Times New Roman"/>
          <w:sz w:val="24"/>
          <w:szCs w:val="24"/>
        </w:rPr>
        <w:t xml:space="preserve"> výdavkov </w:t>
      </w:r>
      <w:r w:rsidRPr="0088667A">
        <w:rPr>
          <w:rFonts w:ascii="Times New Roman" w:hAnsi="Times New Roman" w:cs="Times New Roman"/>
          <w:sz w:val="24"/>
          <w:szCs w:val="24"/>
        </w:rPr>
        <w:t xml:space="preserve"> vrátane mimorozpočtov</w:t>
      </w:r>
      <w:r w:rsidR="0088667A" w:rsidRPr="0088667A">
        <w:rPr>
          <w:rFonts w:ascii="Times New Roman" w:hAnsi="Times New Roman" w:cs="Times New Roman"/>
          <w:sz w:val="24"/>
          <w:szCs w:val="24"/>
        </w:rPr>
        <w:t>ého</w:t>
      </w:r>
      <w:r w:rsidRPr="0088667A">
        <w:rPr>
          <w:rFonts w:ascii="Times New Roman" w:hAnsi="Times New Roman" w:cs="Times New Roman"/>
          <w:sz w:val="24"/>
          <w:szCs w:val="24"/>
        </w:rPr>
        <w:t xml:space="preserve"> zdroj</w:t>
      </w:r>
      <w:r w:rsidR="0088667A" w:rsidRPr="0088667A">
        <w:rPr>
          <w:rFonts w:ascii="Times New Roman" w:hAnsi="Times New Roman" w:cs="Times New Roman"/>
          <w:sz w:val="24"/>
          <w:szCs w:val="24"/>
        </w:rPr>
        <w:t>a</w:t>
      </w:r>
      <w:r w:rsidRPr="0088667A">
        <w:rPr>
          <w:rFonts w:ascii="Times New Roman" w:hAnsi="Times New Roman" w:cs="Times New Roman"/>
          <w:sz w:val="24"/>
          <w:szCs w:val="24"/>
        </w:rPr>
        <w:t xml:space="preserve"> </w:t>
      </w:r>
      <w:r w:rsidR="00A4655E">
        <w:rPr>
          <w:rFonts w:ascii="Times New Roman" w:hAnsi="Times New Roman" w:cs="Times New Roman"/>
          <w:sz w:val="24"/>
          <w:szCs w:val="24"/>
        </w:rPr>
        <w:t xml:space="preserve">72c </w:t>
      </w:r>
      <w:r w:rsidRPr="0088667A">
        <w:rPr>
          <w:rFonts w:ascii="Times New Roman" w:hAnsi="Times New Roman" w:cs="Times New Roman"/>
          <w:sz w:val="24"/>
          <w:szCs w:val="24"/>
        </w:rPr>
        <w:t xml:space="preserve">bolo </w:t>
      </w:r>
      <w:r w:rsidR="00F74DF8">
        <w:rPr>
          <w:rFonts w:ascii="Times New Roman" w:hAnsi="Times New Roman" w:cs="Times New Roman"/>
          <w:sz w:val="24"/>
          <w:szCs w:val="24"/>
        </w:rPr>
        <w:t xml:space="preserve">v sume </w:t>
      </w:r>
      <w:r w:rsidR="000C04AC" w:rsidRPr="0088667A">
        <w:rPr>
          <w:rFonts w:ascii="Times New Roman" w:hAnsi="Times New Roman" w:cs="Times New Roman"/>
          <w:sz w:val="24"/>
          <w:szCs w:val="24"/>
        </w:rPr>
        <w:t xml:space="preserve">    </w:t>
      </w:r>
      <w:r w:rsidR="00F74DF8">
        <w:rPr>
          <w:rFonts w:ascii="Times New Roman" w:hAnsi="Times New Roman" w:cs="Times New Roman"/>
          <w:sz w:val="24"/>
          <w:szCs w:val="24"/>
        </w:rPr>
        <w:t xml:space="preserve">441 077 675,37 </w:t>
      </w:r>
      <w:r w:rsidR="0088667A" w:rsidRPr="0088667A">
        <w:rPr>
          <w:rFonts w:ascii="Times New Roman" w:hAnsi="Times New Roman" w:cs="Times New Roman"/>
          <w:sz w:val="24"/>
          <w:szCs w:val="24"/>
        </w:rPr>
        <w:t>e</w:t>
      </w:r>
      <w:r w:rsidRPr="0088667A">
        <w:rPr>
          <w:rFonts w:ascii="Times New Roman" w:hAnsi="Times New Roman" w:cs="Times New Roman"/>
          <w:sz w:val="24"/>
          <w:szCs w:val="24"/>
        </w:rPr>
        <w:t>ur,</w:t>
      </w:r>
      <w:r w:rsidR="000C04AC" w:rsidRPr="0088667A">
        <w:rPr>
          <w:rFonts w:ascii="Times New Roman" w:hAnsi="Times New Roman" w:cs="Times New Roman"/>
          <w:sz w:val="24"/>
          <w:szCs w:val="24"/>
        </w:rPr>
        <w:t xml:space="preserve"> </w:t>
      </w:r>
      <w:r w:rsidRPr="0088667A">
        <w:rPr>
          <w:rFonts w:ascii="Times New Roman" w:hAnsi="Times New Roman" w:cs="Times New Roman"/>
          <w:sz w:val="24"/>
          <w:szCs w:val="24"/>
        </w:rPr>
        <w:t>t.j.</w:t>
      </w:r>
      <w:r w:rsidR="00F74DF8">
        <w:rPr>
          <w:rFonts w:ascii="Times New Roman" w:hAnsi="Times New Roman" w:cs="Times New Roman"/>
          <w:sz w:val="24"/>
          <w:szCs w:val="24"/>
        </w:rPr>
        <w:t xml:space="preserve"> </w:t>
      </w:r>
      <w:r w:rsidR="00CE2CB9">
        <w:rPr>
          <w:rFonts w:ascii="Times New Roman" w:hAnsi="Times New Roman" w:cs="Times New Roman"/>
          <w:sz w:val="24"/>
          <w:szCs w:val="24"/>
        </w:rPr>
        <w:t>99,97</w:t>
      </w:r>
      <w:r w:rsidRPr="0088667A">
        <w:rPr>
          <w:rFonts w:ascii="Times New Roman" w:hAnsi="Times New Roman" w:cs="Times New Roman"/>
          <w:sz w:val="24"/>
          <w:szCs w:val="24"/>
        </w:rPr>
        <w:t xml:space="preserve"> %</w:t>
      </w:r>
      <w:r w:rsidR="00565C92" w:rsidRPr="0088667A">
        <w:rPr>
          <w:rFonts w:ascii="Times New Roman" w:hAnsi="Times New Roman" w:cs="Times New Roman"/>
          <w:sz w:val="24"/>
          <w:szCs w:val="24"/>
        </w:rPr>
        <w:t xml:space="preserve"> z upraveného rozpočtu</w:t>
      </w:r>
      <w:r w:rsidRPr="0088667A">
        <w:rPr>
          <w:rFonts w:ascii="Times New Roman" w:hAnsi="Times New Roman" w:cs="Times New Roman"/>
          <w:sz w:val="24"/>
          <w:szCs w:val="24"/>
        </w:rPr>
        <w:t xml:space="preserve">. </w:t>
      </w:r>
    </w:p>
    <w:p w:rsidR="00CF63D4" w:rsidRDefault="00CF63D4" w:rsidP="0045721C">
      <w:pPr>
        <w:tabs>
          <w:tab w:val="left" w:pos="540"/>
        </w:tabs>
        <w:spacing w:after="0" w:line="240" w:lineRule="auto"/>
        <w:jc w:val="both"/>
        <w:rPr>
          <w:rFonts w:ascii="Times New Roman" w:hAnsi="Times New Roman" w:cs="Times New Roman"/>
          <w:sz w:val="24"/>
          <w:szCs w:val="24"/>
        </w:rPr>
      </w:pPr>
    </w:p>
    <w:p w:rsidR="000F02AE" w:rsidRDefault="000F02AE" w:rsidP="000F02AE">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Kategória 600 - </w:t>
      </w:r>
      <w:r w:rsidRPr="00236195">
        <w:rPr>
          <w:rFonts w:ascii="Times New Roman" w:hAnsi="Times New Roman" w:cs="Times New Roman"/>
          <w:b/>
          <w:bCs/>
          <w:sz w:val="24"/>
          <w:szCs w:val="24"/>
        </w:rPr>
        <w:t xml:space="preserve">Bežné výdavky </w:t>
      </w:r>
    </w:p>
    <w:p w:rsidR="000F02AE" w:rsidRPr="00236195" w:rsidRDefault="000F02AE" w:rsidP="000F02AE">
      <w:pPr>
        <w:spacing w:after="0" w:line="240" w:lineRule="auto"/>
        <w:jc w:val="both"/>
        <w:rPr>
          <w:rFonts w:ascii="Times New Roman" w:hAnsi="Times New Roman" w:cs="Times New Roman"/>
          <w:b/>
          <w:bCs/>
          <w:sz w:val="24"/>
          <w:szCs w:val="24"/>
        </w:rPr>
      </w:pPr>
    </w:p>
    <w:p w:rsidR="000F02AE" w:rsidRDefault="000F02AE" w:rsidP="00822E32">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DB410C">
        <w:rPr>
          <w:rFonts w:ascii="Times New Roman" w:hAnsi="Times New Roman" w:cs="Times New Roman"/>
          <w:bCs/>
          <w:sz w:val="24"/>
          <w:szCs w:val="24"/>
        </w:rPr>
        <w:t>Upravený</w:t>
      </w:r>
      <w:r w:rsidRPr="00DB410C">
        <w:rPr>
          <w:rFonts w:ascii="Times New Roman" w:hAnsi="Times New Roman" w:cs="Times New Roman"/>
          <w:sz w:val="24"/>
          <w:szCs w:val="24"/>
        </w:rPr>
        <w:t xml:space="preserve"> rozpočet </w:t>
      </w:r>
      <w:r>
        <w:rPr>
          <w:rFonts w:ascii="Times New Roman" w:hAnsi="Times New Roman" w:cs="Times New Roman"/>
          <w:sz w:val="24"/>
          <w:szCs w:val="24"/>
        </w:rPr>
        <w:t xml:space="preserve">bežných výdavkov </w:t>
      </w:r>
      <w:r w:rsidRPr="00DB410C">
        <w:rPr>
          <w:rFonts w:ascii="Times New Roman" w:hAnsi="Times New Roman" w:cs="Times New Roman"/>
          <w:sz w:val="24"/>
          <w:szCs w:val="24"/>
        </w:rPr>
        <w:t>bol v</w:t>
      </w:r>
      <w:r w:rsidR="00CE2CB9">
        <w:rPr>
          <w:rFonts w:ascii="Times New Roman" w:hAnsi="Times New Roman" w:cs="Times New Roman"/>
          <w:sz w:val="24"/>
          <w:szCs w:val="24"/>
        </w:rPr>
        <w:t xml:space="preserve"> sume</w:t>
      </w:r>
      <w:r w:rsidRPr="00DB410C">
        <w:rPr>
          <w:rFonts w:ascii="Times New Roman" w:hAnsi="Times New Roman" w:cs="Times New Roman"/>
          <w:sz w:val="24"/>
          <w:szCs w:val="24"/>
        </w:rPr>
        <w:t xml:space="preserve"> </w:t>
      </w:r>
      <w:r w:rsidR="00B5779A">
        <w:rPr>
          <w:rFonts w:ascii="Times New Roman" w:hAnsi="Times New Roman" w:cs="Times New Roman"/>
          <w:sz w:val="24"/>
          <w:szCs w:val="24"/>
          <w:lang w:eastAsia="sk-SK"/>
        </w:rPr>
        <w:t>112 670 170,47 e</w:t>
      </w:r>
      <w:r w:rsidRPr="00DB410C">
        <w:rPr>
          <w:rFonts w:ascii="Times New Roman" w:hAnsi="Times New Roman" w:cs="Times New Roman"/>
          <w:sz w:val="24"/>
          <w:szCs w:val="24"/>
        </w:rPr>
        <w:t>ur</w:t>
      </w:r>
      <w:r w:rsidR="001A2511">
        <w:rPr>
          <w:rFonts w:ascii="Times New Roman" w:hAnsi="Times New Roman" w:cs="Times New Roman"/>
          <w:sz w:val="24"/>
          <w:szCs w:val="24"/>
        </w:rPr>
        <w:t>.</w:t>
      </w:r>
      <w:r w:rsidRPr="00DB410C">
        <w:rPr>
          <w:rFonts w:ascii="Times New Roman" w:hAnsi="Times New Roman" w:cs="Times New Roman"/>
          <w:sz w:val="24"/>
          <w:szCs w:val="24"/>
        </w:rPr>
        <w:t xml:space="preserve">  Finančné prostriedky</w:t>
      </w:r>
      <w:r>
        <w:rPr>
          <w:rFonts w:ascii="Times New Roman" w:hAnsi="Times New Roman" w:cs="Times New Roman"/>
          <w:sz w:val="24"/>
          <w:szCs w:val="24"/>
        </w:rPr>
        <w:t xml:space="preserve"> vrátane mimorozpočtov</w:t>
      </w:r>
      <w:r w:rsidR="008527A0">
        <w:rPr>
          <w:rFonts w:ascii="Times New Roman" w:hAnsi="Times New Roman" w:cs="Times New Roman"/>
          <w:sz w:val="24"/>
          <w:szCs w:val="24"/>
        </w:rPr>
        <w:t>ého</w:t>
      </w:r>
      <w:r>
        <w:rPr>
          <w:rFonts w:ascii="Times New Roman" w:hAnsi="Times New Roman" w:cs="Times New Roman"/>
          <w:sz w:val="24"/>
          <w:szCs w:val="24"/>
        </w:rPr>
        <w:t xml:space="preserve"> zdroj</w:t>
      </w:r>
      <w:r w:rsidR="008527A0">
        <w:rPr>
          <w:rFonts w:ascii="Times New Roman" w:hAnsi="Times New Roman" w:cs="Times New Roman"/>
          <w:sz w:val="24"/>
          <w:szCs w:val="24"/>
        </w:rPr>
        <w:t>a</w:t>
      </w:r>
      <w:r>
        <w:rPr>
          <w:rFonts w:ascii="Times New Roman" w:hAnsi="Times New Roman" w:cs="Times New Roman"/>
          <w:sz w:val="24"/>
          <w:szCs w:val="24"/>
        </w:rPr>
        <w:t xml:space="preserve"> </w:t>
      </w:r>
      <w:r w:rsidR="00D950AA">
        <w:rPr>
          <w:rFonts w:ascii="Times New Roman" w:hAnsi="Times New Roman" w:cs="Times New Roman"/>
          <w:sz w:val="24"/>
          <w:szCs w:val="24"/>
        </w:rPr>
        <w:t>boli čerpané</w:t>
      </w:r>
      <w:r w:rsidRPr="00DB410C">
        <w:rPr>
          <w:rFonts w:ascii="Times New Roman" w:hAnsi="Times New Roman" w:cs="Times New Roman"/>
          <w:sz w:val="24"/>
          <w:szCs w:val="24"/>
        </w:rPr>
        <w:t xml:space="preserve"> </w:t>
      </w:r>
      <w:r w:rsidR="008527A0" w:rsidRPr="00DB410C">
        <w:rPr>
          <w:rFonts w:ascii="Times New Roman" w:hAnsi="Times New Roman" w:cs="Times New Roman"/>
          <w:sz w:val="24"/>
          <w:szCs w:val="24"/>
        </w:rPr>
        <w:t>v</w:t>
      </w:r>
      <w:r w:rsidR="008527A0">
        <w:rPr>
          <w:rFonts w:ascii="Times New Roman" w:hAnsi="Times New Roman" w:cs="Times New Roman"/>
          <w:sz w:val="24"/>
          <w:szCs w:val="24"/>
        </w:rPr>
        <w:t xml:space="preserve"> sume</w:t>
      </w:r>
      <w:r w:rsidR="008527A0" w:rsidRPr="00DB410C">
        <w:rPr>
          <w:rFonts w:ascii="Times New Roman" w:hAnsi="Times New Roman" w:cs="Times New Roman"/>
          <w:sz w:val="24"/>
          <w:szCs w:val="24"/>
        </w:rPr>
        <w:t xml:space="preserve"> </w:t>
      </w:r>
      <w:r w:rsidR="008527A0">
        <w:rPr>
          <w:rFonts w:ascii="Times New Roman" w:hAnsi="Times New Roman" w:cs="Times New Roman"/>
          <w:sz w:val="24"/>
          <w:szCs w:val="24"/>
        </w:rPr>
        <w:t>232 612 568,34</w:t>
      </w:r>
      <w:r w:rsidR="00B5779A">
        <w:rPr>
          <w:rFonts w:ascii="Times New Roman" w:hAnsi="Times New Roman" w:cs="Times New Roman"/>
          <w:sz w:val="24"/>
          <w:szCs w:val="24"/>
        </w:rPr>
        <w:t xml:space="preserve"> e</w:t>
      </w:r>
      <w:r w:rsidRPr="00DB410C">
        <w:rPr>
          <w:rFonts w:ascii="Times New Roman" w:hAnsi="Times New Roman" w:cs="Times New Roman"/>
          <w:sz w:val="24"/>
          <w:szCs w:val="24"/>
        </w:rPr>
        <w:t>ur, čo je 9</w:t>
      </w:r>
      <w:r>
        <w:rPr>
          <w:rFonts w:ascii="Times New Roman" w:hAnsi="Times New Roman" w:cs="Times New Roman"/>
          <w:sz w:val="24"/>
          <w:szCs w:val="24"/>
        </w:rPr>
        <w:t>9,</w:t>
      </w:r>
      <w:r w:rsidR="00B5779A">
        <w:rPr>
          <w:rFonts w:ascii="Times New Roman" w:hAnsi="Times New Roman" w:cs="Times New Roman"/>
          <w:sz w:val="24"/>
          <w:szCs w:val="24"/>
        </w:rPr>
        <w:t>9</w:t>
      </w:r>
      <w:r w:rsidR="00F74DF8">
        <w:rPr>
          <w:rFonts w:ascii="Times New Roman" w:hAnsi="Times New Roman" w:cs="Times New Roman"/>
          <w:sz w:val="24"/>
          <w:szCs w:val="24"/>
        </w:rPr>
        <w:t>7</w:t>
      </w:r>
      <w:r w:rsidRPr="00DB410C">
        <w:rPr>
          <w:rFonts w:ascii="Times New Roman" w:hAnsi="Times New Roman" w:cs="Times New Roman"/>
          <w:sz w:val="24"/>
          <w:szCs w:val="24"/>
        </w:rPr>
        <w:t xml:space="preserve"> % </w:t>
      </w:r>
      <w:r w:rsidR="00B5779A">
        <w:rPr>
          <w:rFonts w:ascii="Times New Roman" w:hAnsi="Times New Roman" w:cs="Times New Roman"/>
          <w:sz w:val="24"/>
          <w:szCs w:val="24"/>
        </w:rPr>
        <w:t>z upraveného rozpočtu</w:t>
      </w:r>
      <w:r w:rsidR="00F74DF8">
        <w:rPr>
          <w:rFonts w:ascii="Times New Roman" w:hAnsi="Times New Roman" w:cs="Times New Roman"/>
          <w:sz w:val="24"/>
          <w:szCs w:val="24"/>
        </w:rPr>
        <w:t xml:space="preserve"> k 31.12.2015</w:t>
      </w:r>
      <w:r w:rsidRPr="00DB410C">
        <w:rPr>
          <w:rFonts w:ascii="Times New Roman" w:hAnsi="Times New Roman" w:cs="Times New Roman"/>
          <w:sz w:val="24"/>
          <w:szCs w:val="24"/>
        </w:rPr>
        <w:t>.</w:t>
      </w:r>
    </w:p>
    <w:p w:rsidR="000F02AE" w:rsidRDefault="000F02AE" w:rsidP="000F02AE">
      <w:pPr>
        <w:spacing w:after="0" w:line="240" w:lineRule="auto"/>
        <w:ind w:firstLine="539"/>
        <w:jc w:val="both"/>
        <w:rPr>
          <w:rFonts w:ascii="Times New Roman" w:hAnsi="Times New Roman" w:cs="Times New Roman"/>
          <w:sz w:val="24"/>
          <w:szCs w:val="24"/>
        </w:rPr>
      </w:pPr>
    </w:p>
    <w:p w:rsidR="000F02AE" w:rsidRPr="00940157" w:rsidRDefault="000F02AE" w:rsidP="00822E32">
      <w:pPr>
        <w:spacing w:after="0" w:line="240" w:lineRule="auto"/>
        <w:ind w:firstLine="709"/>
        <w:jc w:val="both"/>
        <w:rPr>
          <w:rFonts w:ascii="Times New Roman" w:hAnsi="Times New Roman" w:cs="Times New Roman"/>
          <w:sz w:val="24"/>
          <w:szCs w:val="24"/>
        </w:rPr>
      </w:pPr>
      <w:r w:rsidRPr="00DB410C">
        <w:rPr>
          <w:rFonts w:ascii="Times New Roman" w:hAnsi="Times New Roman" w:cs="Times New Roman"/>
          <w:sz w:val="24"/>
          <w:szCs w:val="24"/>
        </w:rPr>
        <w:t xml:space="preserve"> Čerpanie bežných výdavkov</w:t>
      </w:r>
      <w:r>
        <w:rPr>
          <w:rFonts w:ascii="Times New Roman" w:hAnsi="Times New Roman" w:cs="Times New Roman"/>
          <w:sz w:val="24"/>
          <w:szCs w:val="24"/>
        </w:rPr>
        <w:t xml:space="preserve"> vrátane mimorozpočtov</w:t>
      </w:r>
      <w:r w:rsidR="00822E32">
        <w:rPr>
          <w:rFonts w:ascii="Times New Roman" w:hAnsi="Times New Roman" w:cs="Times New Roman"/>
          <w:sz w:val="24"/>
          <w:szCs w:val="24"/>
        </w:rPr>
        <w:t xml:space="preserve">ého </w:t>
      </w:r>
      <w:r>
        <w:rPr>
          <w:rFonts w:ascii="Times New Roman" w:hAnsi="Times New Roman" w:cs="Times New Roman"/>
          <w:sz w:val="24"/>
          <w:szCs w:val="24"/>
        </w:rPr>
        <w:t>zdroj</w:t>
      </w:r>
      <w:r w:rsidR="00822E32">
        <w:rPr>
          <w:rFonts w:ascii="Times New Roman" w:hAnsi="Times New Roman" w:cs="Times New Roman"/>
          <w:sz w:val="24"/>
          <w:szCs w:val="24"/>
        </w:rPr>
        <w:t>a 72c</w:t>
      </w:r>
      <w:r w:rsidRPr="00DB410C">
        <w:rPr>
          <w:rFonts w:ascii="Times New Roman" w:hAnsi="Times New Roman" w:cs="Times New Roman"/>
          <w:sz w:val="24"/>
          <w:szCs w:val="24"/>
        </w:rPr>
        <w:t xml:space="preserve"> v jednotlivých </w:t>
      </w:r>
      <w:r>
        <w:rPr>
          <w:rFonts w:ascii="Times New Roman" w:hAnsi="Times New Roman" w:cs="Times New Roman"/>
          <w:sz w:val="24"/>
          <w:szCs w:val="24"/>
        </w:rPr>
        <w:t>ekonomických kategóriách je nasledovné:</w:t>
      </w:r>
    </w:p>
    <w:p w:rsidR="000F02AE" w:rsidRPr="00E91F66" w:rsidRDefault="000F02AE" w:rsidP="00E91F66">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color w:val="00FF00"/>
          <w:sz w:val="24"/>
          <w:szCs w:val="24"/>
        </w:rPr>
        <w:tab/>
      </w:r>
      <w:r w:rsidRPr="00E91F66">
        <w:rPr>
          <w:rFonts w:ascii="Times New Roman" w:hAnsi="Times New Roman" w:cs="Times New Roman"/>
          <w:sz w:val="24"/>
          <w:szCs w:val="24"/>
        </w:rPr>
        <w:t xml:space="preserve">v </w:t>
      </w:r>
      <w:r w:rsidR="00B5779A" w:rsidRPr="00E91F66">
        <w:rPr>
          <w:rFonts w:ascii="Times New Roman" w:hAnsi="Times New Roman" w:cs="Times New Roman"/>
          <w:sz w:val="24"/>
          <w:szCs w:val="24"/>
        </w:rPr>
        <w:t>e</w:t>
      </w:r>
      <w:r w:rsidRPr="00E91F66">
        <w:rPr>
          <w:rFonts w:ascii="Times New Roman" w:hAnsi="Times New Roman" w:cs="Times New Roman"/>
          <w:sz w:val="24"/>
          <w:szCs w:val="24"/>
        </w:rPr>
        <w:t>ur</w:t>
      </w:r>
      <w:r w:rsidR="00F74DF8">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701"/>
        <w:gridCol w:w="1701"/>
        <w:gridCol w:w="1701"/>
        <w:gridCol w:w="1417"/>
      </w:tblGrid>
      <w:tr w:rsidR="000F02AE" w:rsidRPr="00920EB1" w:rsidTr="00CA0195">
        <w:trPr>
          <w:trHeight w:val="866"/>
        </w:trPr>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0F02AE" w:rsidRPr="00920EB1" w:rsidRDefault="009601AC"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w:t>
            </w:r>
            <w:r w:rsidR="000F02AE" w:rsidRPr="00920EB1">
              <w:rPr>
                <w:rFonts w:ascii="Times New Roman" w:eastAsia="Times New Roman" w:hAnsi="Times New Roman" w:cs="Times New Roman"/>
                <w:b/>
              </w:rPr>
              <w:t>lasifikácia</w:t>
            </w:r>
          </w:p>
        </w:tc>
        <w:tc>
          <w:tcPr>
            <w:tcW w:w="1701" w:type="dxa"/>
            <w:shd w:val="clear" w:color="auto" w:fill="auto"/>
          </w:tcPr>
          <w:p w:rsidR="000F02AE" w:rsidRPr="00920EB1" w:rsidRDefault="000F02AE"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0F02AE" w:rsidRPr="00920EB1" w:rsidRDefault="00B5779A" w:rsidP="000F58CC">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w:t>
            </w:r>
            <w:r w:rsidR="000F02AE" w:rsidRPr="00920EB1">
              <w:rPr>
                <w:rFonts w:ascii="Times New Roman" w:eastAsia="Times New Roman" w:hAnsi="Times New Roman" w:cs="Times New Roman"/>
                <w:b/>
              </w:rPr>
              <w:t>ozpočet</w:t>
            </w:r>
            <w:r w:rsidRPr="00920EB1">
              <w:rPr>
                <w:rFonts w:ascii="Times New Roman" w:eastAsia="Times New Roman" w:hAnsi="Times New Roman" w:cs="Times New Roman"/>
                <w:b/>
              </w:rPr>
              <w:t xml:space="preserve"> </w:t>
            </w:r>
            <w:r w:rsidR="000F58CC" w:rsidRPr="00920EB1">
              <w:rPr>
                <w:rFonts w:ascii="Times New Roman" w:eastAsia="Times New Roman" w:hAnsi="Times New Roman" w:cs="Times New Roman"/>
                <w:b/>
              </w:rPr>
              <w:t>k 1.1.2015</w:t>
            </w:r>
          </w:p>
        </w:tc>
        <w:tc>
          <w:tcPr>
            <w:tcW w:w="1701" w:type="dxa"/>
            <w:shd w:val="clear" w:color="auto" w:fill="auto"/>
          </w:tcPr>
          <w:p w:rsidR="000F02AE" w:rsidRPr="00920EB1" w:rsidRDefault="000F02AE"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0F02AE" w:rsidRPr="00920EB1" w:rsidRDefault="00B5779A" w:rsidP="000F58CC">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rozpočet </w:t>
            </w:r>
            <w:r w:rsidR="000F58CC" w:rsidRPr="00920EB1">
              <w:rPr>
                <w:rFonts w:ascii="Times New Roman" w:eastAsia="Times New Roman" w:hAnsi="Times New Roman" w:cs="Times New Roman"/>
                <w:b/>
              </w:rPr>
              <w:t>k 31.12.2015</w:t>
            </w:r>
          </w:p>
        </w:tc>
        <w:tc>
          <w:tcPr>
            <w:tcW w:w="1701" w:type="dxa"/>
            <w:shd w:val="clear" w:color="auto" w:fill="auto"/>
          </w:tcPr>
          <w:p w:rsidR="000F02AE" w:rsidRPr="00920EB1" w:rsidRDefault="000F02AE"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0F02AE" w:rsidRPr="00920EB1" w:rsidRDefault="000F02AE" w:rsidP="000F58CC">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0F58CC" w:rsidRPr="00920EB1">
              <w:rPr>
                <w:rFonts w:ascii="Times New Roman" w:eastAsia="Times New Roman" w:hAnsi="Times New Roman" w:cs="Times New Roman"/>
                <w:b/>
              </w:rPr>
              <w:t>5</w:t>
            </w:r>
          </w:p>
        </w:tc>
        <w:tc>
          <w:tcPr>
            <w:tcW w:w="1417" w:type="dxa"/>
            <w:shd w:val="clear" w:color="auto" w:fill="auto"/>
          </w:tcPr>
          <w:p w:rsidR="000F02AE" w:rsidRPr="00920EB1" w:rsidRDefault="0045655F"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 čerpania k </w:t>
            </w:r>
            <w:r w:rsidR="000F02AE" w:rsidRPr="00920EB1">
              <w:rPr>
                <w:rFonts w:ascii="Times New Roman" w:eastAsia="Times New Roman" w:hAnsi="Times New Roman" w:cs="Times New Roman"/>
                <w:b/>
              </w:rPr>
              <w:t>uprav. rozpočtu</w:t>
            </w:r>
          </w:p>
        </w:tc>
      </w:tr>
      <w:tr w:rsidR="000F02AE" w:rsidRPr="00920EB1" w:rsidTr="00CA0195">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610</w:t>
            </w:r>
            <w:r w:rsidR="00D55E44" w:rsidRPr="00920EB1">
              <w:rPr>
                <w:rFonts w:ascii="Times New Roman" w:eastAsia="Times New Roman" w:hAnsi="Times New Roman" w:cs="Times New Roman"/>
                <w:b/>
              </w:rPr>
              <w:t xml:space="preserve"> - mzdy, platy, služobné príjmy a</w:t>
            </w:r>
            <w:r w:rsidR="000F58CC" w:rsidRPr="00920EB1">
              <w:rPr>
                <w:rFonts w:ascii="Times New Roman" w:eastAsia="Times New Roman" w:hAnsi="Times New Roman" w:cs="Times New Roman"/>
                <w:b/>
              </w:rPr>
              <w:t> </w:t>
            </w:r>
            <w:proofErr w:type="spellStart"/>
            <w:r w:rsidR="00D55E44" w:rsidRPr="00920EB1">
              <w:rPr>
                <w:rFonts w:ascii="Times New Roman" w:eastAsia="Times New Roman" w:hAnsi="Times New Roman" w:cs="Times New Roman"/>
                <w:b/>
              </w:rPr>
              <w:t>OOV</w:t>
            </w:r>
            <w:proofErr w:type="spellEnd"/>
          </w:p>
          <w:p w:rsidR="00203A91" w:rsidRPr="00920EB1" w:rsidRDefault="00201E43"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v</w:t>
            </w:r>
            <w:r w:rsidR="000F58CC" w:rsidRPr="00920EB1">
              <w:rPr>
                <w:rFonts w:ascii="Times New Roman" w:eastAsia="Times New Roman" w:hAnsi="Times New Roman" w:cs="Times New Roman"/>
              </w:rPr>
              <w:t xml:space="preserve"> tom: </w:t>
            </w:r>
          </w:p>
          <w:p w:rsidR="000F58CC" w:rsidRPr="00920EB1" w:rsidRDefault="00203A91"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w:t>
            </w:r>
            <w:r w:rsidR="000F58CC" w:rsidRPr="00920EB1">
              <w:rPr>
                <w:rFonts w:ascii="Times New Roman" w:eastAsia="Times New Roman" w:hAnsi="Times New Roman" w:cs="Times New Roman"/>
              </w:rPr>
              <w:t>zdroj 111</w:t>
            </w:r>
          </w:p>
          <w:p w:rsidR="000F58CC" w:rsidRPr="00920EB1" w:rsidRDefault="000F58CC"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13S1</w:t>
            </w:r>
          </w:p>
          <w:p w:rsidR="000F58CC" w:rsidRPr="00920EB1" w:rsidRDefault="000F58CC" w:rsidP="000F58CC">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13S2</w:t>
            </w:r>
          </w:p>
        </w:tc>
        <w:tc>
          <w:tcPr>
            <w:tcW w:w="1701" w:type="dxa"/>
            <w:shd w:val="clear" w:color="auto" w:fill="auto"/>
          </w:tcPr>
          <w:p w:rsidR="00B5779A" w:rsidRPr="00920EB1" w:rsidRDefault="00B5779A" w:rsidP="00D31BF6">
            <w:pPr>
              <w:autoSpaceDE w:val="0"/>
              <w:autoSpaceDN w:val="0"/>
              <w:adjustRightInd w:val="0"/>
              <w:spacing w:after="0" w:line="240" w:lineRule="auto"/>
              <w:jc w:val="right"/>
              <w:rPr>
                <w:rFonts w:ascii="Times New Roman" w:hAnsi="Times New Roman" w:cs="Times New Roman"/>
                <w:lang w:eastAsia="sk-SK"/>
              </w:rPr>
            </w:pPr>
          </w:p>
          <w:p w:rsidR="00D31BF6" w:rsidRPr="00920EB1" w:rsidRDefault="00D31BF6" w:rsidP="00D31BF6">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8 622 641,00</w:t>
            </w:r>
          </w:p>
          <w:p w:rsidR="00203A91" w:rsidRPr="00920EB1" w:rsidRDefault="00203A91" w:rsidP="00D31BF6">
            <w:pPr>
              <w:autoSpaceDE w:val="0"/>
              <w:autoSpaceDN w:val="0"/>
              <w:adjustRightInd w:val="0"/>
              <w:spacing w:after="0" w:line="240" w:lineRule="auto"/>
              <w:jc w:val="right"/>
              <w:rPr>
                <w:rFonts w:ascii="Times New Roman" w:hAnsi="Times New Roman" w:cs="Times New Roman"/>
                <w:lang w:eastAsia="sk-SK"/>
              </w:rPr>
            </w:pPr>
          </w:p>
          <w:p w:rsidR="00D31BF6" w:rsidRPr="00920EB1" w:rsidRDefault="00D31BF6" w:rsidP="00D31BF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8 622 641,00</w:t>
            </w:r>
          </w:p>
          <w:p w:rsidR="000F02AE" w:rsidRPr="00920EB1" w:rsidRDefault="00D31BF6" w:rsidP="00D31BF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D31BF6" w:rsidRPr="00920EB1" w:rsidRDefault="00D31BF6" w:rsidP="00D31BF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701" w:type="dxa"/>
            <w:shd w:val="clear" w:color="auto" w:fill="auto"/>
          </w:tcPr>
          <w:p w:rsidR="00B5779A" w:rsidRPr="00920EB1" w:rsidRDefault="00B5779A" w:rsidP="007D759E">
            <w:pPr>
              <w:autoSpaceDE w:val="0"/>
              <w:autoSpaceDN w:val="0"/>
              <w:adjustRightInd w:val="0"/>
              <w:spacing w:after="0" w:line="240" w:lineRule="auto"/>
              <w:jc w:val="right"/>
              <w:rPr>
                <w:rFonts w:ascii="Times New Roman" w:hAnsi="Times New Roman" w:cs="Times New Roman"/>
                <w:lang w:eastAsia="sk-SK"/>
              </w:rPr>
            </w:pPr>
          </w:p>
          <w:p w:rsidR="007D759E" w:rsidRPr="00920EB1" w:rsidRDefault="007D759E" w:rsidP="007D759E">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11 767 263,77</w:t>
            </w: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9 453 295,00</w:t>
            </w: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1 966 873,45</w:t>
            </w: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347 095,32</w:t>
            </w:r>
          </w:p>
        </w:tc>
        <w:tc>
          <w:tcPr>
            <w:tcW w:w="1701" w:type="dxa"/>
            <w:shd w:val="clear" w:color="auto" w:fill="auto"/>
          </w:tcPr>
          <w:p w:rsidR="00B5779A" w:rsidRPr="00920EB1" w:rsidRDefault="00B5779A" w:rsidP="007D759E">
            <w:pPr>
              <w:autoSpaceDE w:val="0"/>
              <w:autoSpaceDN w:val="0"/>
              <w:adjustRightInd w:val="0"/>
              <w:spacing w:after="0" w:line="240" w:lineRule="auto"/>
              <w:jc w:val="right"/>
              <w:rPr>
                <w:rFonts w:ascii="Times New Roman" w:hAnsi="Times New Roman" w:cs="Times New Roman"/>
                <w:lang w:eastAsia="sk-SK"/>
              </w:rPr>
            </w:pPr>
          </w:p>
          <w:p w:rsidR="007D759E" w:rsidRPr="00920EB1" w:rsidRDefault="007D759E" w:rsidP="007D759E">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11 763 125,87</w:t>
            </w: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9 449 157,10</w:t>
            </w: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1 966 873,45</w:t>
            </w:r>
          </w:p>
          <w:p w:rsidR="007D759E" w:rsidRPr="00920EB1" w:rsidRDefault="007D759E" w:rsidP="007D759E">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347 095,32</w:t>
            </w:r>
          </w:p>
        </w:tc>
        <w:tc>
          <w:tcPr>
            <w:tcW w:w="1417" w:type="dxa"/>
            <w:shd w:val="clear" w:color="auto" w:fill="auto"/>
          </w:tcPr>
          <w:p w:rsidR="00B5779A" w:rsidRPr="00920EB1" w:rsidRDefault="00B5779A" w:rsidP="00E91F66">
            <w:pPr>
              <w:spacing w:after="0" w:line="240" w:lineRule="auto"/>
              <w:jc w:val="center"/>
              <w:rPr>
                <w:rFonts w:ascii="Times New Roman" w:eastAsia="Times New Roman" w:hAnsi="Times New Roman" w:cs="Times New Roman"/>
              </w:rPr>
            </w:pPr>
          </w:p>
          <w:p w:rsidR="007D759E" w:rsidRPr="00920EB1" w:rsidRDefault="007D759E" w:rsidP="007D759E">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rPr>
              <w:t xml:space="preserve">  </w:t>
            </w:r>
            <w:r w:rsidRPr="00920EB1">
              <w:rPr>
                <w:rFonts w:ascii="Times New Roman" w:eastAsia="Times New Roman" w:hAnsi="Times New Roman" w:cs="Times New Roman"/>
                <w:b/>
              </w:rPr>
              <w:t>99,97</w:t>
            </w:r>
          </w:p>
          <w:p w:rsidR="007D759E" w:rsidRPr="00920EB1" w:rsidRDefault="007D759E" w:rsidP="007D759E">
            <w:pPr>
              <w:spacing w:after="0" w:line="240" w:lineRule="auto"/>
              <w:jc w:val="center"/>
              <w:rPr>
                <w:rFonts w:ascii="Times New Roman" w:eastAsia="Times New Roman" w:hAnsi="Times New Roman" w:cs="Times New Roman"/>
              </w:rPr>
            </w:pPr>
          </w:p>
          <w:p w:rsidR="007D759E" w:rsidRPr="00920EB1" w:rsidRDefault="007D759E" w:rsidP="007D759E">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99,96</w:t>
            </w:r>
          </w:p>
          <w:p w:rsidR="007D759E" w:rsidRPr="00920EB1" w:rsidRDefault="007D759E" w:rsidP="007D759E">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7D759E" w:rsidRPr="00920EB1" w:rsidRDefault="007D759E" w:rsidP="007D759E">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tc>
      </w:tr>
      <w:tr w:rsidR="000F02AE" w:rsidRPr="00920EB1" w:rsidTr="00CA0195">
        <w:trPr>
          <w:trHeight w:val="1711"/>
        </w:trPr>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620</w:t>
            </w:r>
            <w:r w:rsidR="00D55E44" w:rsidRPr="00920EB1">
              <w:rPr>
                <w:rFonts w:ascii="Times New Roman" w:eastAsia="Times New Roman" w:hAnsi="Times New Roman" w:cs="Times New Roman"/>
                <w:b/>
              </w:rPr>
              <w:t xml:space="preserve"> - poistné a príspevok do poisťovní</w:t>
            </w:r>
          </w:p>
          <w:p w:rsidR="00203A91" w:rsidRPr="00920EB1" w:rsidRDefault="00201E43" w:rsidP="00D31BF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v</w:t>
            </w:r>
            <w:r w:rsidR="00D31BF6" w:rsidRPr="00920EB1">
              <w:rPr>
                <w:rFonts w:ascii="Times New Roman" w:eastAsia="Times New Roman" w:hAnsi="Times New Roman" w:cs="Times New Roman"/>
              </w:rPr>
              <w:t xml:space="preserve"> tom:</w:t>
            </w:r>
          </w:p>
          <w:p w:rsidR="00D31BF6" w:rsidRPr="00920EB1" w:rsidRDefault="00203A91" w:rsidP="00D31BF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w:t>
            </w:r>
            <w:r w:rsidR="00D31BF6" w:rsidRPr="00920EB1">
              <w:rPr>
                <w:rFonts w:ascii="Times New Roman" w:eastAsia="Times New Roman" w:hAnsi="Times New Roman" w:cs="Times New Roman"/>
              </w:rPr>
              <w:t xml:space="preserve"> zdroj 111</w:t>
            </w:r>
          </w:p>
          <w:p w:rsidR="00D31BF6" w:rsidRPr="00920EB1" w:rsidRDefault="00D31BF6" w:rsidP="00D31BF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13S1</w:t>
            </w:r>
          </w:p>
          <w:p w:rsidR="00A7252B" w:rsidRPr="00920EB1" w:rsidRDefault="00D31BF6" w:rsidP="00D31BF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13S2</w:t>
            </w:r>
          </w:p>
          <w:p w:rsidR="00A7252B" w:rsidRPr="00920EB1" w:rsidRDefault="00A7252B" w:rsidP="00D31BF6">
            <w:pPr>
              <w:spacing w:after="0" w:line="240" w:lineRule="auto"/>
              <w:jc w:val="both"/>
              <w:rPr>
                <w:rFonts w:ascii="Times New Roman" w:eastAsia="Times New Roman" w:hAnsi="Times New Roman" w:cs="Times New Roman"/>
              </w:rPr>
            </w:pPr>
          </w:p>
        </w:tc>
        <w:tc>
          <w:tcPr>
            <w:tcW w:w="1701" w:type="dxa"/>
            <w:shd w:val="clear" w:color="auto" w:fill="auto"/>
          </w:tcPr>
          <w:p w:rsidR="00D31BF6" w:rsidRPr="00920EB1" w:rsidRDefault="00D31BF6" w:rsidP="00D31BF6">
            <w:pPr>
              <w:autoSpaceDE w:val="0"/>
              <w:autoSpaceDN w:val="0"/>
              <w:adjustRightInd w:val="0"/>
              <w:spacing w:after="0" w:line="240" w:lineRule="auto"/>
              <w:jc w:val="right"/>
              <w:rPr>
                <w:rFonts w:ascii="Times New Roman" w:hAnsi="Times New Roman" w:cs="Times New Roman"/>
                <w:lang w:eastAsia="sk-SK"/>
              </w:rPr>
            </w:pPr>
          </w:p>
          <w:p w:rsidR="000F02AE" w:rsidRPr="00920EB1" w:rsidRDefault="00D31BF6" w:rsidP="00D31BF6">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3 090 577,00</w:t>
            </w:r>
          </w:p>
          <w:p w:rsidR="0096383B" w:rsidRPr="00920EB1" w:rsidRDefault="0096383B" w:rsidP="0096383B">
            <w:pPr>
              <w:autoSpaceDE w:val="0"/>
              <w:autoSpaceDN w:val="0"/>
              <w:adjustRightInd w:val="0"/>
              <w:spacing w:after="0" w:line="240" w:lineRule="auto"/>
              <w:rPr>
                <w:rFonts w:ascii="Times New Roman" w:hAnsi="Times New Roman" w:cs="Times New Roman"/>
                <w:lang w:eastAsia="sk-SK"/>
              </w:rPr>
            </w:pPr>
          </w:p>
          <w:p w:rsidR="00D31BF6" w:rsidRPr="00920EB1" w:rsidRDefault="00D31BF6" w:rsidP="00D31BF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3 090 577,00</w:t>
            </w:r>
          </w:p>
          <w:p w:rsidR="00D31BF6" w:rsidRPr="00920EB1" w:rsidRDefault="00D31BF6" w:rsidP="00D31BF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96383B" w:rsidRPr="00920EB1" w:rsidRDefault="00D31BF6" w:rsidP="0096383B">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701" w:type="dxa"/>
            <w:shd w:val="clear" w:color="auto" w:fill="auto"/>
          </w:tcPr>
          <w:p w:rsidR="00B5779A" w:rsidRPr="00920EB1" w:rsidRDefault="00B5779A" w:rsidP="00920EB1">
            <w:pPr>
              <w:autoSpaceDE w:val="0"/>
              <w:autoSpaceDN w:val="0"/>
              <w:adjustRightInd w:val="0"/>
              <w:spacing w:after="0" w:line="240" w:lineRule="auto"/>
              <w:jc w:val="right"/>
              <w:rPr>
                <w:rFonts w:ascii="Times New Roman" w:hAnsi="Times New Roman" w:cs="Times New Roman"/>
                <w:lang w:eastAsia="sk-SK"/>
              </w:rPr>
            </w:pPr>
          </w:p>
          <w:p w:rsidR="0096383B" w:rsidRPr="00920EB1" w:rsidRDefault="0096383B" w:rsidP="00920EB1">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4 342 506,78</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3 595 442,89</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635 004,20</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112 059,69</w:t>
            </w:r>
          </w:p>
        </w:tc>
        <w:tc>
          <w:tcPr>
            <w:tcW w:w="1701" w:type="dxa"/>
            <w:shd w:val="clear" w:color="auto" w:fill="auto"/>
          </w:tcPr>
          <w:p w:rsidR="00B5779A" w:rsidRPr="00920EB1" w:rsidRDefault="00B5779A" w:rsidP="00920EB1">
            <w:pPr>
              <w:autoSpaceDE w:val="0"/>
              <w:autoSpaceDN w:val="0"/>
              <w:adjustRightInd w:val="0"/>
              <w:spacing w:after="0" w:line="240" w:lineRule="auto"/>
              <w:jc w:val="right"/>
              <w:rPr>
                <w:rFonts w:ascii="Times New Roman" w:hAnsi="Times New Roman" w:cs="Times New Roman"/>
                <w:lang w:eastAsia="sk-SK"/>
              </w:rPr>
            </w:pPr>
          </w:p>
          <w:p w:rsidR="0096383B" w:rsidRPr="00920EB1" w:rsidRDefault="0096383B" w:rsidP="00920EB1">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4 336 754,71</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3 589 690,82</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635 004,20</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112 059,69</w:t>
            </w:r>
          </w:p>
          <w:p w:rsidR="0096383B" w:rsidRPr="00920EB1" w:rsidRDefault="0096383B" w:rsidP="00920EB1">
            <w:pPr>
              <w:autoSpaceDE w:val="0"/>
              <w:autoSpaceDN w:val="0"/>
              <w:adjustRightInd w:val="0"/>
              <w:spacing w:after="0" w:line="240" w:lineRule="auto"/>
              <w:jc w:val="right"/>
              <w:rPr>
                <w:rFonts w:ascii="Times New Roman" w:hAnsi="Times New Roman" w:cs="Times New Roman"/>
                <w:lang w:eastAsia="sk-SK"/>
              </w:rPr>
            </w:pPr>
          </w:p>
        </w:tc>
        <w:tc>
          <w:tcPr>
            <w:tcW w:w="1417" w:type="dxa"/>
            <w:shd w:val="clear" w:color="auto" w:fill="auto"/>
          </w:tcPr>
          <w:p w:rsidR="00B5779A" w:rsidRPr="00920EB1" w:rsidRDefault="00B5779A" w:rsidP="00E91F66">
            <w:pPr>
              <w:spacing w:after="0" w:line="240" w:lineRule="auto"/>
              <w:jc w:val="center"/>
              <w:rPr>
                <w:rFonts w:ascii="Times New Roman" w:eastAsia="Times New Roman" w:hAnsi="Times New Roman" w:cs="Times New Roman"/>
              </w:rPr>
            </w:pPr>
          </w:p>
          <w:p w:rsidR="0096383B" w:rsidRPr="00920EB1" w:rsidRDefault="00920EB1" w:rsidP="00920EB1">
            <w:pPr>
              <w:autoSpaceDE w:val="0"/>
              <w:autoSpaceDN w:val="0"/>
              <w:adjustRightInd w:val="0"/>
              <w:spacing w:after="0" w:line="240" w:lineRule="auto"/>
              <w:jc w:val="center"/>
              <w:rPr>
                <w:rFonts w:ascii="Times New Roman" w:hAnsi="Times New Roman" w:cs="Times New Roman"/>
                <w:b/>
                <w:lang w:eastAsia="sk-SK"/>
              </w:rPr>
            </w:pPr>
            <w:r>
              <w:rPr>
                <w:rFonts w:ascii="Times New Roman" w:hAnsi="Times New Roman" w:cs="Times New Roman"/>
                <w:b/>
                <w:lang w:eastAsia="sk-SK"/>
              </w:rPr>
              <w:t xml:space="preserve"> </w:t>
            </w:r>
            <w:r w:rsidR="0096383B" w:rsidRPr="00920EB1">
              <w:rPr>
                <w:rFonts w:ascii="Times New Roman" w:hAnsi="Times New Roman" w:cs="Times New Roman"/>
                <w:b/>
                <w:lang w:eastAsia="sk-SK"/>
              </w:rPr>
              <w:t>99,87</w:t>
            </w:r>
          </w:p>
          <w:p w:rsidR="0096383B" w:rsidRPr="00920EB1" w:rsidRDefault="0096383B" w:rsidP="00E91F66">
            <w:pPr>
              <w:spacing w:after="0" w:line="240" w:lineRule="auto"/>
              <w:jc w:val="center"/>
              <w:rPr>
                <w:rFonts w:ascii="Times New Roman" w:eastAsia="Times New Roman" w:hAnsi="Times New Roman" w:cs="Times New Roman"/>
              </w:rPr>
            </w:pPr>
          </w:p>
          <w:p w:rsidR="0096383B" w:rsidRPr="00920EB1" w:rsidRDefault="0096383B"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99,85</w:t>
            </w:r>
          </w:p>
          <w:p w:rsidR="0096383B" w:rsidRPr="00920EB1" w:rsidRDefault="0096383B"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96383B" w:rsidRPr="00920EB1" w:rsidRDefault="0096383B" w:rsidP="0096383B">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96383B" w:rsidRPr="00920EB1" w:rsidRDefault="0096383B" w:rsidP="0096383B">
            <w:pPr>
              <w:spacing w:after="0" w:line="240" w:lineRule="auto"/>
              <w:jc w:val="center"/>
              <w:rPr>
                <w:rFonts w:ascii="Times New Roman" w:eastAsia="Times New Roman" w:hAnsi="Times New Roman" w:cs="Times New Roman"/>
              </w:rPr>
            </w:pPr>
          </w:p>
        </w:tc>
      </w:tr>
      <w:tr w:rsidR="000F02AE" w:rsidRPr="00920EB1" w:rsidTr="00CA0195">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630</w:t>
            </w:r>
            <w:r w:rsidR="00D55E44" w:rsidRPr="00920EB1">
              <w:rPr>
                <w:rFonts w:ascii="Times New Roman" w:eastAsia="Times New Roman" w:hAnsi="Times New Roman" w:cs="Times New Roman"/>
                <w:b/>
              </w:rPr>
              <w:t xml:space="preserve"> – tovary a</w:t>
            </w:r>
            <w:r w:rsidR="00203A91" w:rsidRPr="00920EB1">
              <w:rPr>
                <w:rFonts w:ascii="Times New Roman" w:eastAsia="Times New Roman" w:hAnsi="Times New Roman" w:cs="Times New Roman"/>
                <w:b/>
              </w:rPr>
              <w:t> </w:t>
            </w:r>
            <w:r w:rsidR="00D55E44" w:rsidRPr="00920EB1">
              <w:rPr>
                <w:rFonts w:ascii="Times New Roman" w:eastAsia="Times New Roman" w:hAnsi="Times New Roman" w:cs="Times New Roman"/>
                <w:b/>
              </w:rPr>
              <w:t>služby</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v tom: </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111</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11S1</w:t>
            </w:r>
          </w:p>
          <w:p w:rsidR="005C4F24" w:rsidRPr="00920EB1" w:rsidRDefault="005C4F24" w:rsidP="005C4F24">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11U1</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1AA1</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11S2</w:t>
            </w:r>
          </w:p>
          <w:p w:rsidR="00B9072F" w:rsidRPr="00920EB1" w:rsidRDefault="008527A0" w:rsidP="008527A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B9072F" w:rsidRPr="00920EB1">
              <w:rPr>
                <w:rFonts w:ascii="Times New Roman" w:eastAsia="Times New Roman" w:hAnsi="Times New Roman" w:cs="Times New Roman"/>
              </w:rPr>
              <w:t>zdroj 11S3</w:t>
            </w:r>
          </w:p>
          <w:p w:rsidR="00B9072F" w:rsidRPr="00920EB1" w:rsidRDefault="008527A0" w:rsidP="008527A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B9072F" w:rsidRPr="00920EB1">
              <w:rPr>
                <w:rFonts w:ascii="Times New Roman" w:eastAsia="Times New Roman" w:hAnsi="Times New Roman" w:cs="Times New Roman"/>
              </w:rPr>
              <w:t>zdroj 11U2</w:t>
            </w:r>
          </w:p>
          <w:p w:rsidR="00B9072F"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1AA2</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131E</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13S1</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13S2</w:t>
            </w:r>
          </w:p>
          <w:p w:rsidR="00203A9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13S3</w:t>
            </w:r>
          </w:p>
          <w:p w:rsidR="008527A0" w:rsidRPr="00920EB1" w:rsidRDefault="008527A0" w:rsidP="00203A91">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zdroj 72c</w:t>
            </w:r>
          </w:p>
        </w:tc>
        <w:tc>
          <w:tcPr>
            <w:tcW w:w="1701" w:type="dxa"/>
            <w:shd w:val="clear" w:color="auto" w:fill="auto"/>
          </w:tcPr>
          <w:p w:rsidR="000F02AE" w:rsidRPr="00920EB1" w:rsidRDefault="00203A91" w:rsidP="00B9072F">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22 575 504,00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8 357 020,00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10 393 917,00</w:t>
            </w:r>
          </w:p>
          <w:p w:rsidR="005C4F24"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1 656 718,00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1 839 364,00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328 485,00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3A91" w:rsidRPr="00920EB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3A91" w:rsidRDefault="00203A91"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8527A0" w:rsidRPr="00920EB1" w:rsidRDefault="008527A0" w:rsidP="00B9072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5C4F24" w:rsidRPr="00920EB1" w:rsidRDefault="005C4F24" w:rsidP="00B9072F">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12 138 945,46</w:t>
            </w:r>
          </w:p>
          <w:p w:rsidR="000F02AE" w:rsidRPr="00920EB1" w:rsidRDefault="000F02AE" w:rsidP="00B9072F">
            <w:pPr>
              <w:autoSpaceDE w:val="0"/>
              <w:autoSpaceDN w:val="0"/>
              <w:adjustRightInd w:val="0"/>
              <w:spacing w:after="0" w:line="240" w:lineRule="auto"/>
              <w:jc w:val="right"/>
              <w:rPr>
                <w:rFonts w:ascii="Times New Roman" w:hAnsi="Times New Roman" w:cs="Times New Roman"/>
                <w:lang w:eastAsia="sk-SK"/>
              </w:rPr>
            </w:pPr>
          </w:p>
          <w:p w:rsidR="005C4F24" w:rsidRPr="00920EB1" w:rsidRDefault="005C4F24"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9 473 575,14</w:t>
            </w:r>
          </w:p>
          <w:p w:rsidR="005C4F24" w:rsidRPr="00920EB1" w:rsidRDefault="005C4F24"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60 283,09</w:t>
            </w:r>
          </w:p>
          <w:p w:rsidR="005C4F24" w:rsidRPr="00920EB1" w:rsidRDefault="005C4F24"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7 607,50</w:t>
            </w:r>
          </w:p>
          <w:p w:rsidR="005C4F24"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10 638,05</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9 125,23</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1 342,50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1 828 843,80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622 334,86</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109 823,84</w:t>
            </w:r>
          </w:p>
          <w:p w:rsidR="00B9072F"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15 371,45</w:t>
            </w:r>
          </w:p>
          <w:p w:rsidR="008527A0" w:rsidRPr="00920EB1" w:rsidRDefault="008527A0" w:rsidP="00B9072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5C4F24" w:rsidRPr="00920EB1" w:rsidRDefault="00F67388" w:rsidP="00C3514B">
            <w:pPr>
              <w:autoSpaceDE w:val="0"/>
              <w:autoSpaceDN w:val="0"/>
              <w:adjustRightInd w:val="0"/>
              <w:spacing w:after="0" w:line="240" w:lineRule="auto"/>
              <w:jc w:val="right"/>
              <w:rPr>
                <w:rFonts w:ascii="Times New Roman" w:eastAsia="Times New Roman" w:hAnsi="Times New Roman" w:cs="Times New Roman"/>
              </w:rPr>
            </w:pPr>
            <w:r w:rsidRPr="00920EB1">
              <w:rPr>
                <w:rFonts w:ascii="Times New Roman" w:hAnsi="Times New Roman" w:cs="Times New Roman"/>
                <w:b/>
                <w:lang w:eastAsia="sk-SK"/>
              </w:rPr>
              <w:t>12 0</w:t>
            </w:r>
            <w:r w:rsidR="00C3514B">
              <w:rPr>
                <w:rFonts w:ascii="Times New Roman" w:hAnsi="Times New Roman" w:cs="Times New Roman"/>
                <w:b/>
                <w:lang w:eastAsia="sk-SK"/>
              </w:rPr>
              <w:t>30 120,43</w:t>
            </w:r>
          </w:p>
          <w:p w:rsidR="00CA0195" w:rsidRDefault="00CA0195" w:rsidP="00B9072F">
            <w:pPr>
              <w:autoSpaceDE w:val="0"/>
              <w:autoSpaceDN w:val="0"/>
              <w:adjustRightInd w:val="0"/>
              <w:spacing w:after="0" w:line="240" w:lineRule="auto"/>
              <w:jc w:val="right"/>
              <w:rPr>
                <w:rFonts w:ascii="Times New Roman" w:hAnsi="Times New Roman" w:cs="Times New Roman"/>
                <w:lang w:eastAsia="sk-SK"/>
              </w:rPr>
            </w:pPr>
          </w:p>
          <w:p w:rsidR="005C4F24"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9 364 299,48</w:t>
            </w:r>
          </w:p>
          <w:p w:rsidR="005C4F24"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60 283,09</w:t>
            </w:r>
          </w:p>
          <w:p w:rsidR="005C4F24" w:rsidRPr="00920EB1" w:rsidRDefault="005C4F24"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7 607,50</w:t>
            </w:r>
          </w:p>
          <w:p w:rsidR="005C4F24" w:rsidRPr="00920EB1" w:rsidRDefault="00B9072F" w:rsidP="00B9072F">
            <w:pPr>
              <w:spacing w:after="0" w:line="240" w:lineRule="auto"/>
              <w:jc w:val="right"/>
              <w:rPr>
                <w:rFonts w:ascii="Times New Roman" w:eastAsia="Times New Roman" w:hAnsi="Times New Roman" w:cs="Times New Roman"/>
              </w:rPr>
            </w:pPr>
            <w:r w:rsidRPr="00920EB1">
              <w:rPr>
                <w:rFonts w:ascii="Times New Roman" w:eastAsia="Times New Roman" w:hAnsi="Times New Roman" w:cs="Times New Roman"/>
              </w:rPr>
              <w:t>0,00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10 638,05</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9 125,23</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1 342,50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1 828 781,53</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622 334,86</w:t>
            </w:r>
          </w:p>
          <w:p w:rsidR="00B9072F" w:rsidRPr="00920EB1"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109 823,84</w:t>
            </w:r>
          </w:p>
          <w:p w:rsidR="00B9072F" w:rsidRDefault="00B9072F" w:rsidP="00B9072F">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15 371,45</w:t>
            </w:r>
          </w:p>
          <w:p w:rsidR="008527A0" w:rsidRPr="00920EB1" w:rsidRDefault="008527A0" w:rsidP="00B9072F">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512,90</w:t>
            </w:r>
          </w:p>
        </w:tc>
        <w:tc>
          <w:tcPr>
            <w:tcW w:w="1417" w:type="dxa"/>
            <w:shd w:val="clear" w:color="auto" w:fill="auto"/>
          </w:tcPr>
          <w:p w:rsidR="000F02AE" w:rsidRPr="00920EB1" w:rsidRDefault="00F67388"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rPr>
              <w:t xml:space="preserve">  </w:t>
            </w:r>
            <w:r w:rsidR="00B9072F" w:rsidRPr="00920EB1">
              <w:rPr>
                <w:rFonts w:ascii="Times New Roman" w:eastAsia="Times New Roman" w:hAnsi="Times New Roman" w:cs="Times New Roman"/>
                <w:b/>
              </w:rPr>
              <w:t>99,10</w:t>
            </w:r>
          </w:p>
          <w:p w:rsidR="00B9072F" w:rsidRPr="00920EB1" w:rsidRDefault="00B9072F" w:rsidP="00E91F66">
            <w:pPr>
              <w:spacing w:after="0" w:line="240" w:lineRule="auto"/>
              <w:jc w:val="center"/>
              <w:rPr>
                <w:rFonts w:ascii="Times New Roman" w:eastAsia="Times New Roman" w:hAnsi="Times New Roman" w:cs="Times New Roman"/>
              </w:rPr>
            </w:pPr>
          </w:p>
          <w:p w:rsidR="00B9072F" w:rsidRPr="00920EB1" w:rsidRDefault="00F67388"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B9072F" w:rsidRPr="00920EB1">
              <w:rPr>
                <w:rFonts w:ascii="Times New Roman" w:eastAsia="Times New Roman" w:hAnsi="Times New Roman" w:cs="Times New Roman"/>
              </w:rPr>
              <w:t>98,85</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Pr="00920EB1" w:rsidRDefault="00F67388"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B9072F" w:rsidRPr="00920EB1">
              <w:rPr>
                <w:rFonts w:ascii="Times New Roman" w:eastAsia="Times New Roman" w:hAnsi="Times New Roman" w:cs="Times New Roman"/>
              </w:rPr>
              <w:t>0,00</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Pr="00920EB1" w:rsidRDefault="00F67388"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B9072F" w:rsidRPr="00920EB1">
              <w:rPr>
                <w:rFonts w:ascii="Times New Roman" w:eastAsia="Times New Roman" w:hAnsi="Times New Roman" w:cs="Times New Roman"/>
              </w:rPr>
              <w:t>0,00</w:t>
            </w:r>
          </w:p>
          <w:p w:rsidR="00B9072F" w:rsidRPr="00920EB1" w:rsidRDefault="001A77A8"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99,99</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Pr="00920EB1"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B9072F" w:rsidRDefault="00B9072F"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8527A0" w:rsidRPr="00920EB1" w:rsidRDefault="008527A0" w:rsidP="00E91F6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r>
      <w:tr w:rsidR="000F02AE" w:rsidRPr="00920EB1" w:rsidTr="00CA0195">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640</w:t>
            </w:r>
            <w:r w:rsidR="00D55E44" w:rsidRPr="00920EB1">
              <w:rPr>
                <w:rFonts w:ascii="Times New Roman" w:eastAsia="Times New Roman" w:hAnsi="Times New Roman" w:cs="Times New Roman"/>
                <w:b/>
              </w:rPr>
              <w:t xml:space="preserve"> </w:t>
            </w:r>
            <w:r w:rsidR="00203A91" w:rsidRPr="00920EB1">
              <w:rPr>
                <w:rFonts w:ascii="Times New Roman" w:eastAsia="Times New Roman" w:hAnsi="Times New Roman" w:cs="Times New Roman"/>
                <w:b/>
              </w:rPr>
              <w:t>–</w:t>
            </w:r>
            <w:r w:rsidR="00D55E44" w:rsidRPr="00920EB1">
              <w:rPr>
                <w:rFonts w:ascii="Times New Roman" w:eastAsia="Times New Roman" w:hAnsi="Times New Roman" w:cs="Times New Roman"/>
                <w:b/>
              </w:rPr>
              <w:t xml:space="preserve"> transfery</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v tom: </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111</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11B5</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w:t>
            </w:r>
            <w:r w:rsidR="008B1840" w:rsidRPr="00920EB1">
              <w:rPr>
                <w:rFonts w:ascii="Times New Roman" w:eastAsia="Times New Roman" w:hAnsi="Times New Roman" w:cs="Times New Roman"/>
              </w:rPr>
              <w:t>J2</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131E</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13S1</w:t>
            </w:r>
          </w:p>
          <w:p w:rsidR="00203A91" w:rsidRPr="00920EB1" w:rsidRDefault="00203A91" w:rsidP="00203A91">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13S2</w:t>
            </w:r>
          </w:p>
        </w:tc>
        <w:tc>
          <w:tcPr>
            <w:tcW w:w="1701" w:type="dxa"/>
            <w:shd w:val="clear" w:color="auto" w:fill="auto"/>
          </w:tcPr>
          <w:p w:rsidR="00203A91" w:rsidRPr="00920EB1" w:rsidRDefault="00203A91" w:rsidP="00203A91">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83 766 533,00</w:t>
            </w:r>
          </w:p>
          <w:p w:rsidR="000F02AE" w:rsidRPr="00920EB1" w:rsidRDefault="000F02AE" w:rsidP="00E91F66">
            <w:pPr>
              <w:autoSpaceDE w:val="0"/>
              <w:autoSpaceDN w:val="0"/>
              <w:adjustRightInd w:val="0"/>
              <w:spacing w:after="0" w:line="240" w:lineRule="auto"/>
              <w:jc w:val="right"/>
              <w:rPr>
                <w:rFonts w:ascii="Times New Roman" w:hAnsi="Times New Roman" w:cs="Times New Roman"/>
                <w:lang w:eastAsia="sk-SK"/>
              </w:rPr>
            </w:pPr>
          </w:p>
          <w:p w:rsidR="008B1840" w:rsidRPr="00920EB1" w:rsidRDefault="008B1840" w:rsidP="00E91F6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83 639 058,00</w:t>
            </w:r>
          </w:p>
          <w:p w:rsidR="008B1840" w:rsidRPr="00920EB1" w:rsidRDefault="008B1840" w:rsidP="00E91F6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10 74,00</w:t>
            </w:r>
          </w:p>
          <w:p w:rsidR="008B1840" w:rsidRPr="00920EB1" w:rsidRDefault="008B1840" w:rsidP="00E91F6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117 401,00</w:t>
            </w:r>
          </w:p>
          <w:p w:rsidR="008B1840" w:rsidRPr="00920EB1" w:rsidRDefault="008B1840" w:rsidP="00E91F6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8B1840" w:rsidRPr="00920EB1" w:rsidRDefault="008B1840" w:rsidP="00E91F66">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8B1840" w:rsidRPr="00920EB1" w:rsidRDefault="008B1840" w:rsidP="008B1840">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701" w:type="dxa"/>
            <w:shd w:val="clear" w:color="auto" w:fill="auto"/>
          </w:tcPr>
          <w:p w:rsidR="00696013" w:rsidRPr="00920EB1" w:rsidRDefault="00696013" w:rsidP="00D25257">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204 503 131,45</w:t>
            </w:r>
          </w:p>
          <w:p w:rsidR="000F02AE" w:rsidRPr="00920EB1" w:rsidRDefault="000F02AE" w:rsidP="00D25257">
            <w:pPr>
              <w:autoSpaceDE w:val="0"/>
              <w:autoSpaceDN w:val="0"/>
              <w:adjustRightInd w:val="0"/>
              <w:spacing w:after="0" w:line="240" w:lineRule="auto"/>
              <w:jc w:val="right"/>
              <w:rPr>
                <w:rFonts w:ascii="Times New Roman" w:hAnsi="Times New Roman" w:cs="Times New Roman"/>
                <w:lang w:eastAsia="sk-SK"/>
              </w:rPr>
            </w:pP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79 201 309,50</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10 74,00</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117 401,00</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119 089,94</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106 296 698,59</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18 758 558,42</w:t>
            </w:r>
          </w:p>
        </w:tc>
        <w:tc>
          <w:tcPr>
            <w:tcW w:w="1701" w:type="dxa"/>
            <w:shd w:val="clear" w:color="auto" w:fill="auto"/>
          </w:tcPr>
          <w:p w:rsidR="00696013" w:rsidRPr="00920EB1" w:rsidRDefault="00696013" w:rsidP="00D25257">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204 482 567,33</w:t>
            </w:r>
          </w:p>
          <w:p w:rsidR="000F02AE" w:rsidRPr="00920EB1" w:rsidRDefault="000F02AE" w:rsidP="00D25257">
            <w:pPr>
              <w:autoSpaceDE w:val="0"/>
              <w:autoSpaceDN w:val="0"/>
              <w:adjustRightInd w:val="0"/>
              <w:spacing w:after="0" w:line="240" w:lineRule="auto"/>
              <w:jc w:val="right"/>
              <w:rPr>
                <w:rFonts w:ascii="Times New Roman" w:hAnsi="Times New Roman" w:cs="Times New Roman"/>
                <w:lang w:eastAsia="sk-SK"/>
              </w:rPr>
            </w:pP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79 182 720,82</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10 71,00</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115 429,50</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119 089,94</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106 296 698,59</w:t>
            </w:r>
          </w:p>
          <w:p w:rsidR="00696013" w:rsidRPr="00920EB1" w:rsidRDefault="00696013" w:rsidP="00D2525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18 758 558,42</w:t>
            </w:r>
          </w:p>
        </w:tc>
        <w:tc>
          <w:tcPr>
            <w:tcW w:w="1417" w:type="dxa"/>
            <w:shd w:val="clear" w:color="auto" w:fill="auto"/>
          </w:tcPr>
          <w:p w:rsidR="000F02AE" w:rsidRPr="00920EB1" w:rsidRDefault="00D25257"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rPr>
              <w:t xml:space="preserve">  </w:t>
            </w:r>
            <w:r w:rsidR="00696013" w:rsidRPr="00920EB1">
              <w:rPr>
                <w:rFonts w:ascii="Times New Roman" w:eastAsia="Times New Roman" w:hAnsi="Times New Roman" w:cs="Times New Roman"/>
                <w:b/>
              </w:rPr>
              <w:t>99,99</w:t>
            </w:r>
          </w:p>
          <w:p w:rsidR="00696013" w:rsidRPr="00920EB1" w:rsidRDefault="00696013" w:rsidP="00E91F66">
            <w:pPr>
              <w:spacing w:after="0" w:line="240" w:lineRule="auto"/>
              <w:jc w:val="center"/>
              <w:rPr>
                <w:rFonts w:ascii="Times New Roman" w:eastAsia="Times New Roman" w:hAnsi="Times New Roman" w:cs="Times New Roman"/>
              </w:rPr>
            </w:pPr>
          </w:p>
          <w:p w:rsidR="00696013" w:rsidRPr="00920EB1" w:rsidRDefault="00D25257"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696013" w:rsidRPr="00920EB1">
              <w:rPr>
                <w:rFonts w:ascii="Times New Roman" w:eastAsia="Times New Roman" w:hAnsi="Times New Roman" w:cs="Times New Roman"/>
              </w:rPr>
              <w:t>99,98</w:t>
            </w:r>
          </w:p>
          <w:p w:rsidR="00696013" w:rsidRPr="00920EB1" w:rsidRDefault="00D25257"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696013" w:rsidRPr="00920EB1">
              <w:rPr>
                <w:rFonts w:ascii="Times New Roman" w:eastAsia="Times New Roman" w:hAnsi="Times New Roman" w:cs="Times New Roman"/>
              </w:rPr>
              <w:t>99,98</w:t>
            </w:r>
          </w:p>
          <w:p w:rsidR="00696013" w:rsidRPr="00920EB1" w:rsidRDefault="00D25257"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696013" w:rsidRPr="00920EB1">
              <w:rPr>
                <w:rFonts w:ascii="Times New Roman" w:eastAsia="Times New Roman" w:hAnsi="Times New Roman" w:cs="Times New Roman"/>
              </w:rPr>
              <w:t>98,33</w:t>
            </w:r>
          </w:p>
          <w:p w:rsidR="00696013" w:rsidRPr="00920EB1" w:rsidRDefault="00696013"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696013" w:rsidRPr="00920EB1" w:rsidRDefault="00696013"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696013" w:rsidRPr="00920EB1" w:rsidRDefault="00696013"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tc>
      </w:tr>
      <w:tr w:rsidR="000F02AE" w:rsidRPr="00920EB1" w:rsidTr="00CA0195">
        <w:tc>
          <w:tcPr>
            <w:tcW w:w="2552" w:type="dxa"/>
            <w:shd w:val="clear" w:color="auto" w:fill="auto"/>
          </w:tcPr>
          <w:p w:rsidR="000F02AE" w:rsidRPr="00920EB1" w:rsidRDefault="000F02AE"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Spolu 600</w:t>
            </w:r>
            <w:r w:rsidR="00D55E44" w:rsidRPr="00920EB1">
              <w:rPr>
                <w:rFonts w:ascii="Times New Roman" w:eastAsia="Times New Roman" w:hAnsi="Times New Roman" w:cs="Times New Roman"/>
                <w:b/>
              </w:rPr>
              <w:t xml:space="preserve"> - bežné výdavky</w:t>
            </w:r>
          </w:p>
          <w:p w:rsidR="00EE7A47" w:rsidRPr="00920EB1" w:rsidRDefault="00EE7A47"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v tom:</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111</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11S1</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11U1</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1AA1</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11S2</w:t>
            </w:r>
          </w:p>
          <w:p w:rsidR="00EE7A47" w:rsidRPr="00920EB1" w:rsidRDefault="0058469F" w:rsidP="0058469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EE7A47" w:rsidRPr="00920EB1">
              <w:rPr>
                <w:rFonts w:ascii="Times New Roman" w:eastAsia="Times New Roman" w:hAnsi="Times New Roman" w:cs="Times New Roman"/>
              </w:rPr>
              <w:t>zdroj 11S3</w:t>
            </w:r>
          </w:p>
          <w:p w:rsidR="00EE7A47" w:rsidRPr="00920EB1" w:rsidRDefault="00EE7A47" w:rsidP="00EE7A47">
            <w:pPr>
              <w:spacing w:after="0" w:line="240" w:lineRule="auto"/>
              <w:ind w:firstLine="743"/>
              <w:jc w:val="both"/>
              <w:rPr>
                <w:rFonts w:ascii="Times New Roman" w:eastAsia="Times New Roman" w:hAnsi="Times New Roman" w:cs="Times New Roman"/>
              </w:rPr>
            </w:pPr>
            <w:r w:rsidRPr="00920EB1">
              <w:rPr>
                <w:rFonts w:ascii="Times New Roman" w:eastAsia="Times New Roman" w:hAnsi="Times New Roman" w:cs="Times New Roman"/>
              </w:rPr>
              <w:t>zdroj 11U2</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1AA2</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11B5</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1AJ2</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131E</w:t>
            </w:r>
          </w:p>
          <w:p w:rsidR="00EE7A47" w:rsidRPr="00920EB1" w:rsidRDefault="00EE7A47" w:rsidP="00EE7A47">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13S1</w:t>
            </w:r>
          </w:p>
          <w:p w:rsidR="00EE7A47" w:rsidRPr="00920EB1" w:rsidRDefault="00EE7A47"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13S2</w:t>
            </w:r>
          </w:p>
          <w:p w:rsidR="002B56AA" w:rsidRDefault="002B56AA"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            zdroj 13S3</w:t>
            </w:r>
          </w:p>
          <w:p w:rsidR="00567D5A" w:rsidRPr="00920EB1" w:rsidRDefault="00567D5A" w:rsidP="00E91F66">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zdroj 72c</w:t>
            </w:r>
          </w:p>
        </w:tc>
        <w:tc>
          <w:tcPr>
            <w:tcW w:w="1701" w:type="dxa"/>
            <w:shd w:val="clear" w:color="auto" w:fill="auto"/>
          </w:tcPr>
          <w:p w:rsidR="00F6563B" w:rsidRPr="00920EB1" w:rsidRDefault="00F6563B" w:rsidP="002B56AA">
            <w:pPr>
              <w:autoSpaceDE w:val="0"/>
              <w:autoSpaceDN w:val="0"/>
              <w:adjustRightInd w:val="0"/>
              <w:spacing w:after="0" w:line="240" w:lineRule="auto"/>
              <w:jc w:val="right"/>
              <w:rPr>
                <w:rFonts w:ascii="Times New Roman" w:eastAsia="Times New Roman" w:hAnsi="Times New Roman" w:cs="Times New Roman"/>
                <w:b/>
                <w:lang w:eastAsia="sk-SK"/>
              </w:rPr>
            </w:pPr>
          </w:p>
          <w:p w:rsidR="000F02AE" w:rsidRPr="00920EB1" w:rsidRDefault="002E6DE9" w:rsidP="002B56AA">
            <w:pPr>
              <w:autoSpaceDE w:val="0"/>
              <w:autoSpaceDN w:val="0"/>
              <w:adjustRightInd w:val="0"/>
              <w:spacing w:after="0" w:line="240" w:lineRule="auto"/>
              <w:jc w:val="right"/>
              <w:rPr>
                <w:rFonts w:ascii="Times New Roman" w:eastAsia="Times New Roman" w:hAnsi="Times New Roman" w:cs="Times New Roman"/>
                <w:b/>
                <w:lang w:eastAsia="sk-SK"/>
              </w:rPr>
            </w:pPr>
            <w:r w:rsidRPr="00920EB1">
              <w:rPr>
                <w:rFonts w:ascii="Times New Roman" w:eastAsia="Times New Roman" w:hAnsi="Times New Roman" w:cs="Times New Roman"/>
                <w:b/>
                <w:lang w:eastAsia="sk-SK"/>
              </w:rPr>
              <w:t>1</w:t>
            </w:r>
            <w:r w:rsidR="004033A3" w:rsidRPr="00920EB1">
              <w:rPr>
                <w:rFonts w:ascii="Times New Roman" w:eastAsia="Times New Roman" w:hAnsi="Times New Roman" w:cs="Times New Roman"/>
                <w:b/>
                <w:lang w:eastAsia="sk-SK"/>
              </w:rPr>
              <w:t>18 055 255</w:t>
            </w:r>
            <w:r w:rsidRPr="00920EB1">
              <w:rPr>
                <w:rFonts w:ascii="Times New Roman" w:eastAsia="Times New Roman" w:hAnsi="Times New Roman" w:cs="Times New Roman"/>
                <w:b/>
                <w:lang w:eastAsia="sk-SK"/>
              </w:rPr>
              <w:t>,00</w:t>
            </w:r>
          </w:p>
          <w:p w:rsidR="00201473" w:rsidRPr="00920EB1" w:rsidRDefault="00201473" w:rsidP="002B56AA">
            <w:pPr>
              <w:autoSpaceDE w:val="0"/>
              <w:autoSpaceDN w:val="0"/>
              <w:adjustRightInd w:val="0"/>
              <w:spacing w:after="0" w:line="240" w:lineRule="auto"/>
              <w:jc w:val="right"/>
              <w:rPr>
                <w:rFonts w:ascii="Times New Roman" w:eastAsia="Times New Roman" w:hAnsi="Times New Roman" w:cs="Times New Roman"/>
                <w:b/>
                <w:lang w:eastAsia="sk-SK"/>
              </w:rPr>
            </w:pP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103 709 296,00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10 393 917,00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1 656 718,00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1 839 364,00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328 485,00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w:t>
            </w:r>
            <w:r w:rsidR="002B56AA" w:rsidRPr="00920EB1">
              <w:rPr>
                <w:rFonts w:ascii="Times New Roman" w:hAnsi="Times New Roman" w:cs="Times New Roman"/>
                <w:lang w:eastAsia="sk-SK"/>
              </w:rPr>
              <w:t xml:space="preserve"> 0</w:t>
            </w:r>
            <w:r w:rsidRPr="00920EB1">
              <w:rPr>
                <w:rFonts w:ascii="Times New Roman" w:hAnsi="Times New Roman" w:cs="Times New Roman"/>
                <w:lang w:eastAsia="sk-SK"/>
              </w:rPr>
              <w:t>74,00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117 401,00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567D5A" w:rsidRPr="00CA0195" w:rsidRDefault="00CA0195" w:rsidP="00CA0195">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701" w:type="dxa"/>
            <w:shd w:val="clear" w:color="auto" w:fill="auto"/>
          </w:tcPr>
          <w:p w:rsidR="00F6563B" w:rsidRPr="00920EB1" w:rsidRDefault="00F6563B" w:rsidP="002B56AA">
            <w:pPr>
              <w:spacing w:after="0" w:line="240" w:lineRule="auto"/>
              <w:jc w:val="right"/>
              <w:rPr>
                <w:rFonts w:ascii="Times New Roman" w:hAnsi="Times New Roman" w:cs="Times New Roman"/>
                <w:b/>
                <w:lang w:eastAsia="sk-SK"/>
              </w:rPr>
            </w:pPr>
          </w:p>
          <w:p w:rsidR="00750A98" w:rsidRPr="00920EB1" w:rsidRDefault="00750A98" w:rsidP="002B56AA">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232 751 847,46</w:t>
            </w:r>
          </w:p>
          <w:p w:rsidR="00201473" w:rsidRPr="00920EB1" w:rsidRDefault="00201473" w:rsidP="002B56AA">
            <w:pPr>
              <w:spacing w:after="0" w:line="240" w:lineRule="auto"/>
              <w:jc w:val="right"/>
              <w:rPr>
                <w:rFonts w:ascii="Times New Roman" w:hAnsi="Times New Roman" w:cs="Times New Roman"/>
                <w:b/>
                <w:lang w:eastAsia="sk-SK"/>
              </w:rPr>
            </w:pP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101 723 622,53</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60 283,09</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7 607,50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10 638,05</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9 125,23</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1 342,50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 xml:space="preserve">10 </w:t>
            </w:r>
            <w:r w:rsidR="002B56AA" w:rsidRPr="00920EB1">
              <w:rPr>
                <w:rFonts w:ascii="Times New Roman" w:hAnsi="Times New Roman" w:cs="Times New Roman"/>
                <w:lang w:eastAsia="sk-SK"/>
              </w:rPr>
              <w:t>0</w:t>
            </w:r>
            <w:r w:rsidRPr="00920EB1">
              <w:rPr>
                <w:rFonts w:ascii="Times New Roman" w:hAnsi="Times New Roman" w:cs="Times New Roman"/>
                <w:lang w:eastAsia="sk-SK"/>
              </w:rPr>
              <w:t>74,00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117 401,00</w:t>
            </w: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1 947 933,74</w:t>
            </w: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109 520 911,10</w:t>
            </w:r>
          </w:p>
          <w:p w:rsidR="00201473" w:rsidRPr="00920EB1" w:rsidRDefault="002B56AA" w:rsidP="002B56AA">
            <w:pPr>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19 327 537,27</w:t>
            </w:r>
          </w:p>
          <w:p w:rsidR="002B56AA" w:rsidRDefault="002B56AA" w:rsidP="002B56AA">
            <w:pPr>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15 371,45</w:t>
            </w:r>
          </w:p>
          <w:p w:rsidR="00567D5A" w:rsidRPr="00920EB1" w:rsidRDefault="00567D5A" w:rsidP="002B56AA">
            <w:pPr>
              <w:spacing w:after="0" w:line="240" w:lineRule="auto"/>
              <w:jc w:val="right"/>
              <w:rPr>
                <w:rFonts w:ascii="Times New Roman" w:hAnsi="Times New Roman" w:cs="Times New Roman"/>
                <w:b/>
                <w:lang w:eastAsia="sk-SK"/>
              </w:rPr>
            </w:pPr>
            <w:r>
              <w:rPr>
                <w:rFonts w:ascii="Times New Roman" w:hAnsi="Times New Roman" w:cs="Times New Roman"/>
                <w:lang w:eastAsia="sk-SK"/>
              </w:rPr>
              <w:t>0,00</w:t>
            </w:r>
          </w:p>
        </w:tc>
        <w:tc>
          <w:tcPr>
            <w:tcW w:w="1701" w:type="dxa"/>
            <w:shd w:val="clear" w:color="auto" w:fill="auto"/>
          </w:tcPr>
          <w:p w:rsidR="000F02AE" w:rsidRPr="00920EB1" w:rsidRDefault="000F02AE" w:rsidP="002B56AA">
            <w:pPr>
              <w:autoSpaceDE w:val="0"/>
              <w:autoSpaceDN w:val="0"/>
              <w:adjustRightInd w:val="0"/>
              <w:spacing w:after="0" w:line="240" w:lineRule="auto"/>
              <w:jc w:val="right"/>
              <w:rPr>
                <w:rFonts w:ascii="Times New Roman" w:hAnsi="Times New Roman" w:cs="Times New Roman"/>
                <w:b/>
                <w:lang w:eastAsia="sk-SK"/>
              </w:rPr>
            </w:pPr>
          </w:p>
          <w:p w:rsidR="00750A98" w:rsidRPr="00920EB1" w:rsidRDefault="00750A98" w:rsidP="002B56AA">
            <w:pPr>
              <w:autoSpaceDE w:val="0"/>
              <w:autoSpaceDN w:val="0"/>
              <w:adjustRightInd w:val="0"/>
              <w:spacing w:after="0" w:line="240" w:lineRule="auto"/>
              <w:jc w:val="right"/>
              <w:rPr>
                <w:rFonts w:ascii="Times New Roman" w:hAnsi="Times New Roman" w:cs="Times New Roman"/>
                <w:b/>
                <w:lang w:eastAsia="sk-SK"/>
              </w:rPr>
            </w:pPr>
            <w:r w:rsidRPr="00920EB1">
              <w:rPr>
                <w:rFonts w:ascii="Times New Roman" w:hAnsi="Times New Roman" w:cs="Times New Roman"/>
                <w:b/>
                <w:lang w:eastAsia="sk-SK"/>
              </w:rPr>
              <w:t xml:space="preserve">232 612 </w:t>
            </w:r>
            <w:r w:rsidR="006F7342">
              <w:rPr>
                <w:rFonts w:ascii="Times New Roman" w:hAnsi="Times New Roman" w:cs="Times New Roman"/>
                <w:b/>
                <w:lang w:eastAsia="sk-SK"/>
              </w:rPr>
              <w:t>568</w:t>
            </w:r>
            <w:r w:rsidRPr="00920EB1">
              <w:rPr>
                <w:rFonts w:ascii="Times New Roman" w:hAnsi="Times New Roman" w:cs="Times New Roman"/>
                <w:b/>
                <w:lang w:eastAsia="sk-SK"/>
              </w:rPr>
              <w:t>,</w:t>
            </w:r>
            <w:r w:rsidR="006F7342">
              <w:rPr>
                <w:rFonts w:ascii="Times New Roman" w:hAnsi="Times New Roman" w:cs="Times New Roman"/>
                <w:b/>
                <w:lang w:eastAsia="sk-SK"/>
              </w:rPr>
              <w:t>34</w:t>
            </w:r>
          </w:p>
          <w:p w:rsidR="00201473" w:rsidRPr="00920EB1" w:rsidRDefault="00201473" w:rsidP="002B56AA">
            <w:pPr>
              <w:autoSpaceDE w:val="0"/>
              <w:autoSpaceDN w:val="0"/>
              <w:adjustRightInd w:val="0"/>
              <w:spacing w:after="0" w:line="240" w:lineRule="auto"/>
              <w:jc w:val="right"/>
              <w:rPr>
                <w:rFonts w:ascii="Times New Roman" w:hAnsi="Times New Roman" w:cs="Times New Roman"/>
                <w:b/>
                <w:lang w:eastAsia="sk-SK"/>
              </w:rPr>
            </w:pP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101 585 868,22</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60 283,09</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7 607,50</w:t>
            </w:r>
          </w:p>
          <w:p w:rsidR="00201473" w:rsidRPr="00920EB1" w:rsidRDefault="00201473" w:rsidP="002B56AA">
            <w:pPr>
              <w:spacing w:after="0" w:line="240" w:lineRule="auto"/>
              <w:jc w:val="right"/>
              <w:rPr>
                <w:rFonts w:ascii="Times New Roman" w:eastAsia="Times New Roman" w:hAnsi="Times New Roman" w:cs="Times New Roman"/>
              </w:rPr>
            </w:pPr>
            <w:r w:rsidRPr="00920EB1">
              <w:rPr>
                <w:rFonts w:ascii="Times New Roman" w:eastAsia="Times New Roman" w:hAnsi="Times New Roman" w:cs="Times New Roman"/>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10 638,05</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9 125,23</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1 342,50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 xml:space="preserve">10 </w:t>
            </w:r>
            <w:r w:rsidR="002B56AA" w:rsidRPr="00920EB1">
              <w:rPr>
                <w:rFonts w:ascii="Times New Roman" w:hAnsi="Times New Roman" w:cs="Times New Roman"/>
                <w:lang w:eastAsia="sk-SK"/>
              </w:rPr>
              <w:t>0</w:t>
            </w:r>
            <w:r w:rsidRPr="00920EB1">
              <w:rPr>
                <w:rFonts w:ascii="Times New Roman" w:hAnsi="Times New Roman" w:cs="Times New Roman"/>
                <w:lang w:eastAsia="sk-SK"/>
              </w:rPr>
              <w:t>71,00</w:t>
            </w:r>
          </w:p>
          <w:p w:rsidR="00201473" w:rsidRPr="00920EB1" w:rsidRDefault="00201473"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115 429,50</w:t>
            </w: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1 947 870,53</w:t>
            </w:r>
          </w:p>
          <w:p w:rsidR="002B56AA"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109 520 911,10</w:t>
            </w:r>
          </w:p>
          <w:p w:rsidR="00201473" w:rsidRPr="00920EB1"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19 327 537,27</w:t>
            </w:r>
          </w:p>
          <w:p w:rsidR="002B56AA" w:rsidRDefault="002B56AA" w:rsidP="002B56AA">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15 371,45</w:t>
            </w:r>
          </w:p>
          <w:p w:rsidR="00567D5A" w:rsidRPr="00920EB1" w:rsidRDefault="00567D5A" w:rsidP="002B56AA">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lang w:eastAsia="sk-SK"/>
              </w:rPr>
              <w:t>512,90</w:t>
            </w:r>
          </w:p>
        </w:tc>
        <w:tc>
          <w:tcPr>
            <w:tcW w:w="1417" w:type="dxa"/>
            <w:shd w:val="clear" w:color="auto" w:fill="auto"/>
          </w:tcPr>
          <w:p w:rsidR="00F6563B" w:rsidRPr="00920EB1" w:rsidRDefault="00F6563B" w:rsidP="00E91F66">
            <w:pPr>
              <w:spacing w:after="0" w:line="240" w:lineRule="auto"/>
              <w:jc w:val="center"/>
              <w:rPr>
                <w:rFonts w:ascii="Times New Roman" w:eastAsia="Times New Roman" w:hAnsi="Times New Roman" w:cs="Times New Roman"/>
                <w:b/>
              </w:rPr>
            </w:pPr>
          </w:p>
          <w:p w:rsidR="002B56AA" w:rsidRPr="00920EB1" w:rsidRDefault="002B56AA"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  99,94</w:t>
            </w:r>
          </w:p>
          <w:p w:rsidR="002B56AA" w:rsidRPr="00920EB1" w:rsidRDefault="002B56AA" w:rsidP="00E91F66">
            <w:pPr>
              <w:spacing w:after="0" w:line="240" w:lineRule="auto"/>
              <w:jc w:val="center"/>
              <w:rPr>
                <w:rFonts w:ascii="Times New Roman" w:eastAsia="Times New Roman" w:hAnsi="Times New Roman" w:cs="Times New Roman"/>
                <w:b/>
              </w:rPr>
            </w:pP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99,87</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w:t>
            </w:r>
            <w:r w:rsidR="00567D5A">
              <w:rPr>
                <w:rFonts w:ascii="Times New Roman" w:eastAsia="Times New Roman" w:hAnsi="Times New Roman" w:cs="Times New Roman"/>
              </w:rPr>
              <w:t xml:space="preserve"> </w:t>
            </w:r>
            <w:r w:rsidRPr="00920EB1">
              <w:rPr>
                <w:rFonts w:ascii="Times New Roman" w:eastAsia="Times New Roman" w:hAnsi="Times New Roman" w:cs="Times New Roman"/>
              </w:rPr>
              <w:t>0,00</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99,98</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98,33</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 xml:space="preserve">  99,99</w:t>
            </w:r>
          </w:p>
          <w:p w:rsidR="002B56AA" w:rsidRPr="00920EB1"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Pr="00920EB1" w:rsidRDefault="002B56AA" w:rsidP="002B56A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2B56AA" w:rsidRDefault="002B56AA"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567D5A" w:rsidRPr="00920EB1" w:rsidRDefault="00567D5A" w:rsidP="00E91F6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r>
    </w:tbl>
    <w:p w:rsidR="000F02AE" w:rsidRPr="00E91F66" w:rsidRDefault="000F02AE" w:rsidP="00E91F66">
      <w:pPr>
        <w:spacing w:after="0" w:line="240" w:lineRule="auto"/>
        <w:jc w:val="both"/>
        <w:rPr>
          <w:rFonts w:ascii="Times New Roman" w:hAnsi="Times New Roman" w:cs="Times New Roman"/>
          <w:color w:val="00FF00"/>
          <w:sz w:val="24"/>
          <w:szCs w:val="24"/>
        </w:rPr>
      </w:pPr>
    </w:p>
    <w:p w:rsidR="000F02AE" w:rsidRPr="00E91F66" w:rsidRDefault="000F02AE" w:rsidP="00E91F66">
      <w:pPr>
        <w:spacing w:after="0" w:line="240" w:lineRule="auto"/>
        <w:jc w:val="both"/>
        <w:rPr>
          <w:rFonts w:ascii="Times New Roman" w:hAnsi="Times New Roman" w:cs="Times New Roman"/>
          <w:b/>
          <w:sz w:val="24"/>
          <w:szCs w:val="24"/>
        </w:rPr>
      </w:pPr>
      <w:r w:rsidRPr="00E91F66">
        <w:rPr>
          <w:rFonts w:ascii="Times New Roman" w:hAnsi="Times New Roman" w:cs="Times New Roman"/>
          <w:b/>
          <w:sz w:val="24"/>
          <w:szCs w:val="24"/>
        </w:rPr>
        <w:t xml:space="preserve">Kategória 610 – Mzdy, platy, služobné príjmy a ostatné osobné vyrovnania </w:t>
      </w:r>
    </w:p>
    <w:p w:rsidR="000F02AE" w:rsidRPr="00E91F66" w:rsidRDefault="000F02AE" w:rsidP="00E91F66">
      <w:pPr>
        <w:spacing w:after="0" w:line="240" w:lineRule="auto"/>
        <w:jc w:val="both"/>
        <w:rPr>
          <w:rFonts w:ascii="Times New Roman" w:hAnsi="Times New Roman" w:cs="Times New Roman"/>
          <w:b/>
          <w:sz w:val="24"/>
          <w:szCs w:val="24"/>
        </w:rPr>
      </w:pPr>
    </w:p>
    <w:p w:rsidR="000F02AE" w:rsidRPr="00E91F66" w:rsidRDefault="000F02AE" w:rsidP="001017F3">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E91F66">
        <w:rPr>
          <w:rFonts w:ascii="Times New Roman" w:hAnsi="Times New Roman" w:cs="Times New Roman"/>
          <w:sz w:val="24"/>
          <w:szCs w:val="24"/>
        </w:rPr>
        <w:t>Upravený rozpočet mzdových prostriedkov za rok 201</w:t>
      </w:r>
      <w:r w:rsidR="004033A3">
        <w:rPr>
          <w:rFonts w:ascii="Times New Roman" w:hAnsi="Times New Roman" w:cs="Times New Roman"/>
          <w:sz w:val="24"/>
          <w:szCs w:val="24"/>
        </w:rPr>
        <w:t>5</w:t>
      </w:r>
      <w:r w:rsidRPr="00E91F66">
        <w:rPr>
          <w:rFonts w:ascii="Times New Roman" w:hAnsi="Times New Roman" w:cs="Times New Roman"/>
          <w:sz w:val="24"/>
          <w:szCs w:val="24"/>
        </w:rPr>
        <w:t xml:space="preserve"> za všetky zdroje spolu bol </w:t>
      </w:r>
      <w:r w:rsidR="001017F3">
        <w:rPr>
          <w:rFonts w:ascii="Times New Roman" w:hAnsi="Times New Roman" w:cs="Times New Roman"/>
          <w:sz w:val="24"/>
          <w:szCs w:val="24"/>
        </w:rPr>
        <w:t>v sume</w:t>
      </w:r>
      <w:r w:rsidRPr="00E91F66">
        <w:rPr>
          <w:rFonts w:ascii="Times New Roman" w:hAnsi="Times New Roman" w:cs="Times New Roman"/>
          <w:sz w:val="24"/>
          <w:szCs w:val="24"/>
        </w:rPr>
        <w:t xml:space="preserve"> </w:t>
      </w:r>
      <w:r w:rsidR="001017F3">
        <w:rPr>
          <w:rFonts w:ascii="Times New Roman" w:hAnsi="Times New Roman" w:cs="Times New Roman"/>
          <w:sz w:val="24"/>
          <w:szCs w:val="24"/>
          <w:lang w:eastAsia="sk-SK"/>
        </w:rPr>
        <w:t xml:space="preserve">11 767 263,77 </w:t>
      </w:r>
      <w:r w:rsidR="001017F3" w:rsidRPr="00E91F66">
        <w:rPr>
          <w:rFonts w:ascii="Times New Roman" w:hAnsi="Times New Roman" w:cs="Times New Roman"/>
          <w:sz w:val="24"/>
          <w:szCs w:val="24"/>
        </w:rPr>
        <w:t>eur</w:t>
      </w:r>
      <w:r w:rsidR="001017F3">
        <w:rPr>
          <w:rFonts w:ascii="Times New Roman" w:hAnsi="Times New Roman" w:cs="Times New Roman"/>
          <w:sz w:val="24"/>
          <w:szCs w:val="24"/>
          <w:lang w:eastAsia="sk-SK"/>
        </w:rPr>
        <w:t xml:space="preserve"> </w:t>
      </w:r>
      <w:r w:rsidRPr="00E91F66">
        <w:rPr>
          <w:rFonts w:ascii="Times New Roman" w:hAnsi="Times New Roman" w:cs="Times New Roman"/>
          <w:sz w:val="24"/>
          <w:szCs w:val="24"/>
        </w:rPr>
        <w:t xml:space="preserve">a čerpanie rozpočtu bolo </w:t>
      </w:r>
      <w:r w:rsidR="001017F3">
        <w:rPr>
          <w:rFonts w:ascii="Times New Roman" w:hAnsi="Times New Roman" w:cs="Times New Roman"/>
          <w:sz w:val="24"/>
          <w:szCs w:val="24"/>
        </w:rPr>
        <w:t>v sume</w:t>
      </w:r>
      <w:r w:rsidRPr="00E91F66">
        <w:rPr>
          <w:rFonts w:ascii="Times New Roman" w:hAnsi="Times New Roman" w:cs="Times New Roman"/>
          <w:sz w:val="24"/>
          <w:szCs w:val="24"/>
        </w:rPr>
        <w:t xml:space="preserve"> </w:t>
      </w:r>
      <w:r w:rsidR="001017F3">
        <w:rPr>
          <w:rFonts w:ascii="Times New Roman" w:hAnsi="Times New Roman" w:cs="Times New Roman"/>
          <w:sz w:val="24"/>
          <w:szCs w:val="24"/>
          <w:lang w:eastAsia="sk-SK"/>
        </w:rPr>
        <w:t xml:space="preserve">11 763 125,87 </w:t>
      </w:r>
      <w:r w:rsidR="00AD2B3E" w:rsidRPr="00E91F66">
        <w:rPr>
          <w:rFonts w:ascii="Times New Roman" w:hAnsi="Times New Roman" w:cs="Times New Roman"/>
          <w:sz w:val="24"/>
          <w:szCs w:val="24"/>
        </w:rPr>
        <w:t>e</w:t>
      </w:r>
      <w:r w:rsidRPr="00E91F66">
        <w:rPr>
          <w:rFonts w:ascii="Times New Roman" w:hAnsi="Times New Roman" w:cs="Times New Roman"/>
          <w:sz w:val="24"/>
          <w:szCs w:val="24"/>
        </w:rPr>
        <w:t>ur, čo je plnenie na</w:t>
      </w:r>
      <w:r w:rsidR="001017F3">
        <w:rPr>
          <w:rFonts w:ascii="Times New Roman" w:hAnsi="Times New Roman" w:cs="Times New Roman"/>
          <w:sz w:val="24"/>
          <w:szCs w:val="24"/>
        </w:rPr>
        <w:t xml:space="preserve"> 99,97 </w:t>
      </w:r>
      <w:r w:rsidR="003E1151" w:rsidRPr="00E91F66">
        <w:rPr>
          <w:rFonts w:ascii="Times New Roman" w:hAnsi="Times New Roman" w:cs="Times New Roman"/>
          <w:sz w:val="24"/>
          <w:szCs w:val="24"/>
        </w:rPr>
        <w:t xml:space="preserve"> </w:t>
      </w:r>
      <w:r w:rsidRPr="00E91F66">
        <w:rPr>
          <w:rFonts w:ascii="Times New Roman" w:hAnsi="Times New Roman" w:cs="Times New Roman"/>
          <w:sz w:val="24"/>
          <w:szCs w:val="24"/>
        </w:rPr>
        <w:t>% k upravenému rozpočtu</w:t>
      </w:r>
      <w:r w:rsidR="001017F3">
        <w:rPr>
          <w:rFonts w:ascii="Times New Roman" w:hAnsi="Times New Roman" w:cs="Times New Roman"/>
          <w:sz w:val="24"/>
          <w:szCs w:val="24"/>
        </w:rPr>
        <w:t xml:space="preserve"> k 31.12.2015</w:t>
      </w:r>
      <w:r w:rsidRPr="00E91F66">
        <w:rPr>
          <w:rFonts w:ascii="Times New Roman" w:hAnsi="Times New Roman" w:cs="Times New Roman"/>
          <w:sz w:val="24"/>
          <w:szCs w:val="24"/>
        </w:rPr>
        <w:t xml:space="preserve">. </w:t>
      </w:r>
    </w:p>
    <w:p w:rsidR="00AD2B3E" w:rsidRPr="00E91F66" w:rsidRDefault="00AD2B3E" w:rsidP="00E91F66">
      <w:pPr>
        <w:spacing w:after="0" w:line="240" w:lineRule="auto"/>
        <w:ind w:right="26" w:firstLine="540"/>
        <w:jc w:val="both"/>
        <w:rPr>
          <w:rFonts w:ascii="Times New Roman" w:hAnsi="Times New Roman" w:cs="Times New Roman"/>
          <w:sz w:val="24"/>
          <w:szCs w:val="24"/>
        </w:rPr>
      </w:pPr>
    </w:p>
    <w:p w:rsidR="00AD2B3E" w:rsidRPr="00E91F66" w:rsidRDefault="00AD2B3E" w:rsidP="00822E32">
      <w:pPr>
        <w:spacing w:after="0" w:line="240" w:lineRule="auto"/>
        <w:ind w:right="26" w:firstLine="709"/>
        <w:jc w:val="both"/>
        <w:rPr>
          <w:rFonts w:ascii="Times New Roman" w:hAnsi="Times New Roman" w:cs="Times New Roman"/>
          <w:sz w:val="24"/>
          <w:szCs w:val="24"/>
        </w:rPr>
      </w:pPr>
      <w:r w:rsidRPr="00E91F66">
        <w:rPr>
          <w:rFonts w:ascii="Times New Roman" w:hAnsi="Times New Roman" w:cs="Times New Roman"/>
          <w:sz w:val="24"/>
          <w:szCs w:val="24"/>
        </w:rPr>
        <w:t xml:space="preserve">Čerpanie výdavkov v kategórii 610 - Mzdy, platy, služobné príjmy a ostatné osobné vyrovnania bolo vykázané v jednotlivých </w:t>
      </w:r>
      <w:r w:rsidR="004033A3">
        <w:rPr>
          <w:rFonts w:ascii="Times New Roman" w:hAnsi="Times New Roman" w:cs="Times New Roman"/>
          <w:sz w:val="24"/>
          <w:szCs w:val="24"/>
        </w:rPr>
        <w:t>pod</w:t>
      </w:r>
      <w:r w:rsidRPr="00E91F66">
        <w:rPr>
          <w:rFonts w:ascii="Times New Roman" w:hAnsi="Times New Roman" w:cs="Times New Roman"/>
          <w:sz w:val="24"/>
          <w:szCs w:val="24"/>
        </w:rPr>
        <w:t>programoch nasledovne:</w:t>
      </w:r>
    </w:p>
    <w:p w:rsidR="00AD2B3E" w:rsidRPr="00E91F66" w:rsidRDefault="00AD2B3E" w:rsidP="00E91F66">
      <w:pPr>
        <w:spacing w:after="0" w:line="240" w:lineRule="auto"/>
        <w:ind w:right="26" w:firstLine="540"/>
        <w:jc w:val="both"/>
        <w:rPr>
          <w:rFonts w:ascii="Times New Roman" w:hAnsi="Times New Roman" w:cs="Times New Roman"/>
          <w:sz w:val="24"/>
          <w:szCs w:val="24"/>
        </w:rPr>
      </w:pPr>
    </w:p>
    <w:p w:rsidR="00AD2B3E" w:rsidRPr="00E91F66" w:rsidRDefault="00AD2B3E" w:rsidP="00E91F66">
      <w:pPr>
        <w:spacing w:after="0" w:line="240" w:lineRule="auto"/>
        <w:ind w:right="26"/>
        <w:jc w:val="both"/>
        <w:rPr>
          <w:rFonts w:ascii="Times New Roman" w:hAnsi="Times New Roman" w:cs="Times New Roman"/>
          <w:i/>
          <w:sz w:val="24"/>
          <w:szCs w:val="24"/>
        </w:rPr>
      </w:pPr>
      <w:r w:rsidRPr="00E91F66">
        <w:rPr>
          <w:rFonts w:ascii="Times New Roman" w:hAnsi="Times New Roman" w:cs="Times New Roman"/>
          <w:i/>
          <w:sz w:val="24"/>
          <w:szCs w:val="24"/>
        </w:rPr>
        <w:t>07L04 – Podpora programov rezortu MH SR</w:t>
      </w:r>
    </w:p>
    <w:p w:rsidR="001E165A" w:rsidRPr="00E91F66" w:rsidRDefault="001E165A" w:rsidP="001E165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0B3483" w:rsidRPr="00920EB1" w:rsidTr="00CA0195">
        <w:trPr>
          <w:trHeight w:val="70"/>
        </w:trPr>
        <w:tc>
          <w:tcPr>
            <w:tcW w:w="2552" w:type="dxa"/>
            <w:shd w:val="clear" w:color="auto" w:fill="auto"/>
          </w:tcPr>
          <w:p w:rsidR="003C282C" w:rsidRPr="00920EB1" w:rsidRDefault="003C282C"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3C282C" w:rsidRPr="00920EB1" w:rsidRDefault="003C282C"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3C282C" w:rsidRPr="00920EB1" w:rsidRDefault="003C282C"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4033A3" w:rsidRPr="00920EB1" w:rsidRDefault="004033A3"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3C282C" w:rsidRPr="00920EB1" w:rsidRDefault="004033A3"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4033A3" w:rsidRPr="00920EB1" w:rsidRDefault="004033A3"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3C282C" w:rsidRPr="00920EB1" w:rsidRDefault="004033A3"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3C282C" w:rsidRPr="00920EB1" w:rsidRDefault="003C282C"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3C282C" w:rsidRPr="00920EB1" w:rsidRDefault="003C282C" w:rsidP="004033A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w:t>
            </w:r>
            <w:r w:rsidR="004033A3" w:rsidRPr="00920EB1">
              <w:rPr>
                <w:rFonts w:ascii="Times New Roman" w:eastAsia="Times New Roman" w:hAnsi="Times New Roman" w:cs="Times New Roman"/>
                <w:b/>
              </w:rPr>
              <w:t>5</w:t>
            </w:r>
          </w:p>
        </w:tc>
        <w:tc>
          <w:tcPr>
            <w:tcW w:w="1417" w:type="dxa"/>
            <w:shd w:val="clear" w:color="auto" w:fill="auto"/>
          </w:tcPr>
          <w:p w:rsidR="003C282C" w:rsidRPr="00920EB1" w:rsidRDefault="0045655F"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xml:space="preserve">% čerpania k </w:t>
            </w:r>
            <w:r w:rsidR="003C282C" w:rsidRPr="00920EB1">
              <w:rPr>
                <w:rFonts w:ascii="Times New Roman" w:eastAsia="Times New Roman" w:hAnsi="Times New Roman" w:cs="Times New Roman"/>
                <w:b/>
              </w:rPr>
              <w:t>uprav. rozpočtu</w:t>
            </w:r>
          </w:p>
        </w:tc>
      </w:tr>
      <w:tr w:rsidR="000B3483" w:rsidRPr="00920EB1" w:rsidTr="00CA0195">
        <w:tc>
          <w:tcPr>
            <w:tcW w:w="2552" w:type="dxa"/>
            <w:shd w:val="clear" w:color="auto" w:fill="auto"/>
          </w:tcPr>
          <w:p w:rsidR="003C282C" w:rsidRPr="00920EB1" w:rsidRDefault="003C282C"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610 - mzdy, platy, služobné príjmy a </w:t>
            </w:r>
            <w:proofErr w:type="spellStart"/>
            <w:r w:rsidRPr="00920EB1">
              <w:rPr>
                <w:rFonts w:ascii="Times New Roman" w:eastAsia="Times New Roman" w:hAnsi="Times New Roman" w:cs="Times New Roman"/>
              </w:rPr>
              <w:t>OOV</w:t>
            </w:r>
            <w:proofErr w:type="spellEnd"/>
          </w:p>
        </w:tc>
        <w:tc>
          <w:tcPr>
            <w:tcW w:w="850" w:type="dxa"/>
          </w:tcPr>
          <w:p w:rsidR="003C282C" w:rsidRPr="00920EB1" w:rsidRDefault="003C282C" w:rsidP="00E91F66">
            <w:pPr>
              <w:autoSpaceDE w:val="0"/>
              <w:autoSpaceDN w:val="0"/>
              <w:adjustRightInd w:val="0"/>
              <w:spacing w:after="0" w:line="240" w:lineRule="auto"/>
              <w:jc w:val="right"/>
              <w:rPr>
                <w:rFonts w:ascii="Times New Roman" w:hAnsi="Times New Roman" w:cs="Times New Roman"/>
                <w:lang w:eastAsia="sk-SK"/>
              </w:rPr>
            </w:pPr>
          </w:p>
          <w:p w:rsidR="003C282C" w:rsidRPr="00920EB1" w:rsidRDefault="003C282C" w:rsidP="00E91F66">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3C282C" w:rsidRPr="00920EB1" w:rsidRDefault="003C282C" w:rsidP="00E91F66">
            <w:pPr>
              <w:autoSpaceDE w:val="0"/>
              <w:autoSpaceDN w:val="0"/>
              <w:adjustRightInd w:val="0"/>
              <w:spacing w:after="0" w:line="240" w:lineRule="auto"/>
              <w:jc w:val="right"/>
              <w:rPr>
                <w:rFonts w:ascii="Times New Roman" w:hAnsi="Times New Roman" w:cs="Times New Roman"/>
                <w:lang w:eastAsia="sk-SK"/>
              </w:rPr>
            </w:pPr>
          </w:p>
          <w:p w:rsidR="004033A3" w:rsidRPr="00920EB1" w:rsidRDefault="004033A3" w:rsidP="004033A3">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4 662 177,00</w:t>
            </w:r>
          </w:p>
        </w:tc>
        <w:tc>
          <w:tcPr>
            <w:tcW w:w="1417" w:type="dxa"/>
            <w:shd w:val="clear" w:color="auto" w:fill="auto"/>
          </w:tcPr>
          <w:p w:rsidR="003C282C" w:rsidRPr="00920EB1" w:rsidRDefault="003C282C" w:rsidP="00E91F66">
            <w:pPr>
              <w:autoSpaceDE w:val="0"/>
              <w:autoSpaceDN w:val="0"/>
              <w:adjustRightInd w:val="0"/>
              <w:spacing w:after="0" w:line="240" w:lineRule="auto"/>
              <w:jc w:val="center"/>
              <w:rPr>
                <w:rFonts w:ascii="Times New Roman" w:hAnsi="Times New Roman" w:cs="Times New Roman"/>
                <w:lang w:eastAsia="sk-SK"/>
              </w:rPr>
            </w:pPr>
          </w:p>
          <w:p w:rsidR="00F51DCF" w:rsidRPr="00920EB1" w:rsidRDefault="00F51DCF" w:rsidP="00F51DCF">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5 240 604,00</w:t>
            </w:r>
          </w:p>
        </w:tc>
        <w:tc>
          <w:tcPr>
            <w:tcW w:w="1418" w:type="dxa"/>
            <w:shd w:val="clear" w:color="auto" w:fill="auto"/>
          </w:tcPr>
          <w:p w:rsidR="003C282C" w:rsidRPr="00920EB1" w:rsidRDefault="003C282C" w:rsidP="00E91F66">
            <w:pPr>
              <w:autoSpaceDE w:val="0"/>
              <w:autoSpaceDN w:val="0"/>
              <w:adjustRightInd w:val="0"/>
              <w:spacing w:after="0" w:line="240" w:lineRule="auto"/>
              <w:jc w:val="right"/>
              <w:rPr>
                <w:rFonts w:ascii="Times New Roman" w:hAnsi="Times New Roman" w:cs="Times New Roman"/>
                <w:lang w:eastAsia="sk-SK"/>
              </w:rPr>
            </w:pPr>
          </w:p>
          <w:p w:rsidR="00F51DCF" w:rsidRPr="00920EB1" w:rsidRDefault="00F51DCF" w:rsidP="00F51DCF">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5 240 511,27</w:t>
            </w:r>
          </w:p>
        </w:tc>
        <w:tc>
          <w:tcPr>
            <w:tcW w:w="1417" w:type="dxa"/>
            <w:shd w:val="clear" w:color="auto" w:fill="auto"/>
          </w:tcPr>
          <w:p w:rsidR="003C282C" w:rsidRPr="00920EB1" w:rsidRDefault="003C282C" w:rsidP="00E91F66">
            <w:pPr>
              <w:spacing w:after="0" w:line="240" w:lineRule="auto"/>
              <w:jc w:val="center"/>
              <w:rPr>
                <w:rFonts w:ascii="Times New Roman" w:eastAsia="Times New Roman" w:hAnsi="Times New Roman" w:cs="Times New Roman"/>
              </w:rPr>
            </w:pPr>
          </w:p>
          <w:p w:rsidR="00F51DCF" w:rsidRPr="00920EB1" w:rsidRDefault="005B71A9" w:rsidP="00F51DCF">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99,99</w:t>
            </w:r>
          </w:p>
        </w:tc>
      </w:tr>
    </w:tbl>
    <w:p w:rsidR="00AD2B3E" w:rsidRDefault="00AD2B3E" w:rsidP="00E91F66">
      <w:pPr>
        <w:spacing w:after="0" w:line="240" w:lineRule="auto"/>
        <w:ind w:right="26"/>
        <w:jc w:val="both"/>
        <w:rPr>
          <w:rFonts w:ascii="Times New Roman" w:hAnsi="Times New Roman" w:cs="Times New Roman"/>
          <w:sz w:val="24"/>
          <w:szCs w:val="24"/>
        </w:rPr>
      </w:pPr>
    </w:p>
    <w:p w:rsidR="005B71A9" w:rsidRDefault="005B71A9" w:rsidP="00305324">
      <w:pPr>
        <w:autoSpaceDE w:val="0"/>
        <w:autoSpaceDN w:val="0"/>
        <w:adjustRightInd w:val="0"/>
        <w:spacing w:after="0" w:line="240" w:lineRule="auto"/>
        <w:ind w:firstLine="708"/>
        <w:jc w:val="both"/>
        <w:rPr>
          <w:rFonts w:ascii="Times New Roman" w:hAnsi="Times New Roman" w:cs="Times New Roman"/>
          <w:sz w:val="24"/>
          <w:szCs w:val="24"/>
        </w:rPr>
      </w:pPr>
      <w:r w:rsidRPr="00305324">
        <w:rPr>
          <w:rFonts w:ascii="Times New Roman" w:hAnsi="Times New Roman" w:cs="Times New Roman"/>
          <w:sz w:val="24"/>
          <w:szCs w:val="24"/>
        </w:rPr>
        <w:t xml:space="preserve">V rámci podprogramu 07L04 boli mzdové prostriedky na rok 2015  rozpočtom schválené v sume  4 662 177,00 eur. V rámci uvedenej sumy výdavkov sú mzdové prostriedky rozpočtované pre zamestnancov úradu ministerstva  (4 164 177,00 eur) a pre zamestnancov pracovísk mimo sídla služobného úradu MH SR v cudzine (498 000,00 eur). </w:t>
      </w:r>
    </w:p>
    <w:p w:rsidR="003B7805" w:rsidRPr="00305324" w:rsidRDefault="003B7805" w:rsidP="00305324">
      <w:pPr>
        <w:autoSpaceDE w:val="0"/>
        <w:autoSpaceDN w:val="0"/>
        <w:adjustRightInd w:val="0"/>
        <w:spacing w:after="0" w:line="240" w:lineRule="auto"/>
        <w:ind w:firstLine="708"/>
        <w:jc w:val="both"/>
        <w:rPr>
          <w:rFonts w:ascii="Times New Roman" w:hAnsi="Times New Roman" w:cs="Times New Roman"/>
          <w:sz w:val="24"/>
          <w:szCs w:val="24"/>
        </w:rPr>
      </w:pPr>
    </w:p>
    <w:p w:rsidR="005B71A9" w:rsidRDefault="005B71A9" w:rsidP="00305324">
      <w:pPr>
        <w:autoSpaceDE w:val="0"/>
        <w:autoSpaceDN w:val="0"/>
        <w:adjustRightInd w:val="0"/>
        <w:spacing w:after="0" w:line="240" w:lineRule="auto"/>
        <w:ind w:firstLine="708"/>
        <w:jc w:val="both"/>
        <w:rPr>
          <w:rFonts w:ascii="Times New Roman" w:hAnsi="Times New Roman" w:cs="Times New Roman"/>
          <w:sz w:val="24"/>
          <w:szCs w:val="24"/>
        </w:rPr>
      </w:pPr>
      <w:r w:rsidRPr="00305324">
        <w:rPr>
          <w:rFonts w:ascii="Times New Roman" w:hAnsi="Times New Roman" w:cs="Times New Roman"/>
          <w:sz w:val="24"/>
          <w:szCs w:val="24"/>
        </w:rPr>
        <w:t xml:space="preserve">V roku 2015 bol rozpočet mzdových výdavkov upravený rozpočtovými opatreniami   MF SR  na sumu 5 240 604,00 eur a to pre zamestnancov úradu ministerstva </w:t>
      </w:r>
      <w:r w:rsidR="00645B64">
        <w:rPr>
          <w:rFonts w:ascii="Times New Roman" w:hAnsi="Times New Roman" w:cs="Times New Roman"/>
          <w:sz w:val="24"/>
          <w:szCs w:val="24"/>
        </w:rPr>
        <w:t xml:space="preserve">                         </w:t>
      </w:r>
      <w:r w:rsidRPr="00305324">
        <w:rPr>
          <w:rFonts w:ascii="Times New Roman" w:hAnsi="Times New Roman" w:cs="Times New Roman"/>
          <w:sz w:val="24"/>
          <w:szCs w:val="24"/>
        </w:rPr>
        <w:t xml:space="preserve"> (4 976 004,87 eur) a pre zamestnancov pracovísk mimo sídla služobného úradu MH SR </w:t>
      </w:r>
      <w:r w:rsidR="00645B64">
        <w:rPr>
          <w:rFonts w:ascii="Times New Roman" w:hAnsi="Times New Roman" w:cs="Times New Roman"/>
          <w:sz w:val="24"/>
          <w:szCs w:val="24"/>
        </w:rPr>
        <w:t xml:space="preserve">   </w:t>
      </w:r>
      <w:r w:rsidRPr="00305324">
        <w:rPr>
          <w:rFonts w:ascii="Times New Roman" w:hAnsi="Times New Roman" w:cs="Times New Roman"/>
          <w:sz w:val="24"/>
          <w:szCs w:val="24"/>
        </w:rPr>
        <w:t xml:space="preserve"> (264 599,13 eur). Rozpočet mzdových výdavkov v priebehu roka 2015 bol navýšený celkovo o 578 427,00 eur  a  to z titulu úpravy platových taríf  štátnych zamestnancov a zamestnancov pri výkone práce vo verejnom záujme - valorizácia. MF SR schválilo v sledovanom období MH SR na základe žiadostí o rozpočtové opatrenia navýšenie mzdových výdavkov, ktoré ostali nepokryté z dôvodu realizácie prijatých opatrení reformy ESO (Efektívna, spoľahlivá a otvorená verejná správa), na zlepšenie odmeňovania v rámci spolupráce medzi MF SR a MH SR na úseku stratégie financovania hospodárskeho rastu a taktiež navýšenie mzdových výdavkov pre zamestnancov zabezpečujúcich prípravu a účasť SR na Svetovej výstave EXPO Miláno 2015. Rozpočet mzdových výdavkov bol znížený viazaním rozpočtových výdavkov na základe Uznesenia vlády SR č. 224/2005 z 30. marca 2005 a Uznesenia vlády SR č. 480/2005 z </w:t>
      </w:r>
      <w:r w:rsidR="00645B64">
        <w:rPr>
          <w:rFonts w:ascii="Times New Roman" w:hAnsi="Times New Roman" w:cs="Times New Roman"/>
          <w:sz w:val="24"/>
          <w:szCs w:val="24"/>
        </w:rPr>
        <w:t>2</w:t>
      </w:r>
      <w:r w:rsidRPr="00305324">
        <w:rPr>
          <w:rFonts w:ascii="Times New Roman" w:hAnsi="Times New Roman" w:cs="Times New Roman"/>
          <w:sz w:val="24"/>
          <w:szCs w:val="24"/>
        </w:rPr>
        <w:t>1. júna 2005 na personálne dobudovanie a finančné zabezpečenie dočasne vyslaných zamestnancov na Stálom zastúpení pri EÚ v Bruseli a na zabezpečenie činnosti zamestnanca dočasne vyslaného na Stálu misiu pri OECD v Paríži a  taktiež vzhľadom k vyčísleným úsporám v rozpočte SK PRES v roku 2015.</w:t>
      </w:r>
    </w:p>
    <w:p w:rsidR="003B7805" w:rsidRDefault="003B7805" w:rsidP="00305324">
      <w:pPr>
        <w:autoSpaceDE w:val="0"/>
        <w:autoSpaceDN w:val="0"/>
        <w:adjustRightInd w:val="0"/>
        <w:spacing w:after="0" w:line="240" w:lineRule="auto"/>
        <w:ind w:firstLine="708"/>
        <w:jc w:val="both"/>
        <w:rPr>
          <w:rFonts w:ascii="Times New Roman" w:hAnsi="Times New Roman" w:cs="Times New Roman"/>
          <w:sz w:val="24"/>
          <w:szCs w:val="24"/>
        </w:rPr>
      </w:pPr>
    </w:p>
    <w:p w:rsidR="00001B4D" w:rsidRPr="001A1258" w:rsidRDefault="00001B4D" w:rsidP="00001B4D">
      <w:pPr>
        <w:spacing w:after="0" w:line="240" w:lineRule="auto"/>
        <w:ind w:right="26" w:firstLine="540"/>
        <w:jc w:val="both"/>
        <w:rPr>
          <w:rFonts w:ascii="Times New Roman" w:hAnsi="Times New Roman" w:cs="Times New Roman"/>
          <w:sz w:val="24"/>
          <w:szCs w:val="24"/>
        </w:rPr>
      </w:pPr>
      <w:r w:rsidRPr="00001B4D">
        <w:rPr>
          <w:rFonts w:ascii="Times New Roman" w:hAnsi="Times New Roman" w:cs="Times New Roman"/>
          <w:sz w:val="24"/>
          <w:szCs w:val="24"/>
        </w:rPr>
        <w:t>V roku 2015 bola vyčerpaná suma  5 240 511,27 eur, t.j. 99,99  % z</w:t>
      </w:r>
      <w:r w:rsidR="009E7086">
        <w:rPr>
          <w:rFonts w:ascii="Times New Roman" w:hAnsi="Times New Roman" w:cs="Times New Roman"/>
          <w:sz w:val="24"/>
          <w:szCs w:val="24"/>
        </w:rPr>
        <w:t xml:space="preserve"> </w:t>
      </w:r>
      <w:r w:rsidRPr="00001B4D">
        <w:rPr>
          <w:rFonts w:ascii="Times New Roman" w:hAnsi="Times New Roman" w:cs="Times New Roman"/>
          <w:sz w:val="24"/>
          <w:szCs w:val="24"/>
        </w:rPr>
        <w:t xml:space="preserve">ročného upraveného rozpočtu mzdových výdavkov. Z uvedeného čerpania miezd bolo na mzdách zamestnancov úradu ministerstva za sledované obdobie vyčerpaných 4 975 912,14 eur a mzdy zamestnancov pracovísk mimo sídla služobného úradu MH SR v cudzine boli čerpané v sume 264 599,13 eur. V rámci čerpania mzdových výdavkov  boli ostatné osobné vyrovnania vyčerpané v sume 49 890,29 eur. V percentuálnom vyjadrení čerpania sú započítané refundácie miezd oprávnených zamestnancov v rámci Technickej pomoci OP KaHR za mesiac október, november a december 2014 a január až november 2015. </w:t>
      </w:r>
      <w:r w:rsidRPr="001A1258">
        <w:rPr>
          <w:rFonts w:ascii="Times New Roman" w:hAnsi="Times New Roman" w:cs="Times New Roman"/>
          <w:sz w:val="24"/>
          <w:szCs w:val="24"/>
        </w:rPr>
        <w:t xml:space="preserve">V percentuálnom vyjadrení čerpania nie je  započítaná refundácia miezd oprávnených zamestnancov v rámci Technickej pomoci OP KaHR za mesiac december 2015. </w:t>
      </w:r>
    </w:p>
    <w:p w:rsidR="00E96855" w:rsidRPr="00305324" w:rsidRDefault="00E96855" w:rsidP="00305324">
      <w:pPr>
        <w:autoSpaceDE w:val="0"/>
        <w:autoSpaceDN w:val="0"/>
        <w:adjustRightInd w:val="0"/>
        <w:spacing w:after="0" w:line="240" w:lineRule="auto"/>
        <w:ind w:firstLine="708"/>
        <w:jc w:val="both"/>
        <w:rPr>
          <w:rFonts w:ascii="Times New Roman" w:hAnsi="Times New Roman" w:cs="Times New Roman"/>
          <w:sz w:val="24"/>
          <w:szCs w:val="24"/>
        </w:rPr>
      </w:pPr>
    </w:p>
    <w:p w:rsidR="00AD2B3E" w:rsidRPr="00E91F66" w:rsidRDefault="00AD2B3E" w:rsidP="00E91F66">
      <w:pPr>
        <w:spacing w:after="0" w:line="240" w:lineRule="auto"/>
        <w:ind w:right="26"/>
        <w:jc w:val="both"/>
        <w:rPr>
          <w:rFonts w:ascii="Times New Roman" w:hAnsi="Times New Roman" w:cs="Times New Roman"/>
          <w:i/>
          <w:sz w:val="24"/>
          <w:szCs w:val="24"/>
        </w:rPr>
      </w:pPr>
      <w:r w:rsidRPr="00E91F66">
        <w:rPr>
          <w:rFonts w:ascii="Times New Roman" w:hAnsi="Times New Roman" w:cs="Times New Roman"/>
          <w:i/>
          <w:sz w:val="24"/>
          <w:szCs w:val="24"/>
        </w:rPr>
        <w:t>07L05 – Administrácia rozpočtových organizácií  rezortu MH SR</w:t>
      </w:r>
    </w:p>
    <w:p w:rsidR="001E165A" w:rsidRPr="00E91F66" w:rsidRDefault="001E165A" w:rsidP="001E165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59693B" w:rsidRPr="00920EB1" w:rsidTr="00CA0195">
        <w:trPr>
          <w:trHeight w:val="701"/>
        </w:trPr>
        <w:tc>
          <w:tcPr>
            <w:tcW w:w="2552" w:type="dxa"/>
            <w:shd w:val="clear" w:color="auto" w:fill="auto"/>
          </w:tcPr>
          <w:p w:rsidR="0059693B" w:rsidRPr="00920EB1" w:rsidRDefault="0059693B"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E91F66">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E91F66">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0B3483" w:rsidRPr="00920EB1" w:rsidTr="00CA0195">
        <w:tc>
          <w:tcPr>
            <w:tcW w:w="2552" w:type="dxa"/>
            <w:shd w:val="clear" w:color="auto" w:fill="auto"/>
          </w:tcPr>
          <w:p w:rsidR="000B3483" w:rsidRPr="00920EB1" w:rsidRDefault="000B3483" w:rsidP="00E91F66">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610 - mzdy, platy, služobné príjmy a </w:t>
            </w:r>
            <w:proofErr w:type="spellStart"/>
            <w:r w:rsidRPr="00920EB1">
              <w:rPr>
                <w:rFonts w:ascii="Times New Roman" w:eastAsia="Times New Roman" w:hAnsi="Times New Roman" w:cs="Times New Roman"/>
              </w:rPr>
              <w:t>OOV</w:t>
            </w:r>
            <w:proofErr w:type="spellEnd"/>
          </w:p>
        </w:tc>
        <w:tc>
          <w:tcPr>
            <w:tcW w:w="850" w:type="dxa"/>
          </w:tcPr>
          <w:p w:rsidR="000B3483" w:rsidRPr="00920EB1" w:rsidRDefault="000B3483" w:rsidP="00E91F66">
            <w:pPr>
              <w:autoSpaceDE w:val="0"/>
              <w:autoSpaceDN w:val="0"/>
              <w:adjustRightInd w:val="0"/>
              <w:spacing w:after="0" w:line="240" w:lineRule="auto"/>
              <w:jc w:val="right"/>
              <w:rPr>
                <w:rFonts w:ascii="Times New Roman" w:hAnsi="Times New Roman" w:cs="Times New Roman"/>
                <w:lang w:eastAsia="sk-SK"/>
              </w:rPr>
            </w:pPr>
          </w:p>
          <w:p w:rsidR="000B3483" w:rsidRPr="00920EB1" w:rsidRDefault="000B3483" w:rsidP="00E91F66">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0B3483" w:rsidRPr="00920EB1" w:rsidRDefault="000B3483" w:rsidP="00E91F66">
            <w:pPr>
              <w:autoSpaceDE w:val="0"/>
              <w:autoSpaceDN w:val="0"/>
              <w:adjustRightInd w:val="0"/>
              <w:spacing w:after="0" w:line="240" w:lineRule="auto"/>
              <w:jc w:val="right"/>
              <w:rPr>
                <w:rFonts w:ascii="Times New Roman" w:hAnsi="Times New Roman" w:cs="Times New Roman"/>
                <w:lang w:eastAsia="sk-SK"/>
              </w:rPr>
            </w:pPr>
          </w:p>
          <w:p w:rsidR="003A32CA" w:rsidRPr="00920EB1" w:rsidRDefault="003A32CA" w:rsidP="003A32CA">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3 960 464,00</w:t>
            </w:r>
          </w:p>
        </w:tc>
        <w:tc>
          <w:tcPr>
            <w:tcW w:w="1417" w:type="dxa"/>
            <w:shd w:val="clear" w:color="auto" w:fill="auto"/>
          </w:tcPr>
          <w:p w:rsidR="000B3483" w:rsidRPr="00920EB1" w:rsidRDefault="000B3483" w:rsidP="00E91F66">
            <w:pPr>
              <w:autoSpaceDE w:val="0"/>
              <w:autoSpaceDN w:val="0"/>
              <w:adjustRightInd w:val="0"/>
              <w:spacing w:after="0" w:line="240" w:lineRule="auto"/>
              <w:jc w:val="center"/>
              <w:rPr>
                <w:rFonts w:ascii="Times New Roman" w:hAnsi="Times New Roman" w:cs="Times New Roman"/>
                <w:lang w:eastAsia="sk-SK"/>
              </w:rPr>
            </w:pPr>
          </w:p>
          <w:p w:rsidR="005B71A9" w:rsidRPr="00920EB1" w:rsidRDefault="005B71A9" w:rsidP="005B71A9">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4 047 850,00</w:t>
            </w:r>
          </w:p>
        </w:tc>
        <w:tc>
          <w:tcPr>
            <w:tcW w:w="1418" w:type="dxa"/>
            <w:shd w:val="clear" w:color="auto" w:fill="auto"/>
          </w:tcPr>
          <w:p w:rsidR="000B3483" w:rsidRPr="00920EB1" w:rsidRDefault="000B3483" w:rsidP="00E91F66">
            <w:pPr>
              <w:autoSpaceDE w:val="0"/>
              <w:autoSpaceDN w:val="0"/>
              <w:adjustRightInd w:val="0"/>
              <w:spacing w:after="0" w:line="240" w:lineRule="auto"/>
              <w:jc w:val="right"/>
              <w:rPr>
                <w:rFonts w:ascii="Times New Roman" w:hAnsi="Times New Roman" w:cs="Times New Roman"/>
                <w:lang w:eastAsia="sk-SK"/>
              </w:rPr>
            </w:pPr>
          </w:p>
          <w:p w:rsidR="005B71A9" w:rsidRPr="00920EB1" w:rsidRDefault="005B71A9" w:rsidP="005B71A9">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4 047 800,33</w:t>
            </w:r>
          </w:p>
        </w:tc>
        <w:tc>
          <w:tcPr>
            <w:tcW w:w="1417" w:type="dxa"/>
            <w:shd w:val="clear" w:color="auto" w:fill="auto"/>
          </w:tcPr>
          <w:p w:rsidR="000B3483" w:rsidRPr="00920EB1" w:rsidRDefault="000B3483" w:rsidP="00E91F66">
            <w:pPr>
              <w:spacing w:after="0" w:line="240" w:lineRule="auto"/>
              <w:jc w:val="center"/>
              <w:rPr>
                <w:rFonts w:ascii="Times New Roman" w:eastAsia="Times New Roman" w:hAnsi="Times New Roman" w:cs="Times New Roman"/>
              </w:rPr>
            </w:pPr>
          </w:p>
          <w:p w:rsidR="005B71A9" w:rsidRPr="00920EB1" w:rsidRDefault="005B71A9" w:rsidP="00E91F66">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99,99</w:t>
            </w:r>
          </w:p>
        </w:tc>
      </w:tr>
    </w:tbl>
    <w:p w:rsidR="005B71A9" w:rsidRPr="00F564B2" w:rsidRDefault="005B71A9" w:rsidP="00D24A9A">
      <w:pPr>
        <w:autoSpaceDE w:val="0"/>
        <w:autoSpaceDN w:val="0"/>
        <w:adjustRightInd w:val="0"/>
        <w:spacing w:before="240" w:line="240" w:lineRule="auto"/>
        <w:ind w:firstLine="708"/>
        <w:jc w:val="both"/>
        <w:rPr>
          <w:rFonts w:ascii="Times New Roman" w:hAnsi="Times New Roman" w:cs="Times New Roman"/>
          <w:sz w:val="24"/>
          <w:szCs w:val="24"/>
          <w:lang w:eastAsia="sk-SK"/>
        </w:rPr>
      </w:pPr>
      <w:r w:rsidRPr="00F564B2">
        <w:rPr>
          <w:rFonts w:ascii="Times New Roman" w:hAnsi="Times New Roman" w:cs="Times New Roman"/>
          <w:sz w:val="24"/>
          <w:szCs w:val="24"/>
        </w:rPr>
        <w:t xml:space="preserve">Objem mzdových prostriedkov pre podriadené rozpočtové organizácie bol schválený v sume </w:t>
      </w:r>
      <w:r w:rsidRPr="00F564B2">
        <w:rPr>
          <w:rFonts w:ascii="Times New Roman" w:hAnsi="Times New Roman" w:cs="Times New Roman"/>
          <w:sz w:val="24"/>
          <w:szCs w:val="24"/>
          <w:lang w:eastAsia="sk-SK"/>
        </w:rPr>
        <w:t>3 960 464,00 e</w:t>
      </w:r>
      <w:r w:rsidRPr="00F564B2">
        <w:rPr>
          <w:rFonts w:ascii="Times New Roman" w:hAnsi="Times New Roman" w:cs="Times New Roman"/>
          <w:sz w:val="24"/>
          <w:szCs w:val="24"/>
        </w:rPr>
        <w:t>ur. Rozpočet bol rozpočtovým</w:t>
      </w:r>
      <w:r w:rsidR="003B7805">
        <w:rPr>
          <w:rFonts w:ascii="Times New Roman" w:hAnsi="Times New Roman" w:cs="Times New Roman"/>
          <w:sz w:val="24"/>
          <w:szCs w:val="24"/>
        </w:rPr>
        <w:t>i</w:t>
      </w:r>
      <w:r w:rsidRPr="00F564B2">
        <w:rPr>
          <w:rFonts w:ascii="Times New Roman" w:hAnsi="Times New Roman" w:cs="Times New Roman"/>
          <w:sz w:val="24"/>
          <w:szCs w:val="24"/>
        </w:rPr>
        <w:t xml:space="preserve"> opatren</w:t>
      </w:r>
      <w:r w:rsidR="003B7805">
        <w:rPr>
          <w:rFonts w:ascii="Times New Roman" w:hAnsi="Times New Roman" w:cs="Times New Roman"/>
          <w:sz w:val="24"/>
          <w:szCs w:val="24"/>
        </w:rPr>
        <w:t>ia</w:t>
      </w:r>
      <w:r w:rsidRPr="00F564B2">
        <w:rPr>
          <w:rFonts w:ascii="Times New Roman" w:hAnsi="Times New Roman" w:cs="Times New Roman"/>
          <w:sz w:val="24"/>
          <w:szCs w:val="24"/>
        </w:rPr>
        <w:t>m</w:t>
      </w:r>
      <w:r w:rsidR="003B7805">
        <w:rPr>
          <w:rFonts w:ascii="Times New Roman" w:hAnsi="Times New Roman" w:cs="Times New Roman"/>
          <w:sz w:val="24"/>
          <w:szCs w:val="24"/>
        </w:rPr>
        <w:t>i</w:t>
      </w:r>
      <w:r w:rsidRPr="00F564B2">
        <w:rPr>
          <w:rFonts w:ascii="Times New Roman" w:hAnsi="Times New Roman" w:cs="Times New Roman"/>
          <w:sz w:val="24"/>
          <w:szCs w:val="24"/>
        </w:rPr>
        <w:t xml:space="preserve"> MF SR upravený na sumu  </w:t>
      </w:r>
      <w:r w:rsidR="00F564B2">
        <w:rPr>
          <w:rFonts w:ascii="Times New Roman" w:hAnsi="Times New Roman" w:cs="Times New Roman"/>
          <w:sz w:val="24"/>
          <w:szCs w:val="24"/>
        </w:rPr>
        <w:t xml:space="preserve">     </w:t>
      </w:r>
      <w:r w:rsidRPr="00F564B2">
        <w:rPr>
          <w:rFonts w:ascii="Times New Roman" w:hAnsi="Times New Roman" w:cs="Times New Roman"/>
          <w:sz w:val="24"/>
          <w:szCs w:val="24"/>
        </w:rPr>
        <w:t xml:space="preserve">  </w:t>
      </w:r>
      <w:r w:rsidRPr="00F564B2">
        <w:rPr>
          <w:rFonts w:ascii="Times New Roman" w:hAnsi="Times New Roman" w:cs="Times New Roman"/>
          <w:sz w:val="24"/>
          <w:szCs w:val="24"/>
          <w:lang w:eastAsia="sk-SK"/>
        </w:rPr>
        <w:t>4 047 850,00 eur.</w:t>
      </w:r>
      <w:r w:rsidR="00F564B2">
        <w:rPr>
          <w:rFonts w:ascii="Times New Roman" w:hAnsi="Times New Roman" w:cs="Times New Roman"/>
          <w:sz w:val="24"/>
          <w:szCs w:val="24"/>
          <w:lang w:eastAsia="sk-SK"/>
        </w:rPr>
        <w:t xml:space="preserve"> </w:t>
      </w:r>
      <w:r w:rsidRPr="00F564B2">
        <w:rPr>
          <w:rFonts w:ascii="Times New Roman" w:hAnsi="Times New Roman" w:cs="Times New Roman"/>
          <w:sz w:val="24"/>
          <w:szCs w:val="24"/>
        </w:rPr>
        <w:t xml:space="preserve">Skutočné čerpanie mzdových prostriedkov bolo v sume  </w:t>
      </w:r>
      <w:r w:rsidRPr="00F564B2">
        <w:rPr>
          <w:rFonts w:ascii="Times New Roman" w:hAnsi="Times New Roman" w:cs="Times New Roman"/>
          <w:sz w:val="24"/>
          <w:szCs w:val="24"/>
          <w:lang w:eastAsia="sk-SK"/>
        </w:rPr>
        <w:t xml:space="preserve">4 047 800,33 </w:t>
      </w:r>
      <w:r w:rsidRPr="00F564B2">
        <w:rPr>
          <w:rFonts w:ascii="Times New Roman" w:hAnsi="Times New Roman" w:cs="Times New Roman"/>
          <w:sz w:val="24"/>
          <w:szCs w:val="24"/>
        </w:rPr>
        <w:t>eur, t.j. 99,99  % z upraveného rozpočtu k 31.12.2015.</w:t>
      </w:r>
      <w:r w:rsidRPr="00F564B2">
        <w:rPr>
          <w:rFonts w:ascii="Times New Roman" w:hAnsi="Times New Roman" w:cs="Times New Roman"/>
          <w:color w:val="00FF00"/>
          <w:sz w:val="24"/>
          <w:szCs w:val="24"/>
        </w:rPr>
        <w:t xml:space="preserve"> </w:t>
      </w:r>
    </w:p>
    <w:p w:rsidR="00AD2B3E" w:rsidRDefault="00AD2B3E" w:rsidP="00AD2B3E">
      <w:pPr>
        <w:spacing w:after="0" w:line="240" w:lineRule="auto"/>
        <w:ind w:right="26"/>
        <w:jc w:val="both"/>
        <w:rPr>
          <w:rFonts w:ascii="Times New Roman" w:hAnsi="Times New Roman" w:cs="Times New Roman"/>
          <w:i/>
          <w:sz w:val="24"/>
          <w:szCs w:val="24"/>
        </w:rPr>
      </w:pPr>
      <w:r w:rsidRPr="00AD2B3E">
        <w:rPr>
          <w:rFonts w:ascii="Times New Roman" w:hAnsi="Times New Roman" w:cs="Times New Roman"/>
          <w:i/>
          <w:sz w:val="24"/>
          <w:szCs w:val="24"/>
        </w:rPr>
        <w:t>0</w:t>
      </w:r>
      <w:r>
        <w:rPr>
          <w:rFonts w:ascii="Times New Roman" w:hAnsi="Times New Roman" w:cs="Times New Roman"/>
          <w:i/>
          <w:sz w:val="24"/>
          <w:szCs w:val="24"/>
        </w:rPr>
        <w:t xml:space="preserve">D40J </w:t>
      </w:r>
      <w:r w:rsidRPr="00AD2B3E">
        <w:rPr>
          <w:rFonts w:ascii="Times New Roman" w:hAnsi="Times New Roman" w:cs="Times New Roman"/>
          <w:i/>
          <w:sz w:val="24"/>
          <w:szCs w:val="24"/>
        </w:rPr>
        <w:t xml:space="preserve"> – </w:t>
      </w:r>
      <w:r>
        <w:rPr>
          <w:rFonts w:ascii="Times New Roman" w:hAnsi="Times New Roman" w:cs="Times New Roman"/>
          <w:i/>
          <w:sz w:val="24"/>
          <w:szCs w:val="24"/>
        </w:rPr>
        <w:t>SK PRES  2016 – MH SR</w:t>
      </w:r>
    </w:p>
    <w:p w:rsidR="001E165A" w:rsidRPr="00E91F66" w:rsidRDefault="001E165A" w:rsidP="001E165A">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50"/>
        <w:gridCol w:w="1170"/>
        <w:gridCol w:w="1523"/>
        <w:gridCol w:w="1418"/>
        <w:gridCol w:w="1417"/>
      </w:tblGrid>
      <w:tr w:rsidR="0059693B" w:rsidRPr="00920EB1" w:rsidTr="00F564B2">
        <w:trPr>
          <w:trHeight w:val="773"/>
        </w:trPr>
        <w:tc>
          <w:tcPr>
            <w:tcW w:w="2694" w:type="dxa"/>
            <w:shd w:val="clear" w:color="auto" w:fill="auto"/>
          </w:tcPr>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0B348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170"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523"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0B3483" w:rsidRPr="00920EB1" w:rsidTr="00F564B2">
        <w:tc>
          <w:tcPr>
            <w:tcW w:w="2694" w:type="dxa"/>
            <w:shd w:val="clear" w:color="auto" w:fill="auto"/>
          </w:tcPr>
          <w:p w:rsidR="000B3483" w:rsidRPr="00920EB1" w:rsidRDefault="000B3483" w:rsidP="00032159">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610 - mzdy, platy, služobné príjmy a </w:t>
            </w:r>
            <w:proofErr w:type="spellStart"/>
            <w:r w:rsidRPr="00920EB1">
              <w:rPr>
                <w:rFonts w:ascii="Times New Roman" w:eastAsia="Times New Roman" w:hAnsi="Times New Roman" w:cs="Times New Roman"/>
              </w:rPr>
              <w:t>OOV</w:t>
            </w:r>
            <w:proofErr w:type="spellEnd"/>
          </w:p>
        </w:tc>
        <w:tc>
          <w:tcPr>
            <w:tcW w:w="850" w:type="dxa"/>
          </w:tcPr>
          <w:p w:rsidR="000B3483" w:rsidRPr="00920EB1" w:rsidRDefault="000B3483" w:rsidP="00AF766A">
            <w:pPr>
              <w:autoSpaceDE w:val="0"/>
              <w:autoSpaceDN w:val="0"/>
              <w:adjustRightInd w:val="0"/>
              <w:spacing w:after="0" w:line="240" w:lineRule="auto"/>
              <w:jc w:val="center"/>
              <w:rPr>
                <w:rFonts w:ascii="Times New Roman" w:hAnsi="Times New Roman" w:cs="Times New Roman"/>
                <w:lang w:eastAsia="sk-SK"/>
              </w:rPr>
            </w:pPr>
          </w:p>
          <w:p w:rsidR="000B3483" w:rsidRPr="00920EB1" w:rsidRDefault="000B3483" w:rsidP="00AF766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170" w:type="dxa"/>
            <w:shd w:val="clear" w:color="auto" w:fill="auto"/>
          </w:tcPr>
          <w:p w:rsidR="000B3483" w:rsidRPr="00920EB1" w:rsidRDefault="000B3483" w:rsidP="00032159">
            <w:pPr>
              <w:autoSpaceDE w:val="0"/>
              <w:autoSpaceDN w:val="0"/>
              <w:adjustRightInd w:val="0"/>
              <w:spacing w:after="0" w:line="240" w:lineRule="auto"/>
              <w:jc w:val="right"/>
              <w:rPr>
                <w:rFonts w:ascii="Times New Roman" w:hAnsi="Times New Roman" w:cs="Times New Roman"/>
                <w:lang w:eastAsia="sk-SK"/>
              </w:rPr>
            </w:pPr>
          </w:p>
          <w:p w:rsidR="000B3483" w:rsidRPr="00920EB1" w:rsidRDefault="000B3483" w:rsidP="00032159">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523" w:type="dxa"/>
            <w:shd w:val="clear" w:color="auto" w:fill="auto"/>
          </w:tcPr>
          <w:p w:rsidR="000B3483" w:rsidRPr="00920EB1" w:rsidRDefault="000B3483" w:rsidP="00854DC4">
            <w:pPr>
              <w:autoSpaceDE w:val="0"/>
              <w:autoSpaceDN w:val="0"/>
              <w:adjustRightInd w:val="0"/>
              <w:spacing w:after="0" w:line="240" w:lineRule="auto"/>
              <w:jc w:val="right"/>
              <w:rPr>
                <w:rFonts w:ascii="Times New Roman" w:hAnsi="Times New Roman" w:cs="Times New Roman"/>
                <w:lang w:eastAsia="sk-SK"/>
              </w:rPr>
            </w:pPr>
          </w:p>
          <w:p w:rsidR="00854DC4" w:rsidRPr="00920EB1" w:rsidRDefault="00854DC4" w:rsidP="00854DC4">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164 841,00</w:t>
            </w:r>
          </w:p>
        </w:tc>
        <w:tc>
          <w:tcPr>
            <w:tcW w:w="1418" w:type="dxa"/>
            <w:shd w:val="clear" w:color="auto" w:fill="auto"/>
          </w:tcPr>
          <w:p w:rsidR="000B3483" w:rsidRPr="00920EB1" w:rsidRDefault="000B3483" w:rsidP="00854DC4">
            <w:pPr>
              <w:autoSpaceDE w:val="0"/>
              <w:autoSpaceDN w:val="0"/>
              <w:adjustRightInd w:val="0"/>
              <w:spacing w:after="0" w:line="240" w:lineRule="auto"/>
              <w:jc w:val="right"/>
              <w:rPr>
                <w:rFonts w:ascii="Times New Roman" w:hAnsi="Times New Roman" w:cs="Times New Roman"/>
                <w:lang w:eastAsia="sk-SK"/>
              </w:rPr>
            </w:pPr>
          </w:p>
          <w:p w:rsidR="00854DC4" w:rsidRPr="00920EB1" w:rsidRDefault="00854DC4" w:rsidP="00854DC4">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160 845,50</w:t>
            </w:r>
          </w:p>
        </w:tc>
        <w:tc>
          <w:tcPr>
            <w:tcW w:w="1417" w:type="dxa"/>
            <w:shd w:val="clear" w:color="auto" w:fill="auto"/>
          </w:tcPr>
          <w:p w:rsidR="000B3483" w:rsidRPr="00920EB1" w:rsidRDefault="000B3483" w:rsidP="00032159">
            <w:pPr>
              <w:spacing w:after="0" w:line="240" w:lineRule="auto"/>
              <w:jc w:val="center"/>
              <w:rPr>
                <w:rFonts w:ascii="Times New Roman" w:eastAsia="Times New Roman" w:hAnsi="Times New Roman" w:cs="Times New Roman"/>
              </w:rPr>
            </w:pPr>
          </w:p>
          <w:p w:rsidR="00854DC4" w:rsidRPr="00920EB1" w:rsidRDefault="00854DC4" w:rsidP="00032159">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97,58</w:t>
            </w:r>
          </w:p>
        </w:tc>
      </w:tr>
    </w:tbl>
    <w:p w:rsidR="007D774A" w:rsidRDefault="007D774A" w:rsidP="00A37E3C">
      <w:pPr>
        <w:autoSpaceDE w:val="0"/>
        <w:autoSpaceDN w:val="0"/>
        <w:adjustRightInd w:val="0"/>
        <w:spacing w:after="0" w:line="240" w:lineRule="auto"/>
        <w:ind w:firstLine="567"/>
        <w:jc w:val="both"/>
        <w:rPr>
          <w:rFonts w:ascii="Times New Roman" w:hAnsi="Times New Roman" w:cs="Times New Roman"/>
          <w:color w:val="000000"/>
          <w:sz w:val="24"/>
          <w:szCs w:val="24"/>
        </w:rPr>
      </w:pPr>
    </w:p>
    <w:p w:rsidR="0018738E" w:rsidRPr="0018738E" w:rsidRDefault="00A37E3C" w:rsidP="00822E32">
      <w:pPr>
        <w:autoSpaceDE w:val="0"/>
        <w:autoSpaceDN w:val="0"/>
        <w:adjustRightInd w:val="0"/>
        <w:spacing w:after="0" w:line="240" w:lineRule="auto"/>
        <w:ind w:firstLine="709"/>
        <w:jc w:val="both"/>
        <w:rPr>
          <w:rFonts w:ascii="Times New Roman" w:hAnsi="Times New Roman" w:cs="Times New Roman"/>
          <w:color w:val="000000"/>
          <w:sz w:val="24"/>
          <w:szCs w:val="24"/>
        </w:rPr>
      </w:pPr>
      <w:r w:rsidRPr="0018738E">
        <w:rPr>
          <w:rFonts w:ascii="Times New Roman" w:hAnsi="Times New Roman" w:cs="Times New Roman"/>
          <w:color w:val="000000"/>
          <w:sz w:val="24"/>
          <w:szCs w:val="24"/>
        </w:rPr>
        <w:t>V roku 201</w:t>
      </w:r>
      <w:r w:rsidR="003A32CA">
        <w:rPr>
          <w:rFonts w:ascii="Times New Roman" w:hAnsi="Times New Roman" w:cs="Times New Roman"/>
          <w:color w:val="000000"/>
          <w:sz w:val="24"/>
          <w:szCs w:val="24"/>
        </w:rPr>
        <w:t>5</w:t>
      </w:r>
      <w:r w:rsidRPr="0018738E">
        <w:rPr>
          <w:rFonts w:ascii="Times New Roman" w:hAnsi="Times New Roman" w:cs="Times New Roman"/>
          <w:color w:val="000000"/>
          <w:sz w:val="24"/>
          <w:szCs w:val="24"/>
        </w:rPr>
        <w:t xml:space="preserve"> boli </w:t>
      </w:r>
      <w:r w:rsidR="0018738E" w:rsidRPr="0018738E">
        <w:rPr>
          <w:rFonts w:ascii="Times New Roman" w:hAnsi="Times New Roman" w:cs="Times New Roman"/>
          <w:color w:val="000000"/>
          <w:sz w:val="24"/>
          <w:szCs w:val="24"/>
        </w:rPr>
        <w:t xml:space="preserve">rozpočtové prostriedky </w:t>
      </w:r>
      <w:r w:rsidR="00B816BF">
        <w:rPr>
          <w:rFonts w:ascii="Times New Roman" w:hAnsi="Times New Roman" w:cs="Times New Roman"/>
          <w:color w:val="000000"/>
          <w:sz w:val="24"/>
          <w:szCs w:val="24"/>
        </w:rPr>
        <w:t xml:space="preserve">čerpané </w:t>
      </w:r>
      <w:r w:rsidR="001E165A">
        <w:rPr>
          <w:rFonts w:ascii="Times New Roman" w:hAnsi="Times New Roman" w:cs="Times New Roman"/>
          <w:color w:val="000000"/>
          <w:sz w:val="24"/>
          <w:szCs w:val="24"/>
        </w:rPr>
        <w:t>v sume</w:t>
      </w:r>
      <w:r w:rsidR="0018738E" w:rsidRPr="0018738E">
        <w:rPr>
          <w:rFonts w:ascii="Times New Roman" w:hAnsi="Times New Roman" w:cs="Times New Roman"/>
          <w:color w:val="000000"/>
          <w:sz w:val="24"/>
          <w:szCs w:val="24"/>
        </w:rPr>
        <w:t xml:space="preserve"> </w:t>
      </w:r>
      <w:r w:rsidR="001E165A">
        <w:rPr>
          <w:rFonts w:ascii="Times New Roman" w:hAnsi="Times New Roman" w:cs="Times New Roman"/>
          <w:sz w:val="24"/>
          <w:szCs w:val="24"/>
          <w:lang w:eastAsia="sk-SK"/>
        </w:rPr>
        <w:t>160 845,50</w:t>
      </w:r>
      <w:r w:rsidR="0018738E" w:rsidRPr="0018738E">
        <w:rPr>
          <w:rFonts w:ascii="Times New Roman" w:hAnsi="Times New Roman" w:cs="Times New Roman"/>
          <w:color w:val="000000"/>
          <w:sz w:val="24"/>
          <w:szCs w:val="24"/>
        </w:rPr>
        <w:t xml:space="preserve"> eur, čo je</w:t>
      </w:r>
      <w:r w:rsidR="001E165A">
        <w:rPr>
          <w:rFonts w:ascii="Times New Roman" w:hAnsi="Times New Roman" w:cs="Times New Roman"/>
          <w:color w:val="000000"/>
          <w:sz w:val="24"/>
          <w:szCs w:val="24"/>
        </w:rPr>
        <w:t xml:space="preserve">       97,58</w:t>
      </w:r>
      <w:r w:rsidR="0018738E" w:rsidRPr="0018738E">
        <w:rPr>
          <w:rFonts w:ascii="Times New Roman" w:hAnsi="Times New Roman" w:cs="Times New Roman"/>
          <w:color w:val="000000"/>
          <w:sz w:val="24"/>
          <w:szCs w:val="24"/>
        </w:rPr>
        <w:t xml:space="preserve"> % z upraveného rozpočtu </w:t>
      </w:r>
      <w:r w:rsidR="00B816BF">
        <w:rPr>
          <w:rFonts w:ascii="Times New Roman" w:hAnsi="Times New Roman" w:cs="Times New Roman"/>
          <w:color w:val="000000"/>
          <w:sz w:val="24"/>
          <w:szCs w:val="24"/>
        </w:rPr>
        <w:t xml:space="preserve">a boli </w:t>
      </w:r>
      <w:r w:rsidR="0018738E" w:rsidRPr="0018738E">
        <w:rPr>
          <w:rFonts w:ascii="Times New Roman" w:hAnsi="Times New Roman" w:cs="Times New Roman"/>
          <w:color w:val="000000"/>
          <w:sz w:val="24"/>
          <w:szCs w:val="24"/>
        </w:rPr>
        <w:t xml:space="preserve">použité na úhradu miezd pre zamestnancov pracovnej skupiny na realizáciu prípravy a zabezpečenia predsedníctva SR v Rade EÚ v roku 2016. </w:t>
      </w:r>
    </w:p>
    <w:p w:rsidR="00A37E3C" w:rsidRDefault="00A37E3C" w:rsidP="003E1151">
      <w:pPr>
        <w:spacing w:after="0" w:line="240" w:lineRule="auto"/>
        <w:ind w:right="26" w:firstLine="540"/>
        <w:jc w:val="both"/>
        <w:rPr>
          <w:rFonts w:ascii="Times New Roman" w:hAnsi="Times New Roman" w:cs="Times New Roman"/>
          <w:sz w:val="24"/>
          <w:szCs w:val="24"/>
        </w:rPr>
      </w:pPr>
    </w:p>
    <w:p w:rsidR="00AD2B3E" w:rsidRPr="00AD2B3E" w:rsidRDefault="00AD2B3E" w:rsidP="00AD2B3E">
      <w:pPr>
        <w:spacing w:after="0" w:line="240" w:lineRule="auto"/>
        <w:ind w:right="26"/>
        <w:jc w:val="both"/>
        <w:rPr>
          <w:rFonts w:ascii="Times New Roman" w:hAnsi="Times New Roman" w:cs="Times New Roman"/>
          <w:i/>
          <w:sz w:val="24"/>
          <w:szCs w:val="24"/>
        </w:rPr>
      </w:pPr>
      <w:r w:rsidRPr="00AD2B3E">
        <w:rPr>
          <w:rFonts w:ascii="Times New Roman" w:hAnsi="Times New Roman" w:cs="Times New Roman"/>
          <w:i/>
          <w:sz w:val="24"/>
          <w:szCs w:val="24"/>
        </w:rPr>
        <w:t>07L0</w:t>
      </w:r>
      <w:r w:rsidR="006A60E8">
        <w:rPr>
          <w:rFonts w:ascii="Times New Roman" w:hAnsi="Times New Roman" w:cs="Times New Roman"/>
          <w:i/>
          <w:sz w:val="24"/>
          <w:szCs w:val="24"/>
        </w:rPr>
        <w:t>9</w:t>
      </w:r>
      <w:r w:rsidRPr="00AD2B3E">
        <w:rPr>
          <w:rFonts w:ascii="Times New Roman" w:hAnsi="Times New Roman" w:cs="Times New Roman"/>
          <w:i/>
          <w:sz w:val="24"/>
          <w:szCs w:val="24"/>
        </w:rPr>
        <w:t xml:space="preserve"> – </w:t>
      </w:r>
      <w:r w:rsidR="006A60E8">
        <w:rPr>
          <w:rFonts w:ascii="Times New Roman" w:hAnsi="Times New Roman" w:cs="Times New Roman"/>
          <w:i/>
          <w:sz w:val="24"/>
          <w:szCs w:val="24"/>
        </w:rPr>
        <w:t>Technická pomoc - opatrenie 4.1. OP KaHR</w:t>
      </w:r>
    </w:p>
    <w:p w:rsidR="001E165A" w:rsidRPr="00E91F66" w:rsidRDefault="00DE17D0" w:rsidP="001E165A">
      <w:pPr>
        <w:spacing w:after="0" w:line="240" w:lineRule="auto"/>
        <w:ind w:firstLine="540"/>
        <w:jc w:val="right"/>
        <w:rPr>
          <w:rFonts w:ascii="Times New Roman" w:hAnsi="Times New Roman" w:cs="Times New Roman"/>
          <w:sz w:val="24"/>
          <w:szCs w:val="24"/>
        </w:rPr>
      </w:pPr>
      <w:r>
        <w:rPr>
          <w:rFonts w:ascii="Times New Roman" w:hAnsi="Times New Roman" w:cs="Times New Roman"/>
          <w:sz w:val="24"/>
          <w:szCs w:val="24"/>
        </w:rPr>
        <w:t xml:space="preserve">        </w:t>
      </w:r>
      <w:r w:rsidR="001E165A" w:rsidRPr="00E91F66">
        <w:rPr>
          <w:rFonts w:ascii="Times New Roman" w:hAnsi="Times New Roman" w:cs="Times New Roman"/>
          <w:sz w:val="24"/>
          <w:szCs w:val="24"/>
        </w:rPr>
        <w:t>v eur</w:t>
      </w:r>
      <w:r w:rsidR="001E165A">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50"/>
        <w:gridCol w:w="1276"/>
        <w:gridCol w:w="1417"/>
        <w:gridCol w:w="1418"/>
        <w:gridCol w:w="1417"/>
      </w:tblGrid>
      <w:tr w:rsidR="0059693B" w:rsidRPr="00920EB1" w:rsidTr="00F564B2">
        <w:trPr>
          <w:trHeight w:val="718"/>
        </w:trPr>
        <w:tc>
          <w:tcPr>
            <w:tcW w:w="2694" w:type="dxa"/>
            <w:shd w:val="clear" w:color="auto" w:fill="auto"/>
          </w:tcPr>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032159">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0B3483">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276"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0B3483" w:rsidRPr="00920EB1" w:rsidTr="00F564B2">
        <w:tc>
          <w:tcPr>
            <w:tcW w:w="2694" w:type="dxa"/>
            <w:shd w:val="clear" w:color="auto" w:fill="auto"/>
          </w:tcPr>
          <w:p w:rsidR="000B3483" w:rsidRPr="00920EB1" w:rsidRDefault="000B3483" w:rsidP="00032159">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 xml:space="preserve">610 - mzdy, platy, služobné príjmy a </w:t>
            </w:r>
            <w:proofErr w:type="spellStart"/>
            <w:r w:rsidRPr="00920EB1">
              <w:rPr>
                <w:rFonts w:ascii="Times New Roman" w:eastAsia="Times New Roman" w:hAnsi="Times New Roman" w:cs="Times New Roman"/>
              </w:rPr>
              <w:t>OOV</w:t>
            </w:r>
            <w:proofErr w:type="spellEnd"/>
          </w:p>
        </w:tc>
        <w:tc>
          <w:tcPr>
            <w:tcW w:w="850" w:type="dxa"/>
          </w:tcPr>
          <w:p w:rsidR="000B3483" w:rsidRPr="00920EB1" w:rsidRDefault="00C7085B" w:rsidP="00AF766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w:t>
            </w:r>
            <w:r w:rsidR="00927AF5" w:rsidRPr="00920EB1">
              <w:rPr>
                <w:rFonts w:ascii="Times New Roman" w:hAnsi="Times New Roman" w:cs="Times New Roman"/>
                <w:lang w:eastAsia="sk-SK"/>
              </w:rPr>
              <w:t>3</w:t>
            </w:r>
            <w:r w:rsidRPr="00920EB1">
              <w:rPr>
                <w:rFonts w:ascii="Times New Roman" w:hAnsi="Times New Roman" w:cs="Times New Roman"/>
                <w:lang w:eastAsia="sk-SK"/>
              </w:rPr>
              <w:t>S1</w:t>
            </w:r>
          </w:p>
          <w:p w:rsidR="00C7085B" w:rsidRPr="00920EB1" w:rsidRDefault="00927AF5" w:rsidP="00AF766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13</w:t>
            </w:r>
            <w:r w:rsidR="00C7085B" w:rsidRPr="00920EB1">
              <w:rPr>
                <w:rFonts w:ascii="Times New Roman" w:hAnsi="Times New Roman" w:cs="Times New Roman"/>
                <w:lang w:eastAsia="sk-SK"/>
              </w:rPr>
              <w:t>S2</w:t>
            </w:r>
          </w:p>
        </w:tc>
        <w:tc>
          <w:tcPr>
            <w:tcW w:w="1276" w:type="dxa"/>
            <w:shd w:val="clear" w:color="auto" w:fill="auto"/>
          </w:tcPr>
          <w:p w:rsidR="000B3483" w:rsidRPr="00920EB1" w:rsidRDefault="000B3483" w:rsidP="005E1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p w:rsidR="005E1DA7" w:rsidRPr="00920EB1" w:rsidRDefault="00C7085B" w:rsidP="005E1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417" w:type="dxa"/>
            <w:shd w:val="clear" w:color="auto" w:fill="auto"/>
          </w:tcPr>
          <w:p w:rsidR="00927AF5" w:rsidRPr="00920EB1" w:rsidRDefault="00927AF5" w:rsidP="00F564B2">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1 966 873,45</w:t>
            </w:r>
          </w:p>
          <w:p w:rsidR="000B3483" w:rsidRPr="00920EB1" w:rsidRDefault="00927AF5" w:rsidP="00F564B2">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347 095,32</w:t>
            </w:r>
          </w:p>
        </w:tc>
        <w:tc>
          <w:tcPr>
            <w:tcW w:w="1418" w:type="dxa"/>
            <w:shd w:val="clear" w:color="auto" w:fill="auto"/>
          </w:tcPr>
          <w:p w:rsidR="00927AF5" w:rsidRPr="00920EB1" w:rsidRDefault="00927AF5" w:rsidP="00F564B2">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1 966 873,45</w:t>
            </w:r>
          </w:p>
          <w:p w:rsidR="005E1DA7" w:rsidRPr="00920EB1" w:rsidRDefault="00927AF5" w:rsidP="00F564B2">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347 095,32</w:t>
            </w:r>
          </w:p>
        </w:tc>
        <w:tc>
          <w:tcPr>
            <w:tcW w:w="1417" w:type="dxa"/>
            <w:shd w:val="clear" w:color="auto" w:fill="auto"/>
          </w:tcPr>
          <w:p w:rsidR="000B3483" w:rsidRPr="00920EB1" w:rsidRDefault="00927AF5" w:rsidP="00032159">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p w:rsidR="00927AF5" w:rsidRPr="00920EB1" w:rsidRDefault="00927AF5" w:rsidP="00032159">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tc>
      </w:tr>
      <w:tr w:rsidR="003D6EA0" w:rsidRPr="00CA0195" w:rsidTr="00F564B2">
        <w:tc>
          <w:tcPr>
            <w:tcW w:w="2694" w:type="dxa"/>
            <w:shd w:val="clear" w:color="auto" w:fill="auto"/>
          </w:tcPr>
          <w:p w:rsidR="003D6EA0" w:rsidRPr="00CA0195" w:rsidRDefault="003D6EA0" w:rsidP="00032159">
            <w:pPr>
              <w:spacing w:after="0" w:line="240" w:lineRule="auto"/>
              <w:jc w:val="both"/>
              <w:rPr>
                <w:rFonts w:ascii="Times New Roman" w:eastAsia="Times New Roman" w:hAnsi="Times New Roman" w:cs="Times New Roman"/>
                <w:b/>
              </w:rPr>
            </w:pPr>
            <w:r w:rsidRPr="00CA0195">
              <w:rPr>
                <w:rFonts w:ascii="Times New Roman" w:eastAsia="Times New Roman" w:hAnsi="Times New Roman" w:cs="Times New Roman"/>
                <w:b/>
              </w:rPr>
              <w:t>SPOLU 610</w:t>
            </w:r>
          </w:p>
        </w:tc>
        <w:tc>
          <w:tcPr>
            <w:tcW w:w="850" w:type="dxa"/>
          </w:tcPr>
          <w:p w:rsidR="003D6EA0" w:rsidRPr="00CA0195" w:rsidRDefault="003D6EA0" w:rsidP="00AF766A">
            <w:pPr>
              <w:autoSpaceDE w:val="0"/>
              <w:autoSpaceDN w:val="0"/>
              <w:adjustRightInd w:val="0"/>
              <w:spacing w:after="0" w:line="240" w:lineRule="auto"/>
              <w:jc w:val="center"/>
              <w:rPr>
                <w:rFonts w:ascii="Times New Roman" w:hAnsi="Times New Roman" w:cs="Times New Roman"/>
                <w:b/>
                <w:lang w:eastAsia="sk-SK"/>
              </w:rPr>
            </w:pPr>
          </w:p>
        </w:tc>
        <w:tc>
          <w:tcPr>
            <w:tcW w:w="1276" w:type="dxa"/>
            <w:shd w:val="clear" w:color="auto" w:fill="auto"/>
          </w:tcPr>
          <w:p w:rsidR="003D6EA0" w:rsidRPr="00CA0195" w:rsidRDefault="003D6EA0" w:rsidP="00325170">
            <w:pPr>
              <w:autoSpaceDE w:val="0"/>
              <w:autoSpaceDN w:val="0"/>
              <w:adjustRightInd w:val="0"/>
              <w:spacing w:after="0" w:line="240" w:lineRule="auto"/>
              <w:jc w:val="right"/>
              <w:rPr>
                <w:rFonts w:ascii="Times New Roman" w:hAnsi="Times New Roman" w:cs="Times New Roman"/>
                <w:b/>
                <w:lang w:eastAsia="sk-SK"/>
              </w:rPr>
            </w:pPr>
            <w:r w:rsidRPr="00CA0195">
              <w:rPr>
                <w:rFonts w:ascii="Times New Roman" w:hAnsi="Times New Roman" w:cs="Times New Roman"/>
                <w:b/>
                <w:lang w:eastAsia="sk-SK"/>
              </w:rPr>
              <w:t>0,00</w:t>
            </w:r>
          </w:p>
        </w:tc>
        <w:tc>
          <w:tcPr>
            <w:tcW w:w="1417" w:type="dxa"/>
            <w:shd w:val="clear" w:color="auto" w:fill="auto"/>
          </w:tcPr>
          <w:p w:rsidR="003D6EA0" w:rsidRPr="00CA0195" w:rsidRDefault="00927AF5" w:rsidP="00927AF5">
            <w:pPr>
              <w:autoSpaceDE w:val="0"/>
              <w:autoSpaceDN w:val="0"/>
              <w:adjustRightInd w:val="0"/>
              <w:spacing w:after="0" w:line="240" w:lineRule="auto"/>
              <w:rPr>
                <w:rFonts w:ascii="Times New Roman" w:hAnsi="Times New Roman" w:cs="Times New Roman"/>
                <w:b/>
                <w:lang w:eastAsia="sk-SK"/>
              </w:rPr>
            </w:pPr>
            <w:r w:rsidRPr="00CA0195">
              <w:rPr>
                <w:rFonts w:ascii="Times New Roman" w:hAnsi="Times New Roman" w:cs="Times New Roman"/>
                <w:b/>
                <w:lang w:eastAsia="sk-SK"/>
              </w:rPr>
              <w:t>2 313 968,77</w:t>
            </w:r>
          </w:p>
        </w:tc>
        <w:tc>
          <w:tcPr>
            <w:tcW w:w="1418" w:type="dxa"/>
            <w:shd w:val="clear" w:color="auto" w:fill="auto"/>
          </w:tcPr>
          <w:p w:rsidR="003D6EA0" w:rsidRPr="00CA0195" w:rsidRDefault="00927AF5" w:rsidP="00927AF5">
            <w:pPr>
              <w:autoSpaceDE w:val="0"/>
              <w:autoSpaceDN w:val="0"/>
              <w:adjustRightInd w:val="0"/>
              <w:spacing w:after="0" w:line="240" w:lineRule="auto"/>
              <w:rPr>
                <w:rFonts w:ascii="Times New Roman" w:hAnsi="Times New Roman" w:cs="Times New Roman"/>
                <w:b/>
                <w:lang w:eastAsia="sk-SK"/>
              </w:rPr>
            </w:pPr>
            <w:r w:rsidRPr="00CA0195">
              <w:rPr>
                <w:rFonts w:ascii="Times New Roman" w:hAnsi="Times New Roman" w:cs="Times New Roman"/>
                <w:b/>
                <w:lang w:eastAsia="sk-SK"/>
              </w:rPr>
              <w:t>2 313 968,77</w:t>
            </w:r>
          </w:p>
        </w:tc>
        <w:tc>
          <w:tcPr>
            <w:tcW w:w="1417" w:type="dxa"/>
            <w:shd w:val="clear" w:color="auto" w:fill="auto"/>
          </w:tcPr>
          <w:p w:rsidR="003D6EA0" w:rsidRPr="00CA0195" w:rsidRDefault="00927AF5" w:rsidP="00032159">
            <w:pPr>
              <w:spacing w:after="0" w:line="240" w:lineRule="auto"/>
              <w:jc w:val="center"/>
              <w:rPr>
                <w:rFonts w:ascii="Times New Roman" w:eastAsia="Times New Roman" w:hAnsi="Times New Roman" w:cs="Times New Roman"/>
                <w:b/>
              </w:rPr>
            </w:pPr>
            <w:r w:rsidRPr="00CA0195">
              <w:rPr>
                <w:rFonts w:ascii="Times New Roman" w:eastAsia="Times New Roman" w:hAnsi="Times New Roman" w:cs="Times New Roman"/>
                <w:b/>
              </w:rPr>
              <w:t>100,00</w:t>
            </w:r>
          </w:p>
        </w:tc>
      </w:tr>
    </w:tbl>
    <w:p w:rsidR="007D774A" w:rsidRDefault="007D774A" w:rsidP="003E1151">
      <w:pPr>
        <w:spacing w:after="0" w:line="240" w:lineRule="auto"/>
        <w:ind w:right="26" w:firstLine="540"/>
        <w:jc w:val="both"/>
        <w:rPr>
          <w:rFonts w:ascii="Times New Roman" w:hAnsi="Times New Roman" w:cs="Times New Roman"/>
          <w:color w:val="000000"/>
          <w:sz w:val="24"/>
          <w:szCs w:val="24"/>
        </w:rPr>
      </w:pPr>
    </w:p>
    <w:p w:rsidR="00AD2B3E" w:rsidRPr="008F0D45" w:rsidRDefault="00AB23CA" w:rsidP="00927AF5">
      <w:pPr>
        <w:autoSpaceDE w:val="0"/>
        <w:autoSpaceDN w:val="0"/>
        <w:adjustRightInd w:val="0"/>
        <w:spacing w:after="0" w:line="240" w:lineRule="auto"/>
        <w:ind w:firstLine="709"/>
        <w:jc w:val="both"/>
        <w:rPr>
          <w:rFonts w:ascii="Times New Roman" w:hAnsi="Times New Roman" w:cs="Times New Roman"/>
          <w:color w:val="000000"/>
          <w:sz w:val="24"/>
          <w:szCs w:val="24"/>
        </w:rPr>
      </w:pPr>
      <w:r w:rsidRPr="00AB23CA">
        <w:rPr>
          <w:rFonts w:ascii="Times New Roman" w:hAnsi="Times New Roman" w:cs="Times New Roman"/>
          <w:color w:val="000000"/>
          <w:sz w:val="24"/>
          <w:szCs w:val="24"/>
        </w:rPr>
        <w:t xml:space="preserve">Výdavky </w:t>
      </w:r>
      <w:r w:rsidR="00927AF5">
        <w:rPr>
          <w:rFonts w:ascii="Times New Roman" w:hAnsi="Times New Roman" w:cs="Times New Roman"/>
          <w:color w:val="000000"/>
          <w:sz w:val="24"/>
          <w:szCs w:val="24"/>
        </w:rPr>
        <w:t>v sume</w:t>
      </w:r>
      <w:r>
        <w:rPr>
          <w:rFonts w:ascii="Times New Roman" w:hAnsi="Times New Roman" w:cs="Times New Roman"/>
          <w:color w:val="000000"/>
          <w:sz w:val="24"/>
          <w:szCs w:val="24"/>
        </w:rPr>
        <w:t xml:space="preserve"> </w:t>
      </w:r>
      <w:r w:rsidR="00927AF5" w:rsidRPr="00927AF5">
        <w:rPr>
          <w:rFonts w:ascii="Times New Roman" w:hAnsi="Times New Roman" w:cs="Times New Roman"/>
          <w:sz w:val="24"/>
          <w:szCs w:val="24"/>
          <w:lang w:eastAsia="sk-SK"/>
        </w:rPr>
        <w:t>2 313 968,77</w:t>
      </w:r>
      <w:r w:rsidR="00927AF5">
        <w:rPr>
          <w:rFonts w:ascii="Times New Roman" w:hAnsi="Times New Roman" w:cs="Times New Roman"/>
          <w:sz w:val="24"/>
          <w:szCs w:val="24"/>
          <w:lang w:eastAsia="sk-SK"/>
        </w:rPr>
        <w:t xml:space="preserve"> </w:t>
      </w:r>
      <w:r>
        <w:rPr>
          <w:rFonts w:ascii="Times New Roman" w:hAnsi="Times New Roman" w:cs="Times New Roman"/>
          <w:color w:val="000000"/>
          <w:sz w:val="24"/>
          <w:szCs w:val="24"/>
        </w:rPr>
        <w:t xml:space="preserve">eur </w:t>
      </w:r>
      <w:r w:rsidRPr="00AB23CA">
        <w:rPr>
          <w:rFonts w:ascii="Times New Roman" w:hAnsi="Times New Roman" w:cs="Times New Roman"/>
          <w:color w:val="000000"/>
          <w:sz w:val="24"/>
          <w:szCs w:val="24"/>
        </w:rPr>
        <w:t>boli použité na refundáciu mzdových výdavkov</w:t>
      </w:r>
      <w:r w:rsidRPr="00AB23CA">
        <w:rPr>
          <w:rFonts w:ascii="Times New Roman" w:hAnsi="Times New Roman" w:cs="Times New Roman"/>
          <w:b/>
          <w:bCs/>
          <w:color w:val="000000"/>
          <w:sz w:val="24"/>
          <w:szCs w:val="24"/>
        </w:rPr>
        <w:t xml:space="preserve"> </w:t>
      </w:r>
      <w:r w:rsidRPr="00AB23CA">
        <w:rPr>
          <w:rFonts w:ascii="Times New Roman" w:hAnsi="Times New Roman" w:cs="Times New Roman"/>
          <w:color w:val="000000"/>
          <w:sz w:val="24"/>
          <w:szCs w:val="24"/>
        </w:rPr>
        <w:t xml:space="preserve">(hrubé mzdy, odmeny a odvody zamestnávateľa) </w:t>
      </w:r>
      <w:r w:rsidRPr="008F0D45">
        <w:rPr>
          <w:rFonts w:ascii="Times New Roman" w:hAnsi="Times New Roman" w:cs="Times New Roman"/>
          <w:color w:val="000000"/>
          <w:sz w:val="24"/>
          <w:szCs w:val="24"/>
        </w:rPr>
        <w:t>oprávnených zamestnancov podieľajúcich  sa na riadení,  implementácii,  monitorovaní,</w:t>
      </w:r>
      <w:r w:rsidR="008F0D45" w:rsidRPr="008F0D45">
        <w:rPr>
          <w:rFonts w:ascii="Times New Roman" w:hAnsi="Times New Roman" w:cs="Times New Roman"/>
          <w:color w:val="000000"/>
          <w:sz w:val="24"/>
          <w:szCs w:val="24"/>
        </w:rPr>
        <w:t>  hodnotení, informovaní</w:t>
      </w:r>
      <w:r w:rsidR="008F0D45">
        <w:rPr>
          <w:rFonts w:ascii="Times New Roman" w:hAnsi="Times New Roman" w:cs="Times New Roman"/>
          <w:color w:val="000000"/>
          <w:sz w:val="24"/>
          <w:szCs w:val="24"/>
        </w:rPr>
        <w:t>,</w:t>
      </w:r>
      <w:r w:rsidRPr="008F0D45">
        <w:rPr>
          <w:rFonts w:ascii="Times New Roman" w:hAnsi="Times New Roman" w:cs="Times New Roman"/>
          <w:color w:val="000000"/>
          <w:sz w:val="24"/>
          <w:szCs w:val="24"/>
        </w:rPr>
        <w:t xml:space="preserve"> kontrole  a  audite </w:t>
      </w:r>
      <w:r w:rsidR="00F564B2">
        <w:rPr>
          <w:rFonts w:ascii="Times New Roman" w:hAnsi="Times New Roman" w:cs="Times New Roman"/>
          <w:color w:val="000000"/>
          <w:sz w:val="24"/>
          <w:szCs w:val="24"/>
        </w:rPr>
        <w:t xml:space="preserve">  </w:t>
      </w:r>
      <w:r w:rsidRPr="008F0D45">
        <w:rPr>
          <w:rFonts w:ascii="Times New Roman" w:hAnsi="Times New Roman" w:cs="Times New Roman"/>
          <w:color w:val="000000"/>
          <w:sz w:val="24"/>
          <w:szCs w:val="24"/>
        </w:rPr>
        <w:t xml:space="preserve"> OP  KaHR a príprave nového programového obdobia 2014 – 2020.</w:t>
      </w:r>
    </w:p>
    <w:p w:rsidR="00AD2B3E" w:rsidRPr="008F0D45" w:rsidRDefault="00AD2B3E" w:rsidP="003E1151">
      <w:pPr>
        <w:spacing w:after="0" w:line="240" w:lineRule="auto"/>
        <w:ind w:right="26" w:firstLine="540"/>
        <w:jc w:val="both"/>
        <w:rPr>
          <w:rFonts w:ascii="Times New Roman" w:hAnsi="Times New Roman" w:cs="Times New Roman"/>
          <w:color w:val="000000"/>
          <w:sz w:val="24"/>
          <w:szCs w:val="24"/>
        </w:rPr>
      </w:pPr>
    </w:p>
    <w:p w:rsidR="000F02AE" w:rsidRDefault="000F02AE" w:rsidP="000F02AE">
      <w:pPr>
        <w:spacing w:after="0" w:line="240" w:lineRule="auto"/>
        <w:jc w:val="both"/>
        <w:rPr>
          <w:rFonts w:ascii="Times New Roman" w:hAnsi="Times New Roman"/>
          <w:b/>
          <w:sz w:val="24"/>
          <w:szCs w:val="24"/>
        </w:rPr>
      </w:pPr>
      <w:r w:rsidRPr="00A21273">
        <w:rPr>
          <w:rFonts w:ascii="Times New Roman" w:hAnsi="Times New Roman"/>
          <w:b/>
          <w:sz w:val="24"/>
          <w:szCs w:val="24"/>
        </w:rPr>
        <w:t xml:space="preserve">Kategória 620 – </w:t>
      </w:r>
      <w:r>
        <w:rPr>
          <w:rFonts w:ascii="Times New Roman" w:hAnsi="Times New Roman"/>
          <w:b/>
          <w:sz w:val="24"/>
          <w:szCs w:val="24"/>
        </w:rPr>
        <w:t>P</w:t>
      </w:r>
      <w:r w:rsidRPr="00A21273">
        <w:rPr>
          <w:rFonts w:ascii="Times New Roman" w:hAnsi="Times New Roman"/>
          <w:b/>
          <w:sz w:val="24"/>
          <w:szCs w:val="24"/>
        </w:rPr>
        <w:t xml:space="preserve">oistné a príspevok do poisťovní </w:t>
      </w:r>
    </w:p>
    <w:p w:rsidR="000F02AE" w:rsidRPr="00A21273" w:rsidRDefault="000F02AE" w:rsidP="000F02AE">
      <w:pPr>
        <w:spacing w:after="0" w:line="240" w:lineRule="auto"/>
        <w:jc w:val="both"/>
        <w:rPr>
          <w:rFonts w:ascii="Times New Roman" w:hAnsi="Times New Roman"/>
          <w:b/>
          <w:sz w:val="24"/>
          <w:szCs w:val="24"/>
        </w:rPr>
      </w:pPr>
    </w:p>
    <w:p w:rsidR="000F02AE" w:rsidRDefault="000F02AE" w:rsidP="00385DA7">
      <w:pPr>
        <w:autoSpaceDE w:val="0"/>
        <w:autoSpaceDN w:val="0"/>
        <w:adjustRightInd w:val="0"/>
        <w:spacing w:after="0" w:line="240" w:lineRule="auto"/>
        <w:ind w:firstLine="708"/>
        <w:jc w:val="both"/>
        <w:rPr>
          <w:rFonts w:ascii="Times New Roman" w:hAnsi="Times New Roman" w:cs="Times New Roman"/>
          <w:sz w:val="24"/>
          <w:szCs w:val="24"/>
        </w:rPr>
      </w:pPr>
      <w:r w:rsidRPr="004734F2">
        <w:rPr>
          <w:rFonts w:ascii="Times New Roman" w:hAnsi="Times New Roman" w:cs="Times New Roman"/>
          <w:sz w:val="24"/>
          <w:szCs w:val="24"/>
        </w:rPr>
        <w:t>Upravený rozpočet na rok 201</w:t>
      </w:r>
      <w:r w:rsidR="00385DA7">
        <w:rPr>
          <w:rFonts w:ascii="Times New Roman" w:hAnsi="Times New Roman" w:cs="Times New Roman"/>
          <w:sz w:val="24"/>
          <w:szCs w:val="24"/>
        </w:rPr>
        <w:t>5</w:t>
      </w:r>
      <w:r w:rsidRPr="004734F2">
        <w:rPr>
          <w:rFonts w:ascii="Times New Roman" w:hAnsi="Times New Roman" w:cs="Times New Roman"/>
          <w:sz w:val="24"/>
          <w:szCs w:val="24"/>
        </w:rPr>
        <w:t xml:space="preserve"> v</w:t>
      </w:r>
      <w:r w:rsidR="00CA0195">
        <w:rPr>
          <w:rFonts w:ascii="Times New Roman" w:hAnsi="Times New Roman" w:cs="Times New Roman"/>
          <w:sz w:val="24"/>
          <w:szCs w:val="24"/>
        </w:rPr>
        <w:t> </w:t>
      </w:r>
      <w:r w:rsidRPr="004734F2">
        <w:rPr>
          <w:rFonts w:ascii="Times New Roman" w:hAnsi="Times New Roman" w:cs="Times New Roman"/>
          <w:sz w:val="24"/>
          <w:szCs w:val="24"/>
        </w:rPr>
        <w:t>tejto</w:t>
      </w:r>
      <w:r w:rsidR="00CA0195">
        <w:rPr>
          <w:rFonts w:ascii="Times New Roman" w:hAnsi="Times New Roman" w:cs="Times New Roman"/>
          <w:sz w:val="24"/>
          <w:szCs w:val="24"/>
        </w:rPr>
        <w:t xml:space="preserve"> ekonomickej </w:t>
      </w:r>
      <w:r w:rsidRPr="004734F2">
        <w:rPr>
          <w:rFonts w:ascii="Times New Roman" w:hAnsi="Times New Roman" w:cs="Times New Roman"/>
          <w:sz w:val="24"/>
          <w:szCs w:val="24"/>
        </w:rPr>
        <w:t xml:space="preserve">kategórii bol </w:t>
      </w:r>
      <w:r w:rsidR="00385DA7">
        <w:rPr>
          <w:rFonts w:ascii="Times New Roman" w:hAnsi="Times New Roman" w:cs="Times New Roman"/>
          <w:sz w:val="24"/>
          <w:szCs w:val="24"/>
        </w:rPr>
        <w:t>v</w:t>
      </w:r>
      <w:r w:rsidR="00CA0195">
        <w:rPr>
          <w:rFonts w:ascii="Times New Roman" w:hAnsi="Times New Roman" w:cs="Times New Roman"/>
          <w:sz w:val="24"/>
          <w:szCs w:val="24"/>
        </w:rPr>
        <w:t> </w:t>
      </w:r>
      <w:r w:rsidR="00385DA7">
        <w:rPr>
          <w:rFonts w:ascii="Times New Roman" w:hAnsi="Times New Roman" w:cs="Times New Roman"/>
          <w:sz w:val="24"/>
          <w:szCs w:val="24"/>
        </w:rPr>
        <w:t>sume</w:t>
      </w:r>
      <w:r w:rsidR="00CA0195">
        <w:rPr>
          <w:rFonts w:ascii="Times New Roman" w:hAnsi="Times New Roman" w:cs="Times New Roman"/>
          <w:sz w:val="24"/>
          <w:szCs w:val="24"/>
        </w:rPr>
        <w:t xml:space="preserve">                      </w:t>
      </w:r>
      <w:r w:rsidRPr="004734F2">
        <w:rPr>
          <w:rFonts w:ascii="Times New Roman" w:hAnsi="Times New Roman" w:cs="Times New Roman"/>
          <w:sz w:val="24"/>
          <w:szCs w:val="24"/>
        </w:rPr>
        <w:t xml:space="preserve"> </w:t>
      </w:r>
      <w:r w:rsidR="00385DA7">
        <w:rPr>
          <w:rFonts w:ascii="Times New Roman" w:hAnsi="Times New Roman" w:cs="Times New Roman"/>
          <w:sz w:val="24"/>
          <w:szCs w:val="24"/>
          <w:lang w:eastAsia="sk-SK"/>
        </w:rPr>
        <w:t xml:space="preserve">4 342 506,78 </w:t>
      </w:r>
      <w:r w:rsidR="005E1DA7">
        <w:rPr>
          <w:rFonts w:ascii="Times New Roman" w:hAnsi="Times New Roman" w:cs="Times New Roman"/>
          <w:sz w:val="24"/>
          <w:szCs w:val="24"/>
        </w:rPr>
        <w:t>e</w:t>
      </w:r>
      <w:r w:rsidRPr="004734F2">
        <w:rPr>
          <w:rFonts w:ascii="Times New Roman" w:hAnsi="Times New Roman" w:cs="Times New Roman"/>
          <w:sz w:val="24"/>
          <w:szCs w:val="24"/>
        </w:rPr>
        <w:t xml:space="preserve">ur a skutočné čerpanie bolo </w:t>
      </w:r>
      <w:r w:rsidR="00385DA7">
        <w:rPr>
          <w:rFonts w:ascii="Times New Roman" w:hAnsi="Times New Roman" w:cs="Times New Roman"/>
          <w:sz w:val="24"/>
          <w:szCs w:val="24"/>
        </w:rPr>
        <w:t>v sume</w:t>
      </w:r>
      <w:r w:rsidR="00385DA7" w:rsidRPr="004734F2">
        <w:rPr>
          <w:rFonts w:ascii="Times New Roman" w:hAnsi="Times New Roman" w:cs="Times New Roman"/>
          <w:sz w:val="24"/>
          <w:szCs w:val="24"/>
        </w:rPr>
        <w:t xml:space="preserve"> </w:t>
      </w:r>
      <w:r w:rsidR="00385DA7">
        <w:rPr>
          <w:rFonts w:ascii="Times New Roman" w:hAnsi="Times New Roman" w:cs="Times New Roman"/>
          <w:sz w:val="24"/>
          <w:szCs w:val="24"/>
        </w:rPr>
        <w:t xml:space="preserve"> </w:t>
      </w:r>
      <w:r w:rsidR="00385DA7">
        <w:rPr>
          <w:rFonts w:ascii="Times New Roman" w:hAnsi="Times New Roman" w:cs="Times New Roman"/>
          <w:sz w:val="24"/>
          <w:szCs w:val="24"/>
          <w:lang w:eastAsia="sk-SK"/>
        </w:rPr>
        <w:t xml:space="preserve">4 336 754,71 </w:t>
      </w:r>
      <w:r w:rsidR="005E1DA7">
        <w:rPr>
          <w:rFonts w:ascii="Times New Roman" w:hAnsi="Times New Roman" w:cs="Times New Roman"/>
          <w:sz w:val="24"/>
          <w:szCs w:val="24"/>
        </w:rPr>
        <w:t>e</w:t>
      </w:r>
      <w:r w:rsidRPr="004734F2">
        <w:rPr>
          <w:rFonts w:ascii="Times New Roman" w:hAnsi="Times New Roman" w:cs="Times New Roman"/>
          <w:sz w:val="24"/>
          <w:szCs w:val="24"/>
        </w:rPr>
        <w:t>ur, čo predstavuje 99,</w:t>
      </w:r>
      <w:r w:rsidR="00385DA7">
        <w:rPr>
          <w:rFonts w:ascii="Times New Roman" w:hAnsi="Times New Roman" w:cs="Times New Roman"/>
          <w:sz w:val="24"/>
          <w:szCs w:val="24"/>
        </w:rPr>
        <w:t>87</w:t>
      </w:r>
      <w:r w:rsidRPr="004734F2">
        <w:rPr>
          <w:rFonts w:ascii="Times New Roman" w:hAnsi="Times New Roman" w:cs="Times New Roman"/>
          <w:sz w:val="24"/>
          <w:szCs w:val="24"/>
        </w:rPr>
        <w:t xml:space="preserve"> %</w:t>
      </w:r>
      <w:r w:rsidR="006F1358">
        <w:rPr>
          <w:rFonts w:ascii="Times New Roman" w:hAnsi="Times New Roman" w:cs="Times New Roman"/>
          <w:sz w:val="24"/>
          <w:szCs w:val="24"/>
        </w:rPr>
        <w:t xml:space="preserve"> z upraveného rozpočtu</w:t>
      </w:r>
      <w:r w:rsidR="00385DA7">
        <w:rPr>
          <w:rFonts w:ascii="Times New Roman" w:hAnsi="Times New Roman" w:cs="Times New Roman"/>
          <w:sz w:val="24"/>
          <w:szCs w:val="24"/>
        </w:rPr>
        <w:t xml:space="preserve"> k 31.12.2015</w:t>
      </w:r>
      <w:r w:rsidR="006F1358">
        <w:rPr>
          <w:rFonts w:ascii="Times New Roman" w:hAnsi="Times New Roman" w:cs="Times New Roman"/>
          <w:sz w:val="24"/>
          <w:szCs w:val="24"/>
        </w:rPr>
        <w:t>.</w:t>
      </w:r>
    </w:p>
    <w:p w:rsidR="00385DA7" w:rsidRDefault="00385DA7" w:rsidP="00385DA7">
      <w:pPr>
        <w:autoSpaceDE w:val="0"/>
        <w:autoSpaceDN w:val="0"/>
        <w:adjustRightInd w:val="0"/>
        <w:spacing w:after="0" w:line="240" w:lineRule="auto"/>
        <w:ind w:firstLine="708"/>
        <w:jc w:val="both"/>
        <w:rPr>
          <w:rFonts w:ascii="Times New Roman" w:hAnsi="Times New Roman" w:cs="Times New Roman"/>
          <w:sz w:val="24"/>
          <w:szCs w:val="24"/>
          <w:lang w:eastAsia="sk-SK"/>
        </w:rPr>
      </w:pPr>
    </w:p>
    <w:p w:rsidR="003B7805" w:rsidRDefault="00032159" w:rsidP="003B7805">
      <w:pPr>
        <w:spacing w:after="0" w:line="240" w:lineRule="auto"/>
        <w:ind w:right="26" w:firstLine="709"/>
        <w:jc w:val="both"/>
        <w:rPr>
          <w:rFonts w:ascii="Times New Roman" w:hAnsi="Times New Roman" w:cs="Times New Roman"/>
          <w:sz w:val="24"/>
          <w:szCs w:val="24"/>
        </w:rPr>
      </w:pPr>
      <w:r>
        <w:rPr>
          <w:rFonts w:ascii="Times New Roman" w:hAnsi="Times New Roman" w:cs="Times New Roman"/>
          <w:sz w:val="24"/>
          <w:szCs w:val="24"/>
        </w:rPr>
        <w:t xml:space="preserve">Čerpanie výdavkov v kategórii </w:t>
      </w:r>
      <w:r w:rsidRPr="00032159">
        <w:rPr>
          <w:rFonts w:ascii="Times New Roman" w:hAnsi="Times New Roman"/>
          <w:sz w:val="24"/>
          <w:szCs w:val="24"/>
        </w:rPr>
        <w:t>620 – Poistné a príspevok do poisťovní</w:t>
      </w:r>
      <w:r>
        <w:rPr>
          <w:rFonts w:ascii="Times New Roman" w:hAnsi="Times New Roman" w:cs="Times New Roman"/>
          <w:sz w:val="24"/>
          <w:szCs w:val="24"/>
        </w:rPr>
        <w:t xml:space="preserve"> bolo vykázané v jednotlivých podprogramoch nasledovne:</w:t>
      </w:r>
    </w:p>
    <w:p w:rsidR="005C5147" w:rsidRPr="003B7805" w:rsidRDefault="005C5147" w:rsidP="003B7805">
      <w:pPr>
        <w:spacing w:after="0" w:line="240" w:lineRule="auto"/>
        <w:ind w:right="26" w:firstLine="709"/>
        <w:jc w:val="both"/>
        <w:rPr>
          <w:rFonts w:ascii="Times New Roman" w:hAnsi="Times New Roman" w:cs="Times New Roman"/>
          <w:sz w:val="24"/>
          <w:szCs w:val="24"/>
        </w:rPr>
      </w:pPr>
    </w:p>
    <w:p w:rsidR="00385DA7" w:rsidRPr="007D774A" w:rsidRDefault="00385DA7" w:rsidP="00385DA7">
      <w:pPr>
        <w:spacing w:after="0" w:line="240" w:lineRule="auto"/>
        <w:ind w:right="26"/>
        <w:jc w:val="both"/>
        <w:rPr>
          <w:rFonts w:ascii="Times New Roman" w:hAnsi="Times New Roman" w:cs="Times New Roman"/>
          <w:i/>
          <w:sz w:val="24"/>
          <w:szCs w:val="24"/>
        </w:rPr>
      </w:pPr>
      <w:proofErr w:type="spellStart"/>
      <w:r w:rsidRPr="007D774A">
        <w:rPr>
          <w:rFonts w:ascii="Times New Roman" w:hAnsi="Times New Roman" w:cs="Times New Roman"/>
          <w:i/>
          <w:sz w:val="24"/>
          <w:szCs w:val="24"/>
        </w:rPr>
        <w:t>07</w:t>
      </w:r>
      <w:r>
        <w:rPr>
          <w:rFonts w:ascii="Times New Roman" w:hAnsi="Times New Roman" w:cs="Times New Roman"/>
          <w:i/>
          <w:sz w:val="24"/>
          <w:szCs w:val="24"/>
        </w:rPr>
        <w:t>K020D</w:t>
      </w:r>
      <w:proofErr w:type="spellEnd"/>
      <w:r w:rsidRPr="007D774A">
        <w:rPr>
          <w:rFonts w:ascii="Times New Roman" w:hAnsi="Times New Roman" w:cs="Times New Roman"/>
          <w:i/>
          <w:sz w:val="24"/>
          <w:szCs w:val="24"/>
        </w:rPr>
        <w:t xml:space="preserve"> – Podpora </w:t>
      </w:r>
      <w:r>
        <w:rPr>
          <w:rFonts w:ascii="Times New Roman" w:hAnsi="Times New Roman" w:cs="Times New Roman"/>
          <w:i/>
          <w:sz w:val="24"/>
          <w:szCs w:val="24"/>
        </w:rPr>
        <w:t>inovačných projektov v rezorte MH SR</w:t>
      </w:r>
    </w:p>
    <w:p w:rsidR="00385DA7" w:rsidRPr="00E91F66" w:rsidRDefault="00385DA7" w:rsidP="00385DA7">
      <w:pPr>
        <w:spacing w:after="0" w:line="240" w:lineRule="auto"/>
        <w:ind w:firstLine="540"/>
        <w:jc w:val="right"/>
        <w:rPr>
          <w:rFonts w:ascii="Times New Roman" w:hAnsi="Times New Roman" w:cs="Times New Roman"/>
          <w:sz w:val="24"/>
          <w:szCs w:val="24"/>
        </w:rPr>
      </w:pPr>
      <w:r w:rsidRPr="007D774A">
        <w:rPr>
          <w:rFonts w:ascii="Times New Roman" w:hAnsi="Times New Roman" w:cs="Times New Roman"/>
          <w:sz w:val="24"/>
          <w:szCs w:val="24"/>
        </w:rPr>
        <w:t xml:space="preserve">                                                                                                                               </w:t>
      </w: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50"/>
        <w:gridCol w:w="1276"/>
        <w:gridCol w:w="1417"/>
        <w:gridCol w:w="1418"/>
        <w:gridCol w:w="1417"/>
      </w:tblGrid>
      <w:tr w:rsidR="00385DA7" w:rsidRPr="00920EB1" w:rsidTr="00CA0195">
        <w:trPr>
          <w:trHeight w:val="753"/>
        </w:trPr>
        <w:tc>
          <w:tcPr>
            <w:tcW w:w="2694" w:type="dxa"/>
            <w:shd w:val="clear" w:color="auto" w:fill="auto"/>
          </w:tcPr>
          <w:p w:rsidR="00385DA7" w:rsidRPr="00920EB1" w:rsidRDefault="00385DA7" w:rsidP="0058469F">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385DA7" w:rsidRPr="00920EB1" w:rsidRDefault="00385DA7" w:rsidP="0058469F">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276"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385DA7" w:rsidRPr="00920EB1" w:rsidTr="00CA0195">
        <w:tc>
          <w:tcPr>
            <w:tcW w:w="2694" w:type="dxa"/>
            <w:shd w:val="clear" w:color="auto" w:fill="auto"/>
          </w:tcPr>
          <w:p w:rsidR="00385DA7" w:rsidRPr="00920EB1" w:rsidRDefault="00385DA7" w:rsidP="0058469F">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620 – poistné a príspevok do poisťovní</w:t>
            </w:r>
          </w:p>
        </w:tc>
        <w:tc>
          <w:tcPr>
            <w:tcW w:w="850" w:type="dxa"/>
          </w:tcPr>
          <w:p w:rsidR="00385DA7" w:rsidRPr="00920EB1" w:rsidRDefault="00385DA7" w:rsidP="0058469F">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58469F">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276" w:type="dxa"/>
            <w:shd w:val="clear" w:color="auto" w:fill="auto"/>
          </w:tcPr>
          <w:p w:rsidR="00385DA7" w:rsidRPr="00920EB1" w:rsidRDefault="00385DA7" w:rsidP="0058469F">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C3337C">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0,00</w:t>
            </w:r>
          </w:p>
        </w:tc>
        <w:tc>
          <w:tcPr>
            <w:tcW w:w="1417" w:type="dxa"/>
            <w:shd w:val="clear" w:color="auto" w:fill="auto"/>
          </w:tcPr>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989,04</w:t>
            </w:r>
          </w:p>
        </w:tc>
        <w:tc>
          <w:tcPr>
            <w:tcW w:w="1418" w:type="dxa"/>
            <w:shd w:val="clear" w:color="auto" w:fill="auto"/>
          </w:tcPr>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989,04</w:t>
            </w:r>
          </w:p>
        </w:tc>
        <w:tc>
          <w:tcPr>
            <w:tcW w:w="1417" w:type="dxa"/>
            <w:shd w:val="clear" w:color="auto" w:fill="auto"/>
          </w:tcPr>
          <w:p w:rsidR="00385DA7" w:rsidRPr="00920EB1" w:rsidRDefault="00385DA7" w:rsidP="0058469F">
            <w:pPr>
              <w:spacing w:after="0" w:line="240" w:lineRule="auto"/>
              <w:jc w:val="center"/>
              <w:rPr>
                <w:rFonts w:ascii="Times New Roman" w:eastAsia="Times New Roman" w:hAnsi="Times New Roman" w:cs="Times New Roman"/>
              </w:rPr>
            </w:pPr>
          </w:p>
          <w:p w:rsidR="00385DA7" w:rsidRPr="00920EB1" w:rsidRDefault="00385DA7" w:rsidP="0058469F">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100,00</w:t>
            </w:r>
          </w:p>
        </w:tc>
      </w:tr>
    </w:tbl>
    <w:p w:rsidR="00385DA7" w:rsidRDefault="00385DA7" w:rsidP="007D774A">
      <w:pPr>
        <w:spacing w:after="0" w:line="240" w:lineRule="auto"/>
        <w:ind w:right="26"/>
        <w:jc w:val="both"/>
        <w:rPr>
          <w:rFonts w:ascii="Times New Roman" w:hAnsi="Times New Roman" w:cs="Times New Roman"/>
          <w:i/>
          <w:sz w:val="24"/>
          <w:szCs w:val="24"/>
        </w:rPr>
      </w:pPr>
    </w:p>
    <w:p w:rsidR="004D38B5" w:rsidRPr="004D38B5" w:rsidRDefault="00385DA7" w:rsidP="004D38B5">
      <w:pPr>
        <w:spacing w:after="0" w:line="240" w:lineRule="auto"/>
        <w:ind w:right="26"/>
        <w:jc w:val="both"/>
        <w:rPr>
          <w:rFonts w:ascii="Times New Roman" w:hAnsi="Times New Roman" w:cs="Times New Roman"/>
          <w:sz w:val="24"/>
          <w:szCs w:val="24"/>
        </w:rPr>
      </w:pPr>
      <w:r>
        <w:rPr>
          <w:rFonts w:ascii="Times New Roman" w:hAnsi="Times New Roman" w:cs="Times New Roman"/>
          <w:sz w:val="24"/>
          <w:szCs w:val="24"/>
        </w:rPr>
        <w:tab/>
        <w:t xml:space="preserve">Výdavky v sume 989,04 eur boli použité na úhradu odvodov do poisťovní z dohôd o vykonaní </w:t>
      </w:r>
      <w:r w:rsidR="004D38B5">
        <w:rPr>
          <w:rFonts w:ascii="Times New Roman" w:hAnsi="Times New Roman" w:cs="Times New Roman"/>
          <w:sz w:val="24"/>
          <w:szCs w:val="24"/>
        </w:rPr>
        <w:t>mimopracovnej činnosti pri hod</w:t>
      </w:r>
      <w:r w:rsidR="004D38B5">
        <w:rPr>
          <w:szCs w:val="24"/>
          <w:lang w:eastAsia="sk-SK"/>
        </w:rPr>
        <w:t>notení inovačných projektov.</w:t>
      </w:r>
    </w:p>
    <w:p w:rsidR="004D38B5" w:rsidRPr="00385DA7" w:rsidRDefault="004D38B5" w:rsidP="007D774A">
      <w:pPr>
        <w:spacing w:after="0" w:line="240" w:lineRule="auto"/>
        <w:ind w:right="26"/>
        <w:jc w:val="both"/>
        <w:rPr>
          <w:rFonts w:ascii="Times New Roman" w:hAnsi="Times New Roman" w:cs="Times New Roman"/>
          <w:sz w:val="24"/>
          <w:szCs w:val="24"/>
        </w:rPr>
      </w:pPr>
    </w:p>
    <w:p w:rsidR="005E1DA7" w:rsidRPr="007D774A" w:rsidRDefault="005E1DA7" w:rsidP="007D774A">
      <w:pPr>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07L04 – Podpora programov rezortu MH SR</w:t>
      </w:r>
    </w:p>
    <w:p w:rsidR="001E165A" w:rsidRPr="00E91F66" w:rsidRDefault="00DE17D0" w:rsidP="001E165A">
      <w:pPr>
        <w:spacing w:after="0" w:line="240" w:lineRule="auto"/>
        <w:ind w:firstLine="540"/>
        <w:jc w:val="right"/>
        <w:rPr>
          <w:rFonts w:ascii="Times New Roman" w:hAnsi="Times New Roman" w:cs="Times New Roman"/>
          <w:sz w:val="24"/>
          <w:szCs w:val="24"/>
        </w:rPr>
      </w:pPr>
      <w:r w:rsidRPr="007D774A">
        <w:rPr>
          <w:rFonts w:ascii="Times New Roman" w:hAnsi="Times New Roman" w:cs="Times New Roman"/>
          <w:sz w:val="24"/>
          <w:szCs w:val="24"/>
        </w:rPr>
        <w:t xml:space="preserve">                                                                                                                               </w:t>
      </w:r>
      <w:r w:rsidR="001E165A" w:rsidRPr="00E91F66">
        <w:rPr>
          <w:rFonts w:ascii="Times New Roman" w:hAnsi="Times New Roman" w:cs="Times New Roman"/>
          <w:sz w:val="24"/>
          <w:szCs w:val="24"/>
        </w:rPr>
        <w:t>v eur</w:t>
      </w:r>
      <w:r w:rsidR="001E165A">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59693B" w:rsidRPr="00920EB1" w:rsidTr="00CA0195">
        <w:trPr>
          <w:trHeight w:val="753"/>
        </w:trPr>
        <w:tc>
          <w:tcPr>
            <w:tcW w:w="2552" w:type="dxa"/>
            <w:shd w:val="clear" w:color="auto" w:fill="auto"/>
          </w:tcPr>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7D774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5E1DA7" w:rsidRPr="00920EB1" w:rsidTr="00CA0195">
        <w:tc>
          <w:tcPr>
            <w:tcW w:w="2552" w:type="dxa"/>
            <w:shd w:val="clear" w:color="auto" w:fill="auto"/>
          </w:tcPr>
          <w:p w:rsidR="005E1DA7" w:rsidRPr="00920EB1" w:rsidRDefault="005E1DA7" w:rsidP="007D774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620 – poistné a príspevok do poisťovní</w:t>
            </w:r>
          </w:p>
        </w:tc>
        <w:tc>
          <w:tcPr>
            <w:tcW w:w="850" w:type="dxa"/>
          </w:tcPr>
          <w:p w:rsidR="005E1DA7" w:rsidRPr="00920EB1" w:rsidRDefault="005E1DA7" w:rsidP="007D774A">
            <w:pPr>
              <w:autoSpaceDE w:val="0"/>
              <w:autoSpaceDN w:val="0"/>
              <w:adjustRightInd w:val="0"/>
              <w:spacing w:after="0" w:line="240" w:lineRule="auto"/>
              <w:jc w:val="right"/>
              <w:rPr>
                <w:rFonts w:ascii="Times New Roman" w:hAnsi="Times New Roman" w:cs="Times New Roman"/>
                <w:lang w:eastAsia="sk-SK"/>
              </w:rPr>
            </w:pPr>
          </w:p>
          <w:p w:rsidR="005E1DA7" w:rsidRPr="00920EB1" w:rsidRDefault="005E1DA7" w:rsidP="007D774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5E1DA7" w:rsidRPr="00920EB1" w:rsidRDefault="005E1DA7" w:rsidP="007D774A">
            <w:pPr>
              <w:autoSpaceDE w:val="0"/>
              <w:autoSpaceDN w:val="0"/>
              <w:adjustRightInd w:val="0"/>
              <w:spacing w:after="0" w:line="240" w:lineRule="auto"/>
              <w:jc w:val="right"/>
              <w:rPr>
                <w:rFonts w:ascii="Times New Roman" w:hAnsi="Times New Roman" w:cs="Times New Roman"/>
                <w:lang w:eastAsia="sk-SK"/>
              </w:rPr>
            </w:pPr>
          </w:p>
          <w:p w:rsidR="003A32CA" w:rsidRPr="00920EB1" w:rsidRDefault="003A32CA" w:rsidP="00C3337C">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1 700 272,00</w:t>
            </w:r>
          </w:p>
        </w:tc>
        <w:tc>
          <w:tcPr>
            <w:tcW w:w="1417" w:type="dxa"/>
            <w:shd w:val="clear" w:color="auto" w:fill="auto"/>
          </w:tcPr>
          <w:p w:rsidR="00876F11" w:rsidRPr="00920EB1" w:rsidRDefault="00876F11" w:rsidP="00385DA7">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2 082 983,44</w:t>
            </w:r>
          </w:p>
        </w:tc>
        <w:tc>
          <w:tcPr>
            <w:tcW w:w="1418" w:type="dxa"/>
            <w:shd w:val="clear" w:color="auto" w:fill="auto"/>
          </w:tcPr>
          <w:p w:rsidR="00876F11" w:rsidRPr="00920EB1" w:rsidRDefault="00876F11" w:rsidP="00385DA7">
            <w:pPr>
              <w:autoSpaceDE w:val="0"/>
              <w:autoSpaceDN w:val="0"/>
              <w:adjustRightInd w:val="0"/>
              <w:spacing w:after="0" w:line="240" w:lineRule="auto"/>
              <w:jc w:val="right"/>
              <w:rPr>
                <w:rFonts w:ascii="Times New Roman" w:hAnsi="Times New Roman" w:cs="Times New Roman"/>
                <w:lang w:eastAsia="sk-SK"/>
              </w:rPr>
            </w:pPr>
          </w:p>
          <w:p w:rsidR="00385DA7" w:rsidRPr="00920EB1" w:rsidRDefault="00385DA7" w:rsidP="00385DA7">
            <w:pPr>
              <w:autoSpaceDE w:val="0"/>
              <w:autoSpaceDN w:val="0"/>
              <w:adjustRightInd w:val="0"/>
              <w:spacing w:after="0" w:line="240" w:lineRule="auto"/>
              <w:jc w:val="right"/>
              <w:rPr>
                <w:rFonts w:ascii="Times New Roman" w:hAnsi="Times New Roman" w:cs="Times New Roman"/>
                <w:lang w:eastAsia="sk-SK"/>
              </w:rPr>
            </w:pPr>
            <w:r w:rsidRPr="00920EB1">
              <w:rPr>
                <w:rFonts w:ascii="Times New Roman" w:hAnsi="Times New Roman" w:cs="Times New Roman"/>
                <w:lang w:eastAsia="sk-SK"/>
              </w:rPr>
              <w:t>2 080 511,77</w:t>
            </w:r>
          </w:p>
        </w:tc>
        <w:tc>
          <w:tcPr>
            <w:tcW w:w="1417" w:type="dxa"/>
            <w:shd w:val="clear" w:color="auto" w:fill="auto"/>
          </w:tcPr>
          <w:p w:rsidR="005E1DA7" w:rsidRPr="00920EB1" w:rsidRDefault="005E1DA7" w:rsidP="007D774A">
            <w:pPr>
              <w:spacing w:after="0" w:line="240" w:lineRule="auto"/>
              <w:jc w:val="center"/>
              <w:rPr>
                <w:rFonts w:ascii="Times New Roman" w:eastAsia="Times New Roman" w:hAnsi="Times New Roman" w:cs="Times New Roman"/>
              </w:rPr>
            </w:pPr>
          </w:p>
          <w:p w:rsidR="00385DA7" w:rsidRPr="00920EB1" w:rsidRDefault="00385DA7" w:rsidP="007D774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99,89</w:t>
            </w:r>
          </w:p>
        </w:tc>
      </w:tr>
    </w:tbl>
    <w:p w:rsidR="007D774A" w:rsidRPr="007D774A" w:rsidRDefault="007D774A" w:rsidP="007D774A">
      <w:pPr>
        <w:autoSpaceDE w:val="0"/>
        <w:autoSpaceDN w:val="0"/>
        <w:adjustRightInd w:val="0"/>
        <w:spacing w:after="0" w:line="240" w:lineRule="auto"/>
        <w:ind w:firstLine="567"/>
        <w:jc w:val="both"/>
        <w:rPr>
          <w:rFonts w:ascii="Times New Roman" w:hAnsi="Times New Roman" w:cs="Times New Roman"/>
          <w:sz w:val="24"/>
          <w:szCs w:val="24"/>
        </w:rPr>
      </w:pPr>
    </w:p>
    <w:p w:rsidR="00C3337C" w:rsidRPr="00C3337C" w:rsidRDefault="00C3337C" w:rsidP="00305324">
      <w:pPr>
        <w:autoSpaceDE w:val="0"/>
        <w:autoSpaceDN w:val="0"/>
        <w:adjustRightInd w:val="0"/>
        <w:spacing w:line="240" w:lineRule="auto"/>
        <w:ind w:firstLine="567"/>
        <w:jc w:val="both"/>
        <w:rPr>
          <w:rFonts w:ascii="Times New Roman" w:hAnsi="Times New Roman" w:cs="Times New Roman"/>
          <w:sz w:val="24"/>
          <w:szCs w:val="24"/>
        </w:rPr>
      </w:pPr>
      <w:r w:rsidRPr="00C3337C">
        <w:rPr>
          <w:rFonts w:ascii="Times New Roman" w:hAnsi="Times New Roman" w:cs="Times New Roman"/>
          <w:sz w:val="24"/>
          <w:szCs w:val="24"/>
        </w:rPr>
        <w:t>Poistné a  príspevky do poisťovní, vrátane príspevku do doplnkových dôchodkových poisťovní v podprograme 07L04  boli schválené v</w:t>
      </w:r>
      <w:r w:rsidR="00F564B2">
        <w:rPr>
          <w:rFonts w:ascii="Times New Roman" w:hAnsi="Times New Roman" w:cs="Times New Roman"/>
          <w:sz w:val="24"/>
          <w:szCs w:val="24"/>
        </w:rPr>
        <w:t xml:space="preserve"> sume </w:t>
      </w:r>
      <w:r w:rsidRPr="00C3337C">
        <w:rPr>
          <w:rFonts w:ascii="Times New Roman" w:hAnsi="Times New Roman" w:cs="Times New Roman"/>
          <w:sz w:val="24"/>
          <w:szCs w:val="24"/>
        </w:rPr>
        <w:t xml:space="preserve">1 700 272,00 eur. V rámci uvedenej výšky sú poistné a príspevok do poisťovní rozpočtované pre zamestnancov úradu ministerstva  (1 591 672,00 eur) a pre zamestnancov pracovísk mimo sídla služobného úradu MH SR v cudzine (108 600,00 eur).    </w:t>
      </w:r>
    </w:p>
    <w:p w:rsidR="00C3337C" w:rsidRPr="00C3337C" w:rsidRDefault="00C3337C" w:rsidP="00305324">
      <w:pPr>
        <w:autoSpaceDE w:val="0"/>
        <w:autoSpaceDN w:val="0"/>
        <w:adjustRightInd w:val="0"/>
        <w:spacing w:line="240" w:lineRule="auto"/>
        <w:ind w:firstLine="567"/>
        <w:jc w:val="both"/>
        <w:rPr>
          <w:rFonts w:ascii="Times New Roman" w:hAnsi="Times New Roman" w:cs="Times New Roman"/>
          <w:sz w:val="24"/>
          <w:szCs w:val="24"/>
        </w:rPr>
      </w:pPr>
      <w:r w:rsidRPr="00C3337C">
        <w:rPr>
          <w:rFonts w:ascii="Times New Roman" w:hAnsi="Times New Roman" w:cs="Times New Roman"/>
          <w:sz w:val="24"/>
          <w:szCs w:val="24"/>
        </w:rPr>
        <w:t>Rozpočtovými opatreniami  bola  táto suma upravená na 2 082 983,44 eur, z   toho  pre  zamestnancov úradu ministerstva (2 027 878,23 eur) a pre zamestnancov pracovísk mimo sídla služobného úradu MH SR v cudzine (55</w:t>
      </w:r>
      <w:r w:rsidR="00305324">
        <w:rPr>
          <w:rFonts w:ascii="Times New Roman" w:hAnsi="Times New Roman" w:cs="Times New Roman"/>
          <w:sz w:val="24"/>
          <w:szCs w:val="24"/>
        </w:rPr>
        <w:t> </w:t>
      </w:r>
      <w:r w:rsidRPr="00C3337C">
        <w:rPr>
          <w:rFonts w:ascii="Times New Roman" w:hAnsi="Times New Roman" w:cs="Times New Roman"/>
          <w:sz w:val="24"/>
          <w:szCs w:val="24"/>
        </w:rPr>
        <w:t xml:space="preserve">105,21 eur). </w:t>
      </w:r>
    </w:p>
    <w:p w:rsidR="003B7805" w:rsidRDefault="00CA0195" w:rsidP="00AD2839">
      <w:pPr>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V roku 2015</w:t>
      </w:r>
      <w:r w:rsidR="00C3337C" w:rsidRPr="00C3337C">
        <w:rPr>
          <w:rFonts w:ascii="Times New Roman" w:hAnsi="Times New Roman" w:cs="Times New Roman"/>
          <w:sz w:val="24"/>
          <w:szCs w:val="24"/>
        </w:rPr>
        <w:t xml:space="preserve">  bola vyčerpaná suma 2 080 511,77 eur, t.j. 99,89 % z upraveného rozpočtu. Odvody za zamestnancov úradu ministerstva boli za </w:t>
      </w:r>
      <w:r>
        <w:rPr>
          <w:rFonts w:ascii="Times New Roman" w:hAnsi="Times New Roman" w:cs="Times New Roman"/>
          <w:sz w:val="24"/>
          <w:szCs w:val="24"/>
        </w:rPr>
        <w:t xml:space="preserve">rok 2015 </w:t>
      </w:r>
      <w:r w:rsidR="00C3337C" w:rsidRPr="00C3337C">
        <w:rPr>
          <w:rFonts w:ascii="Times New Roman" w:hAnsi="Times New Roman" w:cs="Times New Roman"/>
          <w:sz w:val="24"/>
          <w:szCs w:val="24"/>
        </w:rPr>
        <w:t xml:space="preserve"> vyčerpané v sume  </w:t>
      </w:r>
      <w:r>
        <w:rPr>
          <w:rFonts w:ascii="Times New Roman" w:hAnsi="Times New Roman" w:cs="Times New Roman"/>
          <w:sz w:val="24"/>
          <w:szCs w:val="24"/>
        </w:rPr>
        <w:t xml:space="preserve">   </w:t>
      </w:r>
      <w:r w:rsidR="00C3337C" w:rsidRPr="00C3337C">
        <w:rPr>
          <w:rFonts w:ascii="Times New Roman" w:hAnsi="Times New Roman" w:cs="Times New Roman"/>
          <w:sz w:val="24"/>
          <w:szCs w:val="24"/>
        </w:rPr>
        <w:t xml:space="preserve">2 025 407,50 eur a  odvody za zamestnancov  pracovísk  mimo sídla služobného úradu </w:t>
      </w:r>
      <w:r>
        <w:rPr>
          <w:rFonts w:ascii="Times New Roman" w:hAnsi="Times New Roman" w:cs="Times New Roman"/>
          <w:sz w:val="24"/>
          <w:szCs w:val="24"/>
        </w:rPr>
        <w:t xml:space="preserve">      </w:t>
      </w:r>
      <w:r w:rsidR="00C3337C" w:rsidRPr="00C3337C">
        <w:rPr>
          <w:rFonts w:ascii="Times New Roman" w:hAnsi="Times New Roman" w:cs="Times New Roman"/>
          <w:sz w:val="24"/>
          <w:szCs w:val="24"/>
        </w:rPr>
        <w:t xml:space="preserve">MH SR v  cudzine  boli čerpané v sume  55 104,27 eur. V tejto sume čerpania je započítaná  refundácia odvodov z  Technickej pomoci OP KaHR za mesiac október, november a december 2014 a január až november 2015. </w:t>
      </w:r>
      <w:r w:rsidR="003B7805" w:rsidRPr="001A1258">
        <w:rPr>
          <w:rFonts w:ascii="Times New Roman" w:hAnsi="Times New Roman" w:cs="Times New Roman"/>
          <w:sz w:val="24"/>
          <w:szCs w:val="24"/>
        </w:rPr>
        <w:t xml:space="preserve">V tejto sume čerpania  nie je  započítaná refundácia odvodov oprávnených zamestnancov v rámci Technickej pomoci OP KaHR za mesiac december 2015. </w:t>
      </w:r>
    </w:p>
    <w:p w:rsidR="00AD2839" w:rsidRPr="001A1258" w:rsidRDefault="00AD2839" w:rsidP="003B7805">
      <w:pPr>
        <w:autoSpaceDE w:val="0"/>
        <w:autoSpaceDN w:val="0"/>
        <w:adjustRightInd w:val="0"/>
        <w:spacing w:after="0"/>
        <w:ind w:firstLine="567"/>
        <w:jc w:val="both"/>
        <w:rPr>
          <w:rFonts w:ascii="Times New Roman" w:hAnsi="Times New Roman" w:cs="Times New Roman"/>
          <w:sz w:val="24"/>
          <w:szCs w:val="24"/>
          <w:lang w:eastAsia="sk-SK"/>
        </w:rPr>
      </w:pPr>
    </w:p>
    <w:p w:rsidR="005E1DA7" w:rsidRPr="007D774A" w:rsidRDefault="005E1DA7" w:rsidP="007D774A">
      <w:pPr>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07L05 – Administrácia rozpočtových organizácií  rezortu MH SR</w:t>
      </w:r>
    </w:p>
    <w:p w:rsidR="005E1DA7" w:rsidRPr="007D774A" w:rsidRDefault="00C3337C" w:rsidP="00C3337C">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418"/>
        <w:gridCol w:w="1417"/>
        <w:gridCol w:w="1418"/>
        <w:gridCol w:w="1417"/>
      </w:tblGrid>
      <w:tr w:rsidR="0059693B" w:rsidRPr="00920EB1" w:rsidTr="004B650F">
        <w:trPr>
          <w:trHeight w:val="712"/>
        </w:trPr>
        <w:tc>
          <w:tcPr>
            <w:tcW w:w="2552" w:type="dxa"/>
            <w:shd w:val="clear" w:color="auto" w:fill="auto"/>
          </w:tcPr>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59693B" w:rsidRPr="00920EB1" w:rsidRDefault="0059693B" w:rsidP="007D774A">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850" w:type="dxa"/>
          </w:tcPr>
          <w:p w:rsidR="0059693B" w:rsidRPr="00920EB1" w:rsidRDefault="0059693B" w:rsidP="007D774A">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418" w:type="dxa"/>
            <w:shd w:val="clear" w:color="auto" w:fill="auto"/>
          </w:tcPr>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59693B" w:rsidRPr="00920EB1" w:rsidRDefault="0059693B" w:rsidP="0059693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59693B" w:rsidRPr="00920EB1" w:rsidRDefault="0059693B" w:rsidP="00D35D8B">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5E1DA7" w:rsidRPr="00920EB1" w:rsidTr="004B650F">
        <w:tc>
          <w:tcPr>
            <w:tcW w:w="2552" w:type="dxa"/>
            <w:shd w:val="clear" w:color="auto" w:fill="auto"/>
          </w:tcPr>
          <w:p w:rsidR="005E1DA7" w:rsidRPr="00920EB1" w:rsidRDefault="005E1DA7" w:rsidP="007D774A">
            <w:pPr>
              <w:spacing w:after="0" w:line="240" w:lineRule="auto"/>
              <w:jc w:val="both"/>
              <w:rPr>
                <w:rFonts w:ascii="Times New Roman" w:eastAsia="Times New Roman" w:hAnsi="Times New Roman" w:cs="Times New Roman"/>
              </w:rPr>
            </w:pPr>
            <w:r w:rsidRPr="00920EB1">
              <w:rPr>
                <w:rFonts w:ascii="Times New Roman" w:eastAsia="Times New Roman" w:hAnsi="Times New Roman" w:cs="Times New Roman"/>
              </w:rPr>
              <w:t>620 – poistné a príspevok do poisťovní</w:t>
            </w:r>
          </w:p>
        </w:tc>
        <w:tc>
          <w:tcPr>
            <w:tcW w:w="850" w:type="dxa"/>
          </w:tcPr>
          <w:p w:rsidR="005E1DA7" w:rsidRPr="00920EB1" w:rsidRDefault="005E1DA7" w:rsidP="007D774A">
            <w:pPr>
              <w:autoSpaceDE w:val="0"/>
              <w:autoSpaceDN w:val="0"/>
              <w:adjustRightInd w:val="0"/>
              <w:spacing w:after="0" w:line="240" w:lineRule="auto"/>
              <w:jc w:val="right"/>
              <w:rPr>
                <w:rFonts w:ascii="Times New Roman" w:hAnsi="Times New Roman" w:cs="Times New Roman"/>
                <w:lang w:eastAsia="sk-SK"/>
              </w:rPr>
            </w:pPr>
          </w:p>
          <w:p w:rsidR="005E1DA7" w:rsidRPr="00920EB1" w:rsidRDefault="005E1DA7" w:rsidP="007D774A">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418" w:type="dxa"/>
            <w:shd w:val="clear" w:color="auto" w:fill="auto"/>
          </w:tcPr>
          <w:p w:rsidR="003A32CA" w:rsidRPr="00920EB1" w:rsidRDefault="003A32CA" w:rsidP="003A32CA">
            <w:pPr>
              <w:autoSpaceDE w:val="0"/>
              <w:autoSpaceDN w:val="0"/>
              <w:adjustRightInd w:val="0"/>
              <w:spacing w:after="0" w:line="240" w:lineRule="auto"/>
              <w:rPr>
                <w:rFonts w:ascii="Times New Roman" w:hAnsi="Times New Roman" w:cs="Times New Roman"/>
                <w:lang w:eastAsia="sk-SK"/>
              </w:rPr>
            </w:pPr>
          </w:p>
          <w:p w:rsidR="00876F11" w:rsidRPr="00920EB1" w:rsidRDefault="003A32CA" w:rsidP="003A32CA">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1 390 305,00</w:t>
            </w:r>
          </w:p>
        </w:tc>
        <w:tc>
          <w:tcPr>
            <w:tcW w:w="1417" w:type="dxa"/>
            <w:shd w:val="clear" w:color="auto" w:fill="auto"/>
          </w:tcPr>
          <w:p w:rsidR="00876F11" w:rsidRPr="00920EB1" w:rsidRDefault="00876F11" w:rsidP="007D774A">
            <w:pPr>
              <w:autoSpaceDE w:val="0"/>
              <w:autoSpaceDN w:val="0"/>
              <w:adjustRightInd w:val="0"/>
              <w:spacing w:after="0" w:line="240" w:lineRule="auto"/>
              <w:jc w:val="center"/>
              <w:rPr>
                <w:rFonts w:ascii="Times New Roman" w:hAnsi="Times New Roman" w:cs="Times New Roman"/>
                <w:lang w:eastAsia="sk-SK"/>
              </w:rPr>
            </w:pPr>
          </w:p>
          <w:p w:rsidR="004D4BE3" w:rsidRPr="00920EB1" w:rsidRDefault="004D4BE3" w:rsidP="004D4BE3">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1 454 684,33</w:t>
            </w:r>
          </w:p>
        </w:tc>
        <w:tc>
          <w:tcPr>
            <w:tcW w:w="1418" w:type="dxa"/>
            <w:shd w:val="clear" w:color="auto" w:fill="auto"/>
          </w:tcPr>
          <w:p w:rsidR="00876F11" w:rsidRPr="00920EB1" w:rsidRDefault="00876F11" w:rsidP="007D774A">
            <w:pPr>
              <w:autoSpaceDE w:val="0"/>
              <w:autoSpaceDN w:val="0"/>
              <w:adjustRightInd w:val="0"/>
              <w:spacing w:after="0" w:line="240" w:lineRule="auto"/>
              <w:jc w:val="right"/>
              <w:rPr>
                <w:rFonts w:ascii="Times New Roman" w:hAnsi="Times New Roman" w:cs="Times New Roman"/>
                <w:lang w:eastAsia="sk-SK"/>
              </w:rPr>
            </w:pPr>
          </w:p>
          <w:p w:rsidR="004D4BE3" w:rsidRPr="00920EB1" w:rsidRDefault="004D4BE3" w:rsidP="004D4BE3">
            <w:pPr>
              <w:autoSpaceDE w:val="0"/>
              <w:autoSpaceDN w:val="0"/>
              <w:adjustRightInd w:val="0"/>
              <w:spacing w:after="0" w:line="240" w:lineRule="auto"/>
              <w:rPr>
                <w:rFonts w:ascii="Times New Roman" w:hAnsi="Times New Roman" w:cs="Times New Roman"/>
                <w:lang w:eastAsia="sk-SK"/>
              </w:rPr>
            </w:pPr>
            <w:r w:rsidRPr="00920EB1">
              <w:rPr>
                <w:rFonts w:ascii="Times New Roman" w:hAnsi="Times New Roman" w:cs="Times New Roman"/>
                <w:lang w:eastAsia="sk-SK"/>
              </w:rPr>
              <w:t>1 451 976,22</w:t>
            </w:r>
          </w:p>
        </w:tc>
        <w:tc>
          <w:tcPr>
            <w:tcW w:w="1417" w:type="dxa"/>
            <w:shd w:val="clear" w:color="auto" w:fill="auto"/>
          </w:tcPr>
          <w:p w:rsidR="005E1DA7" w:rsidRPr="00920EB1" w:rsidRDefault="005E1DA7" w:rsidP="007D774A">
            <w:pPr>
              <w:spacing w:after="0" w:line="240" w:lineRule="auto"/>
              <w:jc w:val="center"/>
              <w:rPr>
                <w:rFonts w:ascii="Times New Roman" w:eastAsia="Times New Roman" w:hAnsi="Times New Roman" w:cs="Times New Roman"/>
              </w:rPr>
            </w:pPr>
          </w:p>
          <w:p w:rsidR="004D4BE3" w:rsidRPr="00920EB1" w:rsidRDefault="004D4BE3" w:rsidP="007D774A">
            <w:pPr>
              <w:spacing w:after="0" w:line="240" w:lineRule="auto"/>
              <w:jc w:val="center"/>
              <w:rPr>
                <w:rFonts w:ascii="Times New Roman" w:eastAsia="Times New Roman" w:hAnsi="Times New Roman" w:cs="Times New Roman"/>
              </w:rPr>
            </w:pPr>
            <w:r w:rsidRPr="00920EB1">
              <w:rPr>
                <w:rFonts w:ascii="Times New Roman" w:eastAsia="Times New Roman" w:hAnsi="Times New Roman" w:cs="Times New Roman"/>
              </w:rPr>
              <w:t>99,82</w:t>
            </w:r>
          </w:p>
        </w:tc>
      </w:tr>
    </w:tbl>
    <w:p w:rsidR="007D774A" w:rsidRDefault="007D774A" w:rsidP="007D774A">
      <w:pPr>
        <w:autoSpaceDE w:val="0"/>
        <w:autoSpaceDN w:val="0"/>
        <w:adjustRightInd w:val="0"/>
        <w:spacing w:after="0" w:line="240" w:lineRule="auto"/>
        <w:ind w:firstLine="567"/>
        <w:jc w:val="both"/>
        <w:rPr>
          <w:rFonts w:ascii="Times New Roman" w:hAnsi="Times New Roman" w:cs="Times New Roman"/>
          <w:sz w:val="24"/>
          <w:szCs w:val="24"/>
          <w:lang w:eastAsia="sk-SK"/>
        </w:rPr>
      </w:pPr>
    </w:p>
    <w:p w:rsidR="004D4BE3" w:rsidRDefault="004D4BE3" w:rsidP="00305324">
      <w:pPr>
        <w:autoSpaceDE w:val="0"/>
        <w:autoSpaceDN w:val="0"/>
        <w:adjustRightInd w:val="0"/>
        <w:spacing w:line="240" w:lineRule="auto"/>
        <w:ind w:firstLine="708"/>
        <w:jc w:val="both"/>
        <w:rPr>
          <w:rFonts w:ascii="Times New Roman" w:hAnsi="Times New Roman" w:cs="Times New Roman"/>
          <w:sz w:val="24"/>
          <w:szCs w:val="24"/>
        </w:rPr>
      </w:pPr>
      <w:r w:rsidRPr="004D4BE3">
        <w:rPr>
          <w:rFonts w:ascii="Times New Roman" w:hAnsi="Times New Roman" w:cs="Times New Roman"/>
          <w:sz w:val="24"/>
          <w:szCs w:val="24"/>
        </w:rPr>
        <w:t xml:space="preserve">Rozpočet poistného a príspevkov do poisťovní bol schválený v </w:t>
      </w:r>
      <w:r w:rsidR="00CA0195">
        <w:rPr>
          <w:rFonts w:ascii="Times New Roman" w:hAnsi="Times New Roman" w:cs="Times New Roman"/>
          <w:sz w:val="24"/>
          <w:szCs w:val="24"/>
        </w:rPr>
        <w:t>sume</w:t>
      </w:r>
      <w:r w:rsidRPr="004D4BE3">
        <w:rPr>
          <w:rFonts w:ascii="Times New Roman" w:hAnsi="Times New Roman" w:cs="Times New Roman"/>
          <w:sz w:val="24"/>
          <w:szCs w:val="24"/>
        </w:rPr>
        <w:t xml:space="preserve"> 1 390 305,00 eur a  rozpočtovými opatreniami MF SR bol upravený na sumu 1 454 684,33 eur.</w:t>
      </w:r>
      <w:r>
        <w:rPr>
          <w:rFonts w:ascii="Times New Roman" w:hAnsi="Times New Roman" w:cs="Times New Roman"/>
          <w:sz w:val="24"/>
          <w:szCs w:val="24"/>
        </w:rPr>
        <w:t xml:space="preserve"> </w:t>
      </w:r>
      <w:r w:rsidRPr="004D4BE3">
        <w:rPr>
          <w:rFonts w:ascii="Times New Roman" w:hAnsi="Times New Roman" w:cs="Times New Roman"/>
          <w:sz w:val="24"/>
          <w:szCs w:val="24"/>
        </w:rPr>
        <w:t xml:space="preserve">Čerpanie výdavkov bolo v sume 1 451 976,22 eur, t. j. 99,82 % z upraveného rozpočtu. </w:t>
      </w:r>
    </w:p>
    <w:p w:rsidR="005E1DA7" w:rsidRPr="007D774A" w:rsidRDefault="005E1DA7" w:rsidP="004B650F">
      <w:pPr>
        <w:tabs>
          <w:tab w:val="left" w:pos="2552"/>
        </w:tabs>
        <w:spacing w:after="0" w:line="240" w:lineRule="auto"/>
        <w:ind w:right="26"/>
        <w:jc w:val="both"/>
        <w:rPr>
          <w:rFonts w:ascii="Times New Roman" w:hAnsi="Times New Roman" w:cs="Times New Roman"/>
          <w:i/>
          <w:sz w:val="24"/>
          <w:szCs w:val="24"/>
        </w:rPr>
      </w:pPr>
      <w:r w:rsidRPr="007D774A">
        <w:rPr>
          <w:rFonts w:ascii="Times New Roman" w:hAnsi="Times New Roman" w:cs="Times New Roman"/>
          <w:i/>
          <w:sz w:val="24"/>
          <w:szCs w:val="24"/>
        </w:rPr>
        <w:t>0D40J  – SK PRES  2016 –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850"/>
        <w:gridCol w:w="1418"/>
        <w:gridCol w:w="1417"/>
        <w:gridCol w:w="1418"/>
        <w:gridCol w:w="1417"/>
      </w:tblGrid>
      <w:tr w:rsidR="0059693B" w:rsidRPr="00B54902" w:rsidTr="004B650F">
        <w:trPr>
          <w:trHeight w:val="771"/>
        </w:trPr>
        <w:tc>
          <w:tcPr>
            <w:tcW w:w="2552" w:type="dxa"/>
            <w:shd w:val="clear" w:color="auto" w:fill="auto"/>
          </w:tcPr>
          <w:p w:rsidR="0059693B" w:rsidRPr="00B54902" w:rsidRDefault="0059693B" w:rsidP="007D774A">
            <w:pPr>
              <w:spacing w:after="0" w:line="240" w:lineRule="auto"/>
              <w:jc w:val="both"/>
              <w:rPr>
                <w:rFonts w:ascii="Times New Roman" w:eastAsia="Times New Roman" w:hAnsi="Times New Roman" w:cs="Times New Roman"/>
                <w:b/>
              </w:rPr>
            </w:pPr>
            <w:r w:rsidRPr="00B54902">
              <w:rPr>
                <w:rFonts w:ascii="Times New Roman" w:eastAsia="Times New Roman" w:hAnsi="Times New Roman" w:cs="Times New Roman"/>
                <w:b/>
              </w:rPr>
              <w:t>Ekonomická</w:t>
            </w:r>
          </w:p>
          <w:p w:rsidR="0059693B" w:rsidRPr="00B54902" w:rsidRDefault="0059693B" w:rsidP="007D774A">
            <w:pPr>
              <w:spacing w:after="0" w:line="240" w:lineRule="auto"/>
              <w:jc w:val="both"/>
              <w:rPr>
                <w:rFonts w:ascii="Times New Roman" w:eastAsia="Times New Roman" w:hAnsi="Times New Roman" w:cs="Times New Roman"/>
                <w:b/>
              </w:rPr>
            </w:pPr>
            <w:r w:rsidRPr="00B54902">
              <w:rPr>
                <w:rFonts w:ascii="Times New Roman" w:eastAsia="Times New Roman" w:hAnsi="Times New Roman" w:cs="Times New Roman"/>
                <w:b/>
              </w:rPr>
              <w:t>klasifikácia</w:t>
            </w:r>
          </w:p>
        </w:tc>
        <w:tc>
          <w:tcPr>
            <w:tcW w:w="850" w:type="dxa"/>
          </w:tcPr>
          <w:p w:rsidR="0059693B" w:rsidRPr="00B54902" w:rsidRDefault="0059693B" w:rsidP="007D774A">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Zdroj</w:t>
            </w:r>
          </w:p>
        </w:tc>
        <w:tc>
          <w:tcPr>
            <w:tcW w:w="1418" w:type="dxa"/>
            <w:shd w:val="clear" w:color="auto" w:fill="auto"/>
          </w:tcPr>
          <w:p w:rsidR="0059693B" w:rsidRPr="00B54902" w:rsidRDefault="0059693B" w:rsidP="0059693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Schválený</w:t>
            </w:r>
          </w:p>
          <w:p w:rsidR="0059693B" w:rsidRPr="00B54902" w:rsidRDefault="0059693B" w:rsidP="0059693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rozpočet k 1.1.2015</w:t>
            </w:r>
          </w:p>
        </w:tc>
        <w:tc>
          <w:tcPr>
            <w:tcW w:w="1417" w:type="dxa"/>
            <w:shd w:val="clear" w:color="auto" w:fill="auto"/>
          </w:tcPr>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Upravený</w:t>
            </w:r>
          </w:p>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rozpočet k 31.12.2015</w:t>
            </w:r>
          </w:p>
        </w:tc>
        <w:tc>
          <w:tcPr>
            <w:tcW w:w="1418" w:type="dxa"/>
            <w:shd w:val="clear" w:color="auto" w:fill="auto"/>
          </w:tcPr>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Čerpanie k</w:t>
            </w:r>
          </w:p>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31.12.2015</w:t>
            </w:r>
          </w:p>
        </w:tc>
        <w:tc>
          <w:tcPr>
            <w:tcW w:w="1417" w:type="dxa"/>
            <w:shd w:val="clear" w:color="auto" w:fill="auto"/>
          </w:tcPr>
          <w:p w:rsidR="0059693B" w:rsidRPr="00B54902" w:rsidRDefault="0059693B" w:rsidP="00D35D8B">
            <w:pPr>
              <w:spacing w:after="0" w:line="240" w:lineRule="auto"/>
              <w:jc w:val="center"/>
              <w:rPr>
                <w:rFonts w:ascii="Times New Roman" w:eastAsia="Times New Roman" w:hAnsi="Times New Roman" w:cs="Times New Roman"/>
                <w:b/>
              </w:rPr>
            </w:pPr>
            <w:r w:rsidRPr="00B54902">
              <w:rPr>
                <w:rFonts w:ascii="Times New Roman" w:eastAsia="Times New Roman" w:hAnsi="Times New Roman" w:cs="Times New Roman"/>
                <w:b/>
              </w:rPr>
              <w:t>% čerpania k uprav. rozpočtu</w:t>
            </w:r>
          </w:p>
        </w:tc>
      </w:tr>
      <w:tr w:rsidR="005E1DA7" w:rsidRPr="00B54902" w:rsidTr="004B650F">
        <w:tc>
          <w:tcPr>
            <w:tcW w:w="2552" w:type="dxa"/>
            <w:shd w:val="clear" w:color="auto" w:fill="auto"/>
          </w:tcPr>
          <w:p w:rsidR="005E1DA7" w:rsidRPr="00B54902" w:rsidRDefault="005E1DA7" w:rsidP="007D774A">
            <w:pPr>
              <w:spacing w:after="0" w:line="240" w:lineRule="auto"/>
              <w:jc w:val="both"/>
              <w:rPr>
                <w:rFonts w:ascii="Times New Roman" w:eastAsia="Times New Roman" w:hAnsi="Times New Roman" w:cs="Times New Roman"/>
              </w:rPr>
            </w:pPr>
            <w:r w:rsidRPr="00B54902">
              <w:rPr>
                <w:rFonts w:ascii="Times New Roman" w:eastAsia="Times New Roman" w:hAnsi="Times New Roman" w:cs="Times New Roman"/>
              </w:rPr>
              <w:t>620 – poistné a príspevok do poisťovní</w:t>
            </w:r>
          </w:p>
        </w:tc>
        <w:tc>
          <w:tcPr>
            <w:tcW w:w="850" w:type="dxa"/>
          </w:tcPr>
          <w:p w:rsidR="005E1DA7" w:rsidRPr="00B54902" w:rsidRDefault="005E1DA7" w:rsidP="007D774A">
            <w:pPr>
              <w:autoSpaceDE w:val="0"/>
              <w:autoSpaceDN w:val="0"/>
              <w:adjustRightInd w:val="0"/>
              <w:spacing w:after="0" w:line="240" w:lineRule="auto"/>
              <w:jc w:val="right"/>
              <w:rPr>
                <w:rFonts w:ascii="Times New Roman" w:hAnsi="Times New Roman" w:cs="Times New Roman"/>
                <w:lang w:eastAsia="sk-SK"/>
              </w:rPr>
            </w:pPr>
          </w:p>
          <w:p w:rsidR="005E1DA7" w:rsidRPr="00B54902" w:rsidRDefault="005E1DA7" w:rsidP="007D774A">
            <w:pPr>
              <w:autoSpaceDE w:val="0"/>
              <w:autoSpaceDN w:val="0"/>
              <w:adjustRightInd w:val="0"/>
              <w:spacing w:after="0" w:line="240" w:lineRule="auto"/>
              <w:jc w:val="center"/>
              <w:rPr>
                <w:rFonts w:ascii="Times New Roman" w:hAnsi="Times New Roman" w:cs="Times New Roman"/>
                <w:lang w:eastAsia="sk-SK"/>
              </w:rPr>
            </w:pPr>
            <w:r w:rsidRPr="00B54902">
              <w:rPr>
                <w:rFonts w:ascii="Times New Roman" w:hAnsi="Times New Roman" w:cs="Times New Roman"/>
                <w:lang w:eastAsia="sk-SK"/>
              </w:rPr>
              <w:t>111</w:t>
            </w:r>
          </w:p>
        </w:tc>
        <w:tc>
          <w:tcPr>
            <w:tcW w:w="1418" w:type="dxa"/>
            <w:shd w:val="clear" w:color="auto" w:fill="auto"/>
          </w:tcPr>
          <w:p w:rsidR="005E1DA7" w:rsidRPr="00B54902" w:rsidRDefault="005E1DA7" w:rsidP="007D774A">
            <w:pPr>
              <w:autoSpaceDE w:val="0"/>
              <w:autoSpaceDN w:val="0"/>
              <w:adjustRightInd w:val="0"/>
              <w:spacing w:after="0" w:line="240" w:lineRule="auto"/>
              <w:jc w:val="right"/>
              <w:rPr>
                <w:rFonts w:ascii="Times New Roman" w:hAnsi="Times New Roman" w:cs="Times New Roman"/>
                <w:lang w:eastAsia="sk-SK"/>
              </w:rPr>
            </w:pPr>
          </w:p>
          <w:p w:rsidR="00876F11" w:rsidRPr="00B54902" w:rsidRDefault="00876F11" w:rsidP="007D774A">
            <w:pPr>
              <w:autoSpaceDE w:val="0"/>
              <w:autoSpaceDN w:val="0"/>
              <w:adjustRightInd w:val="0"/>
              <w:spacing w:after="0" w:line="240" w:lineRule="auto"/>
              <w:jc w:val="right"/>
              <w:rPr>
                <w:rFonts w:ascii="Times New Roman" w:hAnsi="Times New Roman" w:cs="Times New Roman"/>
                <w:lang w:eastAsia="sk-SK"/>
              </w:rPr>
            </w:pPr>
            <w:r w:rsidRPr="00B54902">
              <w:rPr>
                <w:rFonts w:ascii="Times New Roman" w:hAnsi="Times New Roman" w:cs="Times New Roman"/>
                <w:lang w:eastAsia="sk-SK"/>
              </w:rPr>
              <w:t>0,00</w:t>
            </w:r>
          </w:p>
        </w:tc>
        <w:tc>
          <w:tcPr>
            <w:tcW w:w="1417" w:type="dxa"/>
            <w:shd w:val="clear" w:color="auto" w:fill="auto"/>
          </w:tcPr>
          <w:p w:rsidR="00876F11" w:rsidRPr="00B54902" w:rsidRDefault="00876F11" w:rsidP="004D4BE3">
            <w:pPr>
              <w:spacing w:after="0" w:line="240" w:lineRule="auto"/>
              <w:jc w:val="right"/>
              <w:rPr>
                <w:rFonts w:ascii="Times New Roman" w:hAnsi="Times New Roman" w:cs="Times New Roman"/>
                <w:lang w:eastAsia="sk-SK"/>
              </w:rPr>
            </w:pPr>
          </w:p>
          <w:p w:rsidR="004D4BE3" w:rsidRPr="00B54902" w:rsidRDefault="004D4BE3" w:rsidP="004D4BE3">
            <w:pPr>
              <w:autoSpaceDE w:val="0"/>
              <w:autoSpaceDN w:val="0"/>
              <w:adjustRightInd w:val="0"/>
              <w:spacing w:after="0" w:line="240" w:lineRule="auto"/>
              <w:jc w:val="right"/>
              <w:rPr>
                <w:rFonts w:ascii="Times New Roman" w:hAnsi="Times New Roman" w:cs="Times New Roman"/>
                <w:lang w:eastAsia="sk-SK"/>
              </w:rPr>
            </w:pPr>
            <w:r w:rsidRPr="00B54902">
              <w:rPr>
                <w:rFonts w:ascii="Times New Roman" w:hAnsi="Times New Roman" w:cs="Times New Roman"/>
                <w:lang w:eastAsia="sk-SK"/>
              </w:rPr>
              <w:t>56 786,08</w:t>
            </w:r>
          </w:p>
        </w:tc>
        <w:tc>
          <w:tcPr>
            <w:tcW w:w="1418" w:type="dxa"/>
            <w:shd w:val="clear" w:color="auto" w:fill="auto"/>
          </w:tcPr>
          <w:p w:rsidR="00876F11" w:rsidRPr="00B54902" w:rsidRDefault="00876F11" w:rsidP="004D4BE3">
            <w:pPr>
              <w:autoSpaceDE w:val="0"/>
              <w:autoSpaceDN w:val="0"/>
              <w:adjustRightInd w:val="0"/>
              <w:spacing w:after="0" w:line="240" w:lineRule="auto"/>
              <w:jc w:val="right"/>
              <w:rPr>
                <w:rFonts w:ascii="Times New Roman" w:hAnsi="Times New Roman" w:cs="Times New Roman"/>
                <w:lang w:eastAsia="sk-SK"/>
              </w:rPr>
            </w:pPr>
          </w:p>
          <w:p w:rsidR="004D4BE3" w:rsidRPr="00B54902" w:rsidRDefault="004D4BE3" w:rsidP="004D4BE3">
            <w:pPr>
              <w:autoSpaceDE w:val="0"/>
              <w:autoSpaceDN w:val="0"/>
              <w:adjustRightInd w:val="0"/>
              <w:spacing w:after="0" w:line="240" w:lineRule="auto"/>
              <w:jc w:val="right"/>
              <w:rPr>
                <w:rFonts w:ascii="Times New Roman" w:hAnsi="Times New Roman" w:cs="Times New Roman"/>
                <w:lang w:eastAsia="sk-SK"/>
              </w:rPr>
            </w:pPr>
            <w:r w:rsidRPr="00B54902">
              <w:rPr>
                <w:rFonts w:ascii="Times New Roman" w:hAnsi="Times New Roman" w:cs="Times New Roman"/>
                <w:lang w:eastAsia="sk-SK"/>
              </w:rPr>
              <w:t>56 213,79</w:t>
            </w:r>
          </w:p>
        </w:tc>
        <w:tc>
          <w:tcPr>
            <w:tcW w:w="1417" w:type="dxa"/>
            <w:shd w:val="clear" w:color="auto" w:fill="auto"/>
          </w:tcPr>
          <w:p w:rsidR="005E1DA7" w:rsidRPr="00B54902" w:rsidRDefault="005E1DA7" w:rsidP="007D774A">
            <w:pPr>
              <w:spacing w:after="0" w:line="240" w:lineRule="auto"/>
              <w:jc w:val="center"/>
              <w:rPr>
                <w:rFonts w:ascii="Times New Roman" w:eastAsia="Times New Roman" w:hAnsi="Times New Roman" w:cs="Times New Roman"/>
              </w:rPr>
            </w:pPr>
          </w:p>
          <w:p w:rsidR="004D4BE3" w:rsidRPr="00B54902" w:rsidRDefault="004D4BE3" w:rsidP="007D774A">
            <w:pPr>
              <w:spacing w:after="0" w:line="240" w:lineRule="auto"/>
              <w:jc w:val="center"/>
              <w:rPr>
                <w:rFonts w:ascii="Times New Roman" w:eastAsia="Times New Roman" w:hAnsi="Times New Roman" w:cs="Times New Roman"/>
              </w:rPr>
            </w:pPr>
            <w:r w:rsidRPr="00B54902">
              <w:rPr>
                <w:rFonts w:ascii="Times New Roman" w:eastAsia="Times New Roman" w:hAnsi="Times New Roman" w:cs="Times New Roman"/>
              </w:rPr>
              <w:t>99,00</w:t>
            </w:r>
          </w:p>
        </w:tc>
      </w:tr>
    </w:tbl>
    <w:p w:rsidR="007D774A" w:rsidRDefault="007D774A" w:rsidP="007D774A">
      <w:pPr>
        <w:autoSpaceDE w:val="0"/>
        <w:autoSpaceDN w:val="0"/>
        <w:adjustRightInd w:val="0"/>
        <w:spacing w:after="0" w:line="240" w:lineRule="auto"/>
        <w:ind w:firstLine="567"/>
        <w:jc w:val="both"/>
        <w:rPr>
          <w:rFonts w:ascii="Times New Roman" w:hAnsi="Times New Roman" w:cs="Times New Roman"/>
          <w:sz w:val="24"/>
          <w:szCs w:val="24"/>
        </w:rPr>
      </w:pPr>
    </w:p>
    <w:p w:rsidR="00CA0195" w:rsidRPr="00AD2839" w:rsidRDefault="00EF7398" w:rsidP="00AD2839">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D774A">
        <w:rPr>
          <w:rFonts w:ascii="Times New Roman" w:hAnsi="Times New Roman" w:cs="Times New Roman"/>
          <w:sz w:val="24"/>
          <w:szCs w:val="24"/>
        </w:rPr>
        <w:t>V roku 201</w:t>
      </w:r>
      <w:r w:rsidR="003A32CA">
        <w:rPr>
          <w:rFonts w:ascii="Times New Roman" w:hAnsi="Times New Roman" w:cs="Times New Roman"/>
          <w:sz w:val="24"/>
          <w:szCs w:val="24"/>
        </w:rPr>
        <w:t>5</w:t>
      </w:r>
      <w:r w:rsidRPr="007D774A">
        <w:rPr>
          <w:rFonts w:ascii="Times New Roman" w:hAnsi="Times New Roman" w:cs="Times New Roman"/>
          <w:sz w:val="24"/>
          <w:szCs w:val="24"/>
        </w:rPr>
        <w:t xml:space="preserve"> boli výdavky na </w:t>
      </w:r>
      <w:r w:rsidRPr="007D774A">
        <w:rPr>
          <w:rFonts w:ascii="Times New Roman" w:eastAsia="Times New Roman" w:hAnsi="Times New Roman" w:cs="Times New Roman"/>
          <w:sz w:val="24"/>
          <w:szCs w:val="24"/>
        </w:rPr>
        <w:t>poistné a príspevok do poisťovní</w:t>
      </w:r>
      <w:r w:rsidRPr="007D774A">
        <w:rPr>
          <w:rFonts w:ascii="Times New Roman" w:hAnsi="Times New Roman" w:cs="Times New Roman"/>
          <w:sz w:val="24"/>
          <w:szCs w:val="24"/>
        </w:rPr>
        <w:t xml:space="preserve"> </w:t>
      </w:r>
      <w:r w:rsidR="00B816BF" w:rsidRPr="0018738E">
        <w:rPr>
          <w:rFonts w:ascii="Times New Roman" w:hAnsi="Times New Roman" w:cs="Times New Roman"/>
          <w:color w:val="000000"/>
          <w:sz w:val="24"/>
          <w:szCs w:val="24"/>
        </w:rPr>
        <w:t xml:space="preserve">pre zamestnancov pracovnej skupiny na realizáciu prípravy a zabezpečenia predsedníctva SR v Rade EÚ v roku 2016 </w:t>
      </w:r>
      <w:r w:rsidR="00B816BF">
        <w:rPr>
          <w:rFonts w:ascii="Times New Roman" w:hAnsi="Times New Roman" w:cs="Times New Roman"/>
          <w:sz w:val="24"/>
          <w:szCs w:val="24"/>
        </w:rPr>
        <w:t xml:space="preserve">čerpané </w:t>
      </w:r>
      <w:r w:rsidR="007B3F0D">
        <w:rPr>
          <w:rFonts w:ascii="Times New Roman" w:hAnsi="Times New Roman" w:cs="Times New Roman"/>
          <w:sz w:val="24"/>
          <w:szCs w:val="24"/>
        </w:rPr>
        <w:t xml:space="preserve">v sume </w:t>
      </w:r>
      <w:r w:rsidR="007B3F0D">
        <w:rPr>
          <w:rFonts w:ascii="Times New Roman" w:hAnsi="Times New Roman" w:cs="Times New Roman"/>
          <w:sz w:val="24"/>
          <w:szCs w:val="24"/>
          <w:lang w:eastAsia="sk-SK"/>
        </w:rPr>
        <w:t>56 213,79</w:t>
      </w:r>
      <w:r w:rsidR="00B816BF">
        <w:rPr>
          <w:rFonts w:ascii="Times New Roman" w:hAnsi="Times New Roman" w:cs="Times New Roman"/>
          <w:sz w:val="24"/>
          <w:szCs w:val="24"/>
        </w:rPr>
        <w:t xml:space="preserve"> </w:t>
      </w:r>
      <w:r w:rsidRPr="007D774A">
        <w:rPr>
          <w:rFonts w:ascii="Times New Roman" w:hAnsi="Times New Roman" w:cs="Times New Roman"/>
          <w:sz w:val="24"/>
          <w:szCs w:val="24"/>
          <w:lang w:eastAsia="sk-SK"/>
        </w:rPr>
        <w:t xml:space="preserve">eur, </w:t>
      </w:r>
      <w:r w:rsidRPr="007D774A">
        <w:rPr>
          <w:rFonts w:ascii="Times New Roman" w:hAnsi="Times New Roman" w:cs="Times New Roman"/>
          <w:sz w:val="24"/>
          <w:szCs w:val="24"/>
        </w:rPr>
        <w:t xml:space="preserve">čo je </w:t>
      </w:r>
      <w:r w:rsidR="007B3F0D">
        <w:rPr>
          <w:rFonts w:ascii="Times New Roman" w:hAnsi="Times New Roman" w:cs="Times New Roman"/>
          <w:sz w:val="24"/>
          <w:szCs w:val="24"/>
        </w:rPr>
        <w:t>99,00</w:t>
      </w:r>
      <w:r w:rsidRPr="007D774A">
        <w:rPr>
          <w:rFonts w:ascii="Times New Roman" w:hAnsi="Times New Roman" w:cs="Times New Roman"/>
          <w:sz w:val="24"/>
          <w:szCs w:val="24"/>
        </w:rPr>
        <w:t>% z upraveného rozpočtu</w:t>
      </w:r>
      <w:r w:rsidR="007B3F0D">
        <w:rPr>
          <w:rFonts w:ascii="Times New Roman" w:hAnsi="Times New Roman" w:cs="Times New Roman"/>
          <w:sz w:val="24"/>
          <w:szCs w:val="24"/>
        </w:rPr>
        <w:t xml:space="preserve"> k 31.12.2015</w:t>
      </w:r>
      <w:r w:rsidRPr="007D774A">
        <w:rPr>
          <w:rFonts w:ascii="Times New Roman" w:hAnsi="Times New Roman" w:cs="Times New Roman"/>
          <w:sz w:val="24"/>
          <w:szCs w:val="24"/>
          <w:lang w:eastAsia="sk-SK"/>
        </w:rPr>
        <w:t>.</w:t>
      </w:r>
    </w:p>
    <w:p w:rsidR="00CA0195" w:rsidRDefault="00CA0195" w:rsidP="009F1E92">
      <w:pPr>
        <w:spacing w:after="0" w:line="240" w:lineRule="auto"/>
        <w:ind w:right="26"/>
        <w:jc w:val="both"/>
        <w:rPr>
          <w:rFonts w:ascii="Times New Roman" w:hAnsi="Times New Roman" w:cs="Times New Roman"/>
          <w:sz w:val="24"/>
          <w:szCs w:val="24"/>
        </w:rPr>
      </w:pPr>
    </w:p>
    <w:p w:rsidR="005E1DA7" w:rsidRPr="009F1E92" w:rsidRDefault="005E1DA7" w:rsidP="009F1E92">
      <w:pPr>
        <w:spacing w:after="0" w:line="240" w:lineRule="auto"/>
        <w:ind w:right="26"/>
        <w:jc w:val="both"/>
        <w:rPr>
          <w:rFonts w:ascii="Times New Roman" w:hAnsi="Times New Roman" w:cs="Times New Roman"/>
          <w:i/>
          <w:sz w:val="24"/>
          <w:szCs w:val="24"/>
        </w:rPr>
      </w:pPr>
      <w:r w:rsidRPr="009F1E92">
        <w:rPr>
          <w:rFonts w:ascii="Times New Roman" w:hAnsi="Times New Roman" w:cs="Times New Roman"/>
          <w:i/>
          <w:sz w:val="24"/>
          <w:szCs w:val="24"/>
        </w:rPr>
        <w:t>07L09 – Technická pomoc - opatrenie 4.1. OP KaHR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992"/>
        <w:gridCol w:w="1276"/>
        <w:gridCol w:w="1417"/>
        <w:gridCol w:w="1418"/>
        <w:gridCol w:w="1417"/>
      </w:tblGrid>
      <w:tr w:rsidR="0059693B" w:rsidRPr="00525530" w:rsidTr="004B650F">
        <w:trPr>
          <w:trHeight w:val="716"/>
        </w:trPr>
        <w:tc>
          <w:tcPr>
            <w:tcW w:w="2552" w:type="dxa"/>
            <w:shd w:val="clear" w:color="auto" w:fill="auto"/>
          </w:tcPr>
          <w:p w:rsidR="0059693B" w:rsidRPr="00525530" w:rsidRDefault="0059693B" w:rsidP="009F1E92">
            <w:pPr>
              <w:spacing w:after="0" w:line="240" w:lineRule="auto"/>
              <w:jc w:val="both"/>
              <w:rPr>
                <w:rFonts w:ascii="Times New Roman" w:eastAsia="Times New Roman" w:hAnsi="Times New Roman" w:cs="Times New Roman"/>
                <w:b/>
              </w:rPr>
            </w:pPr>
            <w:r w:rsidRPr="00525530">
              <w:rPr>
                <w:rFonts w:ascii="Times New Roman" w:eastAsia="Times New Roman" w:hAnsi="Times New Roman" w:cs="Times New Roman"/>
                <w:b/>
              </w:rPr>
              <w:t>Ekonomická</w:t>
            </w:r>
          </w:p>
          <w:p w:rsidR="0059693B" w:rsidRPr="00525530" w:rsidRDefault="0059693B" w:rsidP="009F1E92">
            <w:pPr>
              <w:spacing w:after="0" w:line="240" w:lineRule="auto"/>
              <w:jc w:val="both"/>
              <w:rPr>
                <w:rFonts w:ascii="Times New Roman" w:eastAsia="Times New Roman" w:hAnsi="Times New Roman" w:cs="Times New Roman"/>
                <w:b/>
              </w:rPr>
            </w:pPr>
            <w:r w:rsidRPr="00525530">
              <w:rPr>
                <w:rFonts w:ascii="Times New Roman" w:eastAsia="Times New Roman" w:hAnsi="Times New Roman" w:cs="Times New Roman"/>
                <w:b/>
              </w:rPr>
              <w:t>klasifikácia</w:t>
            </w:r>
          </w:p>
        </w:tc>
        <w:tc>
          <w:tcPr>
            <w:tcW w:w="992" w:type="dxa"/>
          </w:tcPr>
          <w:p w:rsidR="0059693B" w:rsidRPr="00525530" w:rsidRDefault="0059693B" w:rsidP="009F1E92">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Zdroj</w:t>
            </w:r>
          </w:p>
        </w:tc>
        <w:tc>
          <w:tcPr>
            <w:tcW w:w="1276" w:type="dxa"/>
            <w:shd w:val="clear" w:color="auto" w:fill="auto"/>
          </w:tcPr>
          <w:p w:rsidR="0059693B" w:rsidRPr="00525530" w:rsidRDefault="0059693B" w:rsidP="0059693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Schválený</w:t>
            </w:r>
          </w:p>
          <w:p w:rsidR="0059693B" w:rsidRPr="00525530" w:rsidRDefault="0059693B" w:rsidP="0059693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rozpočet k 1.1.2015</w:t>
            </w:r>
          </w:p>
        </w:tc>
        <w:tc>
          <w:tcPr>
            <w:tcW w:w="1417" w:type="dxa"/>
            <w:shd w:val="clear" w:color="auto" w:fill="auto"/>
          </w:tcPr>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Upravený</w:t>
            </w:r>
          </w:p>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rozpočet k 31.12.2015</w:t>
            </w:r>
          </w:p>
        </w:tc>
        <w:tc>
          <w:tcPr>
            <w:tcW w:w="1418" w:type="dxa"/>
            <w:shd w:val="clear" w:color="auto" w:fill="auto"/>
          </w:tcPr>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Čerpanie k</w:t>
            </w:r>
          </w:p>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31.12.2015</w:t>
            </w:r>
          </w:p>
        </w:tc>
        <w:tc>
          <w:tcPr>
            <w:tcW w:w="1417" w:type="dxa"/>
            <w:shd w:val="clear" w:color="auto" w:fill="auto"/>
          </w:tcPr>
          <w:p w:rsidR="0059693B" w:rsidRPr="00525530" w:rsidRDefault="0059693B" w:rsidP="00D35D8B">
            <w:pPr>
              <w:spacing w:after="0" w:line="240" w:lineRule="auto"/>
              <w:jc w:val="center"/>
              <w:rPr>
                <w:rFonts w:ascii="Times New Roman" w:eastAsia="Times New Roman" w:hAnsi="Times New Roman" w:cs="Times New Roman"/>
                <w:b/>
              </w:rPr>
            </w:pPr>
            <w:r w:rsidRPr="00525530">
              <w:rPr>
                <w:rFonts w:ascii="Times New Roman" w:eastAsia="Times New Roman" w:hAnsi="Times New Roman" w:cs="Times New Roman"/>
                <w:b/>
              </w:rPr>
              <w:t>% čerpania k uprav. rozpočtu</w:t>
            </w:r>
          </w:p>
        </w:tc>
      </w:tr>
      <w:tr w:rsidR="005E1DA7" w:rsidRPr="00525530" w:rsidTr="004B650F">
        <w:tc>
          <w:tcPr>
            <w:tcW w:w="2552" w:type="dxa"/>
            <w:shd w:val="clear" w:color="auto" w:fill="auto"/>
          </w:tcPr>
          <w:p w:rsidR="005E1DA7" w:rsidRPr="00525530" w:rsidRDefault="005E1DA7" w:rsidP="009F1E92">
            <w:pPr>
              <w:spacing w:after="0" w:line="240" w:lineRule="auto"/>
              <w:jc w:val="both"/>
              <w:rPr>
                <w:rFonts w:ascii="Times New Roman" w:eastAsia="Times New Roman" w:hAnsi="Times New Roman" w:cs="Times New Roman"/>
              </w:rPr>
            </w:pPr>
            <w:r w:rsidRPr="00525530">
              <w:rPr>
                <w:rFonts w:ascii="Times New Roman" w:eastAsia="Times New Roman" w:hAnsi="Times New Roman" w:cs="Times New Roman"/>
              </w:rPr>
              <w:t>620 – poistné a príspevok do poisťovní</w:t>
            </w:r>
          </w:p>
        </w:tc>
        <w:tc>
          <w:tcPr>
            <w:tcW w:w="992" w:type="dxa"/>
          </w:tcPr>
          <w:p w:rsidR="005E1DA7" w:rsidRPr="00525530" w:rsidRDefault="005E1DA7" w:rsidP="009F1E92">
            <w:pPr>
              <w:autoSpaceDE w:val="0"/>
              <w:autoSpaceDN w:val="0"/>
              <w:adjustRightInd w:val="0"/>
              <w:spacing w:after="0" w:line="240" w:lineRule="auto"/>
              <w:jc w:val="center"/>
              <w:rPr>
                <w:rFonts w:ascii="Times New Roman" w:hAnsi="Times New Roman" w:cs="Times New Roman"/>
                <w:lang w:eastAsia="sk-SK"/>
              </w:rPr>
            </w:pPr>
            <w:r w:rsidRPr="00525530">
              <w:rPr>
                <w:rFonts w:ascii="Times New Roman" w:hAnsi="Times New Roman" w:cs="Times New Roman"/>
                <w:lang w:eastAsia="sk-SK"/>
              </w:rPr>
              <w:t>1</w:t>
            </w:r>
            <w:r w:rsidR="007B3F0D" w:rsidRPr="00525530">
              <w:rPr>
                <w:rFonts w:ascii="Times New Roman" w:hAnsi="Times New Roman" w:cs="Times New Roman"/>
                <w:lang w:eastAsia="sk-SK"/>
              </w:rPr>
              <w:t>3</w:t>
            </w:r>
            <w:r w:rsidRPr="00525530">
              <w:rPr>
                <w:rFonts w:ascii="Times New Roman" w:hAnsi="Times New Roman" w:cs="Times New Roman"/>
                <w:lang w:eastAsia="sk-SK"/>
              </w:rPr>
              <w:t>S1</w:t>
            </w:r>
          </w:p>
          <w:p w:rsidR="005E1DA7" w:rsidRPr="00525530" w:rsidRDefault="007B3F0D" w:rsidP="009F1E92">
            <w:pPr>
              <w:autoSpaceDE w:val="0"/>
              <w:autoSpaceDN w:val="0"/>
              <w:adjustRightInd w:val="0"/>
              <w:spacing w:after="0" w:line="240" w:lineRule="auto"/>
              <w:jc w:val="center"/>
              <w:rPr>
                <w:rFonts w:ascii="Times New Roman" w:hAnsi="Times New Roman" w:cs="Times New Roman"/>
                <w:lang w:eastAsia="sk-SK"/>
              </w:rPr>
            </w:pPr>
            <w:r w:rsidRPr="00525530">
              <w:rPr>
                <w:rFonts w:ascii="Times New Roman" w:hAnsi="Times New Roman" w:cs="Times New Roman"/>
                <w:lang w:eastAsia="sk-SK"/>
              </w:rPr>
              <w:t>13</w:t>
            </w:r>
            <w:r w:rsidR="005E1DA7" w:rsidRPr="00525530">
              <w:rPr>
                <w:rFonts w:ascii="Times New Roman" w:hAnsi="Times New Roman" w:cs="Times New Roman"/>
                <w:lang w:eastAsia="sk-SK"/>
              </w:rPr>
              <w:t>S2</w:t>
            </w:r>
          </w:p>
        </w:tc>
        <w:tc>
          <w:tcPr>
            <w:tcW w:w="1276" w:type="dxa"/>
            <w:shd w:val="clear" w:color="auto" w:fill="auto"/>
          </w:tcPr>
          <w:p w:rsidR="005E1DA7" w:rsidRPr="00525530" w:rsidRDefault="00876F11" w:rsidP="009F1E92">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0,00</w:t>
            </w:r>
          </w:p>
          <w:p w:rsidR="00876F11" w:rsidRPr="00525530" w:rsidRDefault="00876F11" w:rsidP="009F1E92">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0,00</w:t>
            </w:r>
          </w:p>
        </w:tc>
        <w:tc>
          <w:tcPr>
            <w:tcW w:w="1417" w:type="dxa"/>
            <w:shd w:val="clear" w:color="auto" w:fill="auto"/>
          </w:tcPr>
          <w:p w:rsidR="007B3F0D" w:rsidRPr="00525530" w:rsidRDefault="007B3F0D" w:rsidP="007B3F0D">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635 004,20</w:t>
            </w:r>
          </w:p>
          <w:p w:rsidR="005E1DA7" w:rsidRPr="00525530" w:rsidRDefault="007B3F0D" w:rsidP="007B3F0D">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112 059,69</w:t>
            </w:r>
          </w:p>
        </w:tc>
        <w:tc>
          <w:tcPr>
            <w:tcW w:w="1418" w:type="dxa"/>
            <w:shd w:val="clear" w:color="auto" w:fill="auto"/>
          </w:tcPr>
          <w:p w:rsidR="007B3F0D" w:rsidRPr="00525530" w:rsidRDefault="007B3F0D" w:rsidP="007B3F0D">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635 004,20</w:t>
            </w:r>
          </w:p>
          <w:p w:rsidR="005E1DA7" w:rsidRPr="00525530" w:rsidRDefault="007B3F0D" w:rsidP="007B3F0D">
            <w:pPr>
              <w:autoSpaceDE w:val="0"/>
              <w:autoSpaceDN w:val="0"/>
              <w:adjustRightInd w:val="0"/>
              <w:spacing w:after="0" w:line="240" w:lineRule="auto"/>
              <w:jc w:val="right"/>
              <w:rPr>
                <w:rFonts w:ascii="Times New Roman" w:hAnsi="Times New Roman" w:cs="Times New Roman"/>
                <w:lang w:eastAsia="sk-SK"/>
              </w:rPr>
            </w:pPr>
            <w:r w:rsidRPr="00525530">
              <w:rPr>
                <w:rFonts w:ascii="Times New Roman" w:hAnsi="Times New Roman" w:cs="Times New Roman"/>
                <w:lang w:eastAsia="sk-SK"/>
              </w:rPr>
              <w:t>112 059,69</w:t>
            </w:r>
          </w:p>
        </w:tc>
        <w:tc>
          <w:tcPr>
            <w:tcW w:w="1417" w:type="dxa"/>
            <w:shd w:val="clear" w:color="auto" w:fill="auto"/>
          </w:tcPr>
          <w:p w:rsidR="005E1DA7" w:rsidRPr="00525530" w:rsidRDefault="007B3F0D" w:rsidP="009F1E92">
            <w:pPr>
              <w:spacing w:after="0" w:line="240" w:lineRule="auto"/>
              <w:jc w:val="center"/>
              <w:rPr>
                <w:rFonts w:ascii="Times New Roman" w:eastAsia="Times New Roman" w:hAnsi="Times New Roman" w:cs="Times New Roman"/>
              </w:rPr>
            </w:pPr>
            <w:r w:rsidRPr="00525530">
              <w:rPr>
                <w:rFonts w:ascii="Times New Roman" w:eastAsia="Times New Roman" w:hAnsi="Times New Roman" w:cs="Times New Roman"/>
              </w:rPr>
              <w:t>100,00</w:t>
            </w:r>
          </w:p>
          <w:p w:rsidR="007B3F0D" w:rsidRPr="00525530" w:rsidRDefault="007B3F0D" w:rsidP="009F1E92">
            <w:pPr>
              <w:spacing w:after="0" w:line="240" w:lineRule="auto"/>
              <w:jc w:val="center"/>
              <w:rPr>
                <w:rFonts w:ascii="Times New Roman" w:eastAsia="Times New Roman" w:hAnsi="Times New Roman" w:cs="Times New Roman"/>
              </w:rPr>
            </w:pPr>
            <w:r w:rsidRPr="00525530">
              <w:rPr>
                <w:rFonts w:ascii="Times New Roman" w:eastAsia="Times New Roman" w:hAnsi="Times New Roman" w:cs="Times New Roman"/>
              </w:rPr>
              <w:t>100,00</w:t>
            </w:r>
          </w:p>
        </w:tc>
      </w:tr>
      <w:tr w:rsidR="00EF7398" w:rsidRPr="00711665" w:rsidTr="004B650F">
        <w:trPr>
          <w:trHeight w:val="294"/>
        </w:trPr>
        <w:tc>
          <w:tcPr>
            <w:tcW w:w="2552" w:type="dxa"/>
            <w:shd w:val="clear" w:color="auto" w:fill="auto"/>
          </w:tcPr>
          <w:p w:rsidR="00EF7398" w:rsidRPr="00711665" w:rsidRDefault="00EF7398" w:rsidP="009F1E92">
            <w:pPr>
              <w:spacing w:after="0" w:line="240" w:lineRule="auto"/>
              <w:jc w:val="both"/>
              <w:rPr>
                <w:rFonts w:ascii="Times New Roman" w:eastAsia="Times New Roman" w:hAnsi="Times New Roman" w:cs="Times New Roman"/>
                <w:b/>
              </w:rPr>
            </w:pPr>
            <w:r w:rsidRPr="00711665">
              <w:rPr>
                <w:rFonts w:ascii="Times New Roman" w:eastAsia="Times New Roman" w:hAnsi="Times New Roman" w:cs="Times New Roman"/>
                <w:b/>
              </w:rPr>
              <w:t>SPOLU 620</w:t>
            </w:r>
          </w:p>
        </w:tc>
        <w:tc>
          <w:tcPr>
            <w:tcW w:w="992" w:type="dxa"/>
          </w:tcPr>
          <w:p w:rsidR="00EF7398" w:rsidRPr="00711665" w:rsidRDefault="00EF7398" w:rsidP="009F1E92">
            <w:pPr>
              <w:autoSpaceDE w:val="0"/>
              <w:autoSpaceDN w:val="0"/>
              <w:adjustRightInd w:val="0"/>
              <w:spacing w:after="0" w:line="240" w:lineRule="auto"/>
              <w:jc w:val="right"/>
              <w:rPr>
                <w:rFonts w:ascii="Times New Roman" w:hAnsi="Times New Roman" w:cs="Times New Roman"/>
                <w:b/>
                <w:lang w:eastAsia="sk-SK"/>
              </w:rPr>
            </w:pPr>
          </w:p>
        </w:tc>
        <w:tc>
          <w:tcPr>
            <w:tcW w:w="1276" w:type="dxa"/>
            <w:shd w:val="clear" w:color="auto" w:fill="auto"/>
          </w:tcPr>
          <w:p w:rsidR="00EF7398" w:rsidRPr="00711665" w:rsidRDefault="00EF7398" w:rsidP="009F1E92">
            <w:pPr>
              <w:autoSpaceDE w:val="0"/>
              <w:autoSpaceDN w:val="0"/>
              <w:adjustRightInd w:val="0"/>
              <w:spacing w:after="0" w:line="240" w:lineRule="auto"/>
              <w:jc w:val="right"/>
              <w:rPr>
                <w:rFonts w:ascii="Times New Roman" w:hAnsi="Times New Roman" w:cs="Times New Roman"/>
                <w:b/>
                <w:lang w:eastAsia="sk-SK"/>
              </w:rPr>
            </w:pPr>
            <w:r w:rsidRPr="00711665">
              <w:rPr>
                <w:rFonts w:ascii="Times New Roman" w:hAnsi="Times New Roman" w:cs="Times New Roman"/>
                <w:b/>
                <w:lang w:eastAsia="sk-SK"/>
              </w:rPr>
              <w:t>0,00</w:t>
            </w:r>
          </w:p>
        </w:tc>
        <w:tc>
          <w:tcPr>
            <w:tcW w:w="1417" w:type="dxa"/>
            <w:shd w:val="clear" w:color="auto" w:fill="auto"/>
          </w:tcPr>
          <w:p w:rsidR="00EF7398" w:rsidRPr="00711665" w:rsidRDefault="007B3F0D" w:rsidP="007B3F0D">
            <w:pPr>
              <w:autoSpaceDE w:val="0"/>
              <w:autoSpaceDN w:val="0"/>
              <w:adjustRightInd w:val="0"/>
              <w:spacing w:after="0" w:line="240" w:lineRule="auto"/>
              <w:jc w:val="right"/>
              <w:rPr>
                <w:rFonts w:ascii="Times New Roman" w:hAnsi="Times New Roman" w:cs="Times New Roman"/>
                <w:b/>
                <w:lang w:eastAsia="sk-SK"/>
              </w:rPr>
            </w:pPr>
            <w:r w:rsidRPr="00711665">
              <w:rPr>
                <w:rFonts w:ascii="Times New Roman" w:hAnsi="Times New Roman" w:cs="Times New Roman"/>
                <w:b/>
                <w:lang w:eastAsia="sk-SK"/>
              </w:rPr>
              <w:t>747 063,89</w:t>
            </w:r>
          </w:p>
        </w:tc>
        <w:tc>
          <w:tcPr>
            <w:tcW w:w="1418" w:type="dxa"/>
            <w:shd w:val="clear" w:color="auto" w:fill="auto"/>
          </w:tcPr>
          <w:p w:rsidR="00EF7398" w:rsidRPr="00711665" w:rsidRDefault="007B3F0D" w:rsidP="007B3F0D">
            <w:pPr>
              <w:autoSpaceDE w:val="0"/>
              <w:autoSpaceDN w:val="0"/>
              <w:adjustRightInd w:val="0"/>
              <w:spacing w:after="0" w:line="240" w:lineRule="auto"/>
              <w:jc w:val="right"/>
              <w:rPr>
                <w:rFonts w:ascii="Times New Roman" w:hAnsi="Times New Roman" w:cs="Times New Roman"/>
                <w:b/>
                <w:lang w:eastAsia="sk-SK"/>
              </w:rPr>
            </w:pPr>
            <w:r w:rsidRPr="00711665">
              <w:rPr>
                <w:rFonts w:ascii="Times New Roman" w:hAnsi="Times New Roman" w:cs="Times New Roman"/>
                <w:b/>
                <w:lang w:eastAsia="sk-SK"/>
              </w:rPr>
              <w:t>747 063,89</w:t>
            </w:r>
          </w:p>
        </w:tc>
        <w:tc>
          <w:tcPr>
            <w:tcW w:w="1417" w:type="dxa"/>
            <w:shd w:val="clear" w:color="auto" w:fill="auto"/>
          </w:tcPr>
          <w:p w:rsidR="00EF7398" w:rsidRPr="00711665" w:rsidRDefault="007B3F0D" w:rsidP="009F1E92">
            <w:pPr>
              <w:spacing w:after="0" w:line="240" w:lineRule="auto"/>
              <w:jc w:val="center"/>
              <w:rPr>
                <w:rFonts w:ascii="Times New Roman" w:eastAsia="Times New Roman" w:hAnsi="Times New Roman" w:cs="Times New Roman"/>
                <w:b/>
              </w:rPr>
            </w:pPr>
            <w:r w:rsidRPr="00711665">
              <w:rPr>
                <w:rFonts w:ascii="Times New Roman" w:eastAsia="Times New Roman" w:hAnsi="Times New Roman" w:cs="Times New Roman"/>
                <w:b/>
              </w:rPr>
              <w:t>100,00</w:t>
            </w:r>
          </w:p>
        </w:tc>
      </w:tr>
    </w:tbl>
    <w:p w:rsidR="00525D9A" w:rsidRPr="009F1E92" w:rsidRDefault="00525D9A" w:rsidP="009F1E92">
      <w:pPr>
        <w:autoSpaceDE w:val="0"/>
        <w:autoSpaceDN w:val="0"/>
        <w:adjustRightInd w:val="0"/>
        <w:spacing w:after="0" w:line="240" w:lineRule="auto"/>
        <w:ind w:firstLine="567"/>
        <w:jc w:val="both"/>
        <w:rPr>
          <w:rFonts w:ascii="Times New Roman" w:hAnsi="Times New Roman" w:cs="Times New Roman"/>
          <w:sz w:val="24"/>
          <w:szCs w:val="24"/>
        </w:rPr>
      </w:pPr>
    </w:p>
    <w:p w:rsidR="00C61846" w:rsidRPr="008F0D45" w:rsidRDefault="00525D9A" w:rsidP="002502D9">
      <w:pPr>
        <w:autoSpaceDE w:val="0"/>
        <w:autoSpaceDN w:val="0"/>
        <w:adjustRightInd w:val="0"/>
        <w:spacing w:after="0" w:line="240" w:lineRule="auto"/>
        <w:ind w:firstLine="709"/>
        <w:jc w:val="both"/>
        <w:rPr>
          <w:rFonts w:ascii="Times New Roman" w:hAnsi="Times New Roman" w:cs="Times New Roman"/>
          <w:sz w:val="24"/>
          <w:szCs w:val="24"/>
        </w:rPr>
      </w:pPr>
      <w:r w:rsidRPr="009F1E92">
        <w:rPr>
          <w:rFonts w:ascii="Times New Roman" w:hAnsi="Times New Roman" w:cs="Times New Roman"/>
          <w:sz w:val="24"/>
          <w:szCs w:val="24"/>
        </w:rPr>
        <w:t>V roku 201</w:t>
      </w:r>
      <w:r w:rsidR="003A32CA">
        <w:rPr>
          <w:rFonts w:ascii="Times New Roman" w:hAnsi="Times New Roman" w:cs="Times New Roman"/>
          <w:sz w:val="24"/>
          <w:szCs w:val="24"/>
        </w:rPr>
        <w:t>5</w:t>
      </w:r>
      <w:r w:rsidRPr="009F1E92">
        <w:rPr>
          <w:rFonts w:ascii="Times New Roman" w:hAnsi="Times New Roman" w:cs="Times New Roman"/>
          <w:sz w:val="24"/>
          <w:szCs w:val="24"/>
        </w:rPr>
        <w:t xml:space="preserve"> boli výdavky na </w:t>
      </w:r>
      <w:r w:rsidRPr="009F1E92">
        <w:rPr>
          <w:rFonts w:ascii="Times New Roman" w:eastAsia="Times New Roman" w:hAnsi="Times New Roman" w:cs="Times New Roman"/>
          <w:sz w:val="24"/>
          <w:szCs w:val="24"/>
        </w:rPr>
        <w:t>poistné a príspevok do poisťovní</w:t>
      </w:r>
      <w:r w:rsidRPr="009F1E92">
        <w:rPr>
          <w:rFonts w:ascii="Times New Roman" w:hAnsi="Times New Roman" w:cs="Times New Roman"/>
          <w:sz w:val="24"/>
          <w:szCs w:val="24"/>
        </w:rPr>
        <w:t xml:space="preserve"> čerpané </w:t>
      </w:r>
      <w:r w:rsidR="00CA0195">
        <w:rPr>
          <w:rFonts w:ascii="Times New Roman" w:hAnsi="Times New Roman" w:cs="Times New Roman"/>
          <w:sz w:val="24"/>
          <w:szCs w:val="24"/>
        </w:rPr>
        <w:t>v sume</w:t>
      </w:r>
      <w:r w:rsidRPr="009F1E92">
        <w:rPr>
          <w:rFonts w:ascii="Times New Roman" w:hAnsi="Times New Roman" w:cs="Times New Roman"/>
          <w:sz w:val="24"/>
          <w:szCs w:val="24"/>
        </w:rPr>
        <w:t xml:space="preserve"> </w:t>
      </w:r>
      <w:r w:rsidR="00711665">
        <w:rPr>
          <w:rFonts w:ascii="Times New Roman" w:hAnsi="Times New Roman" w:cs="Times New Roman"/>
          <w:sz w:val="24"/>
          <w:szCs w:val="24"/>
        </w:rPr>
        <w:t>747 063,89</w:t>
      </w:r>
      <w:r w:rsidRPr="009F1E92">
        <w:rPr>
          <w:rFonts w:ascii="Times New Roman" w:hAnsi="Times New Roman" w:cs="Times New Roman"/>
          <w:sz w:val="24"/>
          <w:szCs w:val="24"/>
        </w:rPr>
        <w:t xml:space="preserve">  </w:t>
      </w:r>
      <w:r w:rsidRPr="009F1E92">
        <w:rPr>
          <w:rFonts w:ascii="Times New Roman" w:hAnsi="Times New Roman" w:cs="Times New Roman"/>
          <w:sz w:val="24"/>
          <w:szCs w:val="24"/>
          <w:lang w:eastAsia="sk-SK"/>
        </w:rPr>
        <w:t xml:space="preserve">eur, </w:t>
      </w:r>
      <w:r w:rsidRPr="009F1E92">
        <w:rPr>
          <w:rFonts w:ascii="Times New Roman" w:hAnsi="Times New Roman" w:cs="Times New Roman"/>
          <w:sz w:val="24"/>
          <w:szCs w:val="24"/>
        </w:rPr>
        <w:t>čo je 100,00 % z upraveného rozpočtu</w:t>
      </w:r>
      <w:r w:rsidR="00C61846">
        <w:rPr>
          <w:rFonts w:ascii="Times New Roman" w:hAnsi="Times New Roman" w:cs="Times New Roman"/>
          <w:sz w:val="24"/>
          <w:szCs w:val="24"/>
          <w:lang w:eastAsia="sk-SK"/>
        </w:rPr>
        <w:t xml:space="preserve"> a boli použité </w:t>
      </w:r>
      <w:r w:rsidR="00C61846" w:rsidRPr="00AB23CA">
        <w:rPr>
          <w:rFonts w:ascii="Times New Roman" w:hAnsi="Times New Roman" w:cs="Times New Roman"/>
          <w:color w:val="000000"/>
          <w:sz w:val="24"/>
          <w:szCs w:val="24"/>
        </w:rPr>
        <w:t>na refundáciu</w:t>
      </w:r>
      <w:r w:rsidR="00C61846">
        <w:rPr>
          <w:rFonts w:ascii="Times New Roman" w:hAnsi="Times New Roman" w:cs="Times New Roman"/>
          <w:color w:val="000000"/>
          <w:sz w:val="24"/>
          <w:szCs w:val="24"/>
        </w:rPr>
        <w:t xml:space="preserve"> výdavkov </w:t>
      </w:r>
      <w:r w:rsidR="00C61846" w:rsidRPr="008F0D45">
        <w:rPr>
          <w:rFonts w:ascii="Times New Roman" w:hAnsi="Times New Roman" w:cs="Times New Roman"/>
          <w:sz w:val="24"/>
          <w:szCs w:val="24"/>
        </w:rPr>
        <w:t xml:space="preserve">oprávnených zamestnancov podieľajúcich  sa na riadení,  implementácii,  monitorovaní,  </w:t>
      </w:r>
      <w:r w:rsidR="008F0D45" w:rsidRPr="008F0D45">
        <w:rPr>
          <w:rFonts w:ascii="Times New Roman" w:hAnsi="Times New Roman" w:cs="Times New Roman"/>
          <w:sz w:val="24"/>
          <w:szCs w:val="24"/>
        </w:rPr>
        <w:t xml:space="preserve">hodnotení, informovaní, </w:t>
      </w:r>
      <w:r w:rsidR="00C61846" w:rsidRPr="008F0D45">
        <w:rPr>
          <w:rFonts w:ascii="Times New Roman" w:hAnsi="Times New Roman" w:cs="Times New Roman"/>
          <w:sz w:val="24"/>
          <w:szCs w:val="24"/>
        </w:rPr>
        <w:t>kontrole  a  audite  OP  KaHR a príprave nového programového obdobia 2014 – 2020.</w:t>
      </w:r>
    </w:p>
    <w:p w:rsidR="00C61846" w:rsidRDefault="00C61846" w:rsidP="009F1E92">
      <w:pPr>
        <w:spacing w:after="0" w:line="240" w:lineRule="auto"/>
        <w:ind w:firstLine="540"/>
        <w:jc w:val="both"/>
        <w:rPr>
          <w:rFonts w:ascii="Times New Roman" w:hAnsi="Times New Roman" w:cs="Times New Roman"/>
          <w:sz w:val="24"/>
          <w:szCs w:val="24"/>
        </w:rPr>
      </w:pPr>
    </w:p>
    <w:p w:rsidR="00B412D4" w:rsidRPr="009F1E92" w:rsidRDefault="000F02AE" w:rsidP="009F1E92">
      <w:pPr>
        <w:autoSpaceDE w:val="0"/>
        <w:autoSpaceDN w:val="0"/>
        <w:adjustRightInd w:val="0"/>
        <w:spacing w:after="0" w:line="240" w:lineRule="auto"/>
        <w:rPr>
          <w:rFonts w:ascii="Times New Roman" w:hAnsi="Times New Roman" w:cs="Times New Roman"/>
          <w:sz w:val="24"/>
          <w:szCs w:val="24"/>
          <w:lang w:eastAsia="sk-SK"/>
        </w:rPr>
      </w:pPr>
      <w:r w:rsidRPr="00981BC9">
        <w:rPr>
          <w:rFonts w:ascii="Times New Roman" w:hAnsi="Times New Roman" w:cs="Times New Roman"/>
          <w:b/>
          <w:sz w:val="24"/>
          <w:szCs w:val="24"/>
        </w:rPr>
        <w:t>Kategória 630– Tovary a služby</w:t>
      </w:r>
      <w:r w:rsidR="00B412D4" w:rsidRPr="009F1E92">
        <w:rPr>
          <w:rFonts w:ascii="Times New Roman" w:hAnsi="Times New Roman" w:cs="Times New Roman"/>
          <w:sz w:val="24"/>
          <w:szCs w:val="24"/>
          <w:lang w:eastAsia="sk-SK"/>
        </w:rPr>
        <w:t xml:space="preserve"> </w:t>
      </w:r>
    </w:p>
    <w:p w:rsidR="000F02AE" w:rsidRPr="009F1E92" w:rsidRDefault="000F02AE" w:rsidP="009F1E92">
      <w:pPr>
        <w:tabs>
          <w:tab w:val="left" w:pos="540"/>
        </w:tabs>
        <w:spacing w:after="0" w:line="240" w:lineRule="auto"/>
        <w:jc w:val="both"/>
        <w:rPr>
          <w:rFonts w:ascii="Times New Roman" w:hAnsi="Times New Roman" w:cs="Times New Roman"/>
          <w:sz w:val="24"/>
          <w:szCs w:val="24"/>
        </w:rPr>
      </w:pPr>
    </w:p>
    <w:p w:rsidR="000F02AE" w:rsidRPr="00305324" w:rsidRDefault="00711665" w:rsidP="002502D9">
      <w:pPr>
        <w:autoSpaceDE w:val="0"/>
        <w:autoSpaceDN w:val="0"/>
        <w:adjustRightInd w:val="0"/>
        <w:spacing w:after="0" w:line="240" w:lineRule="auto"/>
        <w:ind w:firstLine="709"/>
        <w:jc w:val="both"/>
        <w:rPr>
          <w:rFonts w:ascii="Times New Roman" w:hAnsi="Times New Roman" w:cs="Times New Roman"/>
          <w:sz w:val="24"/>
          <w:szCs w:val="24"/>
          <w:lang w:eastAsia="sk-SK"/>
        </w:rPr>
      </w:pPr>
      <w:r>
        <w:rPr>
          <w:rFonts w:ascii="Times New Roman" w:hAnsi="Times New Roman" w:cs="Times New Roman"/>
          <w:sz w:val="24"/>
          <w:szCs w:val="24"/>
        </w:rPr>
        <w:t>R</w:t>
      </w:r>
      <w:r w:rsidR="00E73A23" w:rsidRPr="00305324">
        <w:rPr>
          <w:rFonts w:ascii="Times New Roman" w:hAnsi="Times New Roman" w:cs="Times New Roman"/>
          <w:sz w:val="24"/>
          <w:szCs w:val="24"/>
        </w:rPr>
        <w:t xml:space="preserve">ozpočet výdavkov </w:t>
      </w:r>
      <w:r w:rsidR="000F02AE" w:rsidRPr="00305324">
        <w:rPr>
          <w:rFonts w:ascii="Times New Roman" w:hAnsi="Times New Roman" w:cs="Times New Roman"/>
          <w:sz w:val="24"/>
          <w:szCs w:val="24"/>
        </w:rPr>
        <w:t>na tovary a služby bol na rok 201</w:t>
      </w:r>
      <w:r w:rsidR="003A32CA" w:rsidRPr="00305324">
        <w:rPr>
          <w:rFonts w:ascii="Times New Roman" w:hAnsi="Times New Roman" w:cs="Times New Roman"/>
          <w:sz w:val="24"/>
          <w:szCs w:val="24"/>
        </w:rPr>
        <w:t>5</w:t>
      </w:r>
      <w:r w:rsidR="000F02AE" w:rsidRPr="00305324">
        <w:rPr>
          <w:rFonts w:ascii="Times New Roman" w:hAnsi="Times New Roman" w:cs="Times New Roman"/>
          <w:sz w:val="24"/>
          <w:szCs w:val="24"/>
        </w:rPr>
        <w:t xml:space="preserve"> </w:t>
      </w:r>
      <w:r>
        <w:rPr>
          <w:rFonts w:ascii="Times New Roman" w:hAnsi="Times New Roman" w:cs="Times New Roman"/>
          <w:sz w:val="24"/>
          <w:szCs w:val="24"/>
        </w:rPr>
        <w:t>s</w:t>
      </w:r>
      <w:r w:rsidRPr="00305324">
        <w:rPr>
          <w:rFonts w:ascii="Times New Roman" w:hAnsi="Times New Roman" w:cs="Times New Roman"/>
          <w:sz w:val="24"/>
          <w:szCs w:val="24"/>
        </w:rPr>
        <w:t>chválený</w:t>
      </w:r>
      <w:r>
        <w:rPr>
          <w:rFonts w:ascii="Times New Roman" w:hAnsi="Times New Roman" w:cs="Times New Roman"/>
          <w:sz w:val="24"/>
          <w:szCs w:val="24"/>
        </w:rPr>
        <w:t xml:space="preserve"> v sume</w:t>
      </w:r>
      <w:r w:rsidR="000F02AE" w:rsidRPr="00305324">
        <w:rPr>
          <w:rFonts w:ascii="Times New Roman" w:hAnsi="Times New Roman" w:cs="Times New Roman"/>
          <w:sz w:val="24"/>
          <w:szCs w:val="24"/>
        </w:rPr>
        <w:t xml:space="preserve"> </w:t>
      </w:r>
      <w:r w:rsidR="00E73A23" w:rsidRPr="00305324">
        <w:rPr>
          <w:rFonts w:ascii="Times New Roman" w:hAnsi="Times New Roman" w:cs="Times New Roman"/>
          <w:sz w:val="24"/>
          <w:szCs w:val="24"/>
        </w:rPr>
        <w:t xml:space="preserve"> </w:t>
      </w:r>
      <w:r w:rsidR="00DE17D0" w:rsidRPr="00305324">
        <w:rPr>
          <w:rFonts w:ascii="Times New Roman" w:hAnsi="Times New Roman" w:cs="Times New Roman"/>
          <w:sz w:val="24"/>
          <w:szCs w:val="24"/>
        </w:rPr>
        <w:t xml:space="preserve">                        </w:t>
      </w:r>
      <w:r w:rsidR="00305324" w:rsidRPr="00305324">
        <w:rPr>
          <w:rFonts w:ascii="Times New Roman" w:hAnsi="Times New Roman" w:cs="Times New Roman"/>
          <w:sz w:val="24"/>
          <w:szCs w:val="24"/>
          <w:lang w:eastAsia="sk-SK"/>
        </w:rPr>
        <w:t>22 575 504,00</w:t>
      </w:r>
      <w:r w:rsidR="00E73A23" w:rsidRPr="00305324">
        <w:rPr>
          <w:rFonts w:ascii="Times New Roman" w:hAnsi="Times New Roman" w:cs="Times New Roman"/>
          <w:sz w:val="24"/>
          <w:szCs w:val="24"/>
          <w:lang w:eastAsia="sk-SK"/>
        </w:rPr>
        <w:t xml:space="preserve"> eur, rozpočtovými opatreniami MF SR bol v priebehu roka 201</w:t>
      </w:r>
      <w:r w:rsidR="000C355D" w:rsidRPr="00305324">
        <w:rPr>
          <w:rFonts w:ascii="Times New Roman" w:hAnsi="Times New Roman" w:cs="Times New Roman"/>
          <w:sz w:val="24"/>
          <w:szCs w:val="24"/>
          <w:lang w:eastAsia="sk-SK"/>
        </w:rPr>
        <w:t>5</w:t>
      </w:r>
      <w:r w:rsidR="00E73A23" w:rsidRPr="00305324">
        <w:rPr>
          <w:rFonts w:ascii="Times New Roman" w:hAnsi="Times New Roman" w:cs="Times New Roman"/>
          <w:sz w:val="24"/>
          <w:szCs w:val="24"/>
          <w:lang w:eastAsia="sk-SK"/>
        </w:rPr>
        <w:t xml:space="preserve"> upravený na </w:t>
      </w:r>
      <w:r>
        <w:rPr>
          <w:rFonts w:ascii="Times New Roman" w:hAnsi="Times New Roman" w:cs="Times New Roman"/>
          <w:sz w:val="24"/>
          <w:szCs w:val="24"/>
          <w:lang w:eastAsia="sk-SK"/>
        </w:rPr>
        <w:t>sumu</w:t>
      </w:r>
      <w:r w:rsidR="00E73A23" w:rsidRPr="00305324">
        <w:rPr>
          <w:rFonts w:ascii="Times New Roman" w:hAnsi="Times New Roman" w:cs="Times New Roman"/>
          <w:sz w:val="24"/>
          <w:szCs w:val="24"/>
          <w:lang w:eastAsia="sk-SK"/>
        </w:rPr>
        <w:t xml:space="preserve"> </w:t>
      </w:r>
      <w:r w:rsidR="00305324" w:rsidRPr="00305324">
        <w:rPr>
          <w:rFonts w:ascii="Times New Roman" w:hAnsi="Times New Roman" w:cs="Times New Roman"/>
          <w:sz w:val="24"/>
          <w:szCs w:val="24"/>
          <w:lang w:eastAsia="sk-SK"/>
        </w:rPr>
        <w:t>12 138 945,46</w:t>
      </w:r>
      <w:r w:rsidR="00032159" w:rsidRPr="00305324">
        <w:rPr>
          <w:rFonts w:ascii="Times New Roman" w:hAnsi="Times New Roman" w:cs="Times New Roman"/>
          <w:sz w:val="24"/>
          <w:szCs w:val="24"/>
          <w:lang w:eastAsia="sk-SK"/>
        </w:rPr>
        <w:t xml:space="preserve"> </w:t>
      </w:r>
      <w:r w:rsidR="00032159" w:rsidRPr="00305324">
        <w:rPr>
          <w:rFonts w:ascii="Times New Roman" w:hAnsi="Times New Roman" w:cs="Times New Roman"/>
          <w:sz w:val="24"/>
          <w:szCs w:val="24"/>
        </w:rPr>
        <w:t>e</w:t>
      </w:r>
      <w:r w:rsidR="000F02AE" w:rsidRPr="00305324">
        <w:rPr>
          <w:rFonts w:ascii="Times New Roman" w:hAnsi="Times New Roman" w:cs="Times New Roman"/>
          <w:sz w:val="24"/>
          <w:szCs w:val="24"/>
        </w:rPr>
        <w:t>ur a skutočné čerpanie vrátane mimorozpočtov</w:t>
      </w:r>
      <w:r w:rsidR="00032159" w:rsidRPr="00305324">
        <w:rPr>
          <w:rFonts w:ascii="Times New Roman" w:hAnsi="Times New Roman" w:cs="Times New Roman"/>
          <w:sz w:val="24"/>
          <w:szCs w:val="24"/>
        </w:rPr>
        <w:t>ého</w:t>
      </w:r>
      <w:r w:rsidR="000F02AE" w:rsidRPr="00305324">
        <w:rPr>
          <w:rFonts w:ascii="Times New Roman" w:hAnsi="Times New Roman" w:cs="Times New Roman"/>
          <w:sz w:val="24"/>
          <w:szCs w:val="24"/>
        </w:rPr>
        <w:t xml:space="preserve"> zdroj</w:t>
      </w:r>
      <w:r w:rsidR="00032159" w:rsidRPr="00305324">
        <w:rPr>
          <w:rFonts w:ascii="Times New Roman" w:hAnsi="Times New Roman" w:cs="Times New Roman"/>
          <w:sz w:val="24"/>
          <w:szCs w:val="24"/>
        </w:rPr>
        <w:t xml:space="preserve">a </w:t>
      </w:r>
      <w:r w:rsidR="000F02AE" w:rsidRPr="00305324">
        <w:rPr>
          <w:rFonts w:ascii="Times New Roman" w:hAnsi="Times New Roman" w:cs="Times New Roman"/>
          <w:sz w:val="24"/>
          <w:szCs w:val="24"/>
        </w:rPr>
        <w:t xml:space="preserve">bolo </w:t>
      </w:r>
      <w:r w:rsidR="00305324" w:rsidRPr="00305324">
        <w:rPr>
          <w:rFonts w:ascii="Times New Roman" w:hAnsi="Times New Roman" w:cs="Times New Roman"/>
          <w:sz w:val="24"/>
          <w:szCs w:val="24"/>
        </w:rPr>
        <w:t xml:space="preserve">v sume </w:t>
      </w:r>
      <w:r w:rsidR="00305324">
        <w:rPr>
          <w:rFonts w:ascii="Times New Roman" w:hAnsi="Times New Roman" w:cs="Times New Roman"/>
          <w:sz w:val="24"/>
          <w:szCs w:val="24"/>
        </w:rPr>
        <w:t>12 030 120,43</w:t>
      </w:r>
      <w:r w:rsidR="00032159" w:rsidRPr="00305324">
        <w:rPr>
          <w:rFonts w:ascii="Times New Roman" w:hAnsi="Times New Roman" w:cs="Times New Roman"/>
          <w:sz w:val="24"/>
          <w:szCs w:val="24"/>
        </w:rPr>
        <w:t xml:space="preserve"> eur, t.</w:t>
      </w:r>
      <w:r w:rsidR="000D7510" w:rsidRPr="00305324">
        <w:rPr>
          <w:rFonts w:ascii="Times New Roman" w:hAnsi="Times New Roman" w:cs="Times New Roman"/>
          <w:sz w:val="24"/>
          <w:szCs w:val="24"/>
        </w:rPr>
        <w:t xml:space="preserve"> </w:t>
      </w:r>
      <w:r w:rsidR="00032159" w:rsidRPr="00305324">
        <w:rPr>
          <w:rFonts w:ascii="Times New Roman" w:hAnsi="Times New Roman" w:cs="Times New Roman"/>
          <w:sz w:val="24"/>
          <w:szCs w:val="24"/>
        </w:rPr>
        <w:t xml:space="preserve">j. </w:t>
      </w:r>
      <w:r w:rsidR="000F02AE" w:rsidRPr="00305324">
        <w:rPr>
          <w:rFonts w:ascii="Times New Roman" w:hAnsi="Times New Roman" w:cs="Times New Roman"/>
          <w:sz w:val="24"/>
          <w:szCs w:val="24"/>
        </w:rPr>
        <w:t xml:space="preserve">plnenie na </w:t>
      </w:r>
      <w:r w:rsidR="00305324" w:rsidRPr="00305324">
        <w:rPr>
          <w:rFonts w:ascii="Times New Roman" w:hAnsi="Times New Roman" w:cs="Times New Roman"/>
          <w:sz w:val="24"/>
          <w:szCs w:val="24"/>
        </w:rPr>
        <w:t xml:space="preserve">99,10 </w:t>
      </w:r>
      <w:r w:rsidR="00032159" w:rsidRPr="00305324">
        <w:rPr>
          <w:rFonts w:ascii="Times New Roman" w:hAnsi="Times New Roman" w:cs="Times New Roman"/>
          <w:sz w:val="24"/>
          <w:szCs w:val="24"/>
        </w:rPr>
        <w:t>% z upraveného rozpočtu.</w:t>
      </w:r>
    </w:p>
    <w:p w:rsidR="000F02AE" w:rsidRPr="009F1E92" w:rsidRDefault="000F02AE" w:rsidP="009F1E92">
      <w:pPr>
        <w:spacing w:after="0" w:line="240" w:lineRule="auto"/>
        <w:jc w:val="both"/>
        <w:rPr>
          <w:rFonts w:ascii="Times New Roman" w:hAnsi="Times New Roman" w:cs="Times New Roman"/>
          <w:sz w:val="24"/>
          <w:szCs w:val="24"/>
        </w:rPr>
      </w:pPr>
    </w:p>
    <w:p w:rsidR="00EC4189" w:rsidRDefault="00032159" w:rsidP="002502D9">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Čerpanie výdavkov </w:t>
      </w:r>
      <w:r w:rsidR="00711665">
        <w:rPr>
          <w:rFonts w:ascii="Times New Roman" w:hAnsi="Times New Roman" w:cs="Times New Roman"/>
          <w:sz w:val="24"/>
          <w:szCs w:val="24"/>
        </w:rPr>
        <w:t xml:space="preserve">podľa jednotlivých zdrojov </w:t>
      </w:r>
      <w:r w:rsidRPr="009F1E92">
        <w:rPr>
          <w:rFonts w:ascii="Times New Roman" w:hAnsi="Times New Roman" w:cs="Times New Roman"/>
          <w:sz w:val="24"/>
          <w:szCs w:val="24"/>
        </w:rPr>
        <w:t>v kategórii 6</w:t>
      </w:r>
      <w:r w:rsidR="004E7E57" w:rsidRPr="009F1E92">
        <w:rPr>
          <w:rFonts w:ascii="Times New Roman" w:hAnsi="Times New Roman" w:cs="Times New Roman"/>
          <w:sz w:val="24"/>
          <w:szCs w:val="24"/>
        </w:rPr>
        <w:t>3</w:t>
      </w:r>
      <w:r w:rsidRPr="009F1E92">
        <w:rPr>
          <w:rFonts w:ascii="Times New Roman" w:hAnsi="Times New Roman" w:cs="Times New Roman"/>
          <w:sz w:val="24"/>
          <w:szCs w:val="24"/>
        </w:rPr>
        <w:t xml:space="preserve">0 – </w:t>
      </w:r>
      <w:r w:rsidR="004E7E57" w:rsidRPr="009F1E92">
        <w:rPr>
          <w:rFonts w:ascii="Times New Roman" w:hAnsi="Times New Roman" w:cs="Times New Roman"/>
          <w:sz w:val="24"/>
          <w:szCs w:val="24"/>
        </w:rPr>
        <w:t xml:space="preserve">Tovary a služby </w:t>
      </w:r>
      <w:r w:rsidRPr="009F1E92">
        <w:rPr>
          <w:rFonts w:ascii="Times New Roman" w:hAnsi="Times New Roman" w:cs="Times New Roman"/>
          <w:sz w:val="24"/>
          <w:szCs w:val="24"/>
        </w:rPr>
        <w:t>bolo vykázané nasledovne: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559"/>
        <w:gridCol w:w="1559"/>
        <w:gridCol w:w="1134"/>
      </w:tblGrid>
      <w:tr w:rsidR="0059693B" w:rsidRPr="00BF60D6" w:rsidTr="000C355D">
        <w:trPr>
          <w:trHeight w:val="716"/>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Borders>
              <w:left w:val="single" w:sz="4" w:space="0" w:color="auto"/>
            </w:tcBorders>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134"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58469F" w:rsidRPr="00BF60D6" w:rsidTr="005E132B">
        <w:tc>
          <w:tcPr>
            <w:tcW w:w="2410" w:type="dxa"/>
            <w:tcBorders>
              <w:top w:val="single" w:sz="4" w:space="0" w:color="auto"/>
              <w:left w:val="single" w:sz="4" w:space="0" w:color="auto"/>
              <w:bottom w:val="nil"/>
            </w:tcBorders>
            <w:shd w:val="clear" w:color="auto" w:fill="auto"/>
          </w:tcPr>
          <w:p w:rsidR="0058469F" w:rsidRPr="00BF60D6" w:rsidRDefault="0058469F" w:rsidP="009F1E92">
            <w:pPr>
              <w:spacing w:after="0" w:line="240" w:lineRule="auto"/>
              <w:jc w:val="both"/>
              <w:rPr>
                <w:rFonts w:ascii="Times New Roman" w:eastAsia="Times New Roman" w:hAnsi="Times New Roman" w:cs="Times New Roman"/>
              </w:rPr>
            </w:pPr>
          </w:p>
        </w:tc>
        <w:tc>
          <w:tcPr>
            <w:tcW w:w="851" w:type="dxa"/>
          </w:tcPr>
          <w:p w:rsidR="0058469F" w:rsidRPr="00BF60D6" w:rsidRDefault="0058469F"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111</w:t>
            </w:r>
          </w:p>
        </w:tc>
        <w:tc>
          <w:tcPr>
            <w:tcW w:w="1559" w:type="dxa"/>
            <w:shd w:val="clear" w:color="auto" w:fill="auto"/>
          </w:tcPr>
          <w:p w:rsidR="0058469F" w:rsidRPr="00BF60D6" w:rsidRDefault="0058469F"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8 357 020,00</w:t>
            </w:r>
          </w:p>
        </w:tc>
        <w:tc>
          <w:tcPr>
            <w:tcW w:w="1559" w:type="dxa"/>
            <w:shd w:val="clear" w:color="auto" w:fill="auto"/>
          </w:tcPr>
          <w:p w:rsidR="0058469F"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9 473 575,14</w:t>
            </w:r>
          </w:p>
        </w:tc>
        <w:tc>
          <w:tcPr>
            <w:tcW w:w="1559" w:type="dxa"/>
            <w:shd w:val="clear" w:color="auto" w:fill="auto"/>
          </w:tcPr>
          <w:p w:rsidR="0058469F" w:rsidRPr="00BF60D6" w:rsidRDefault="00E365A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9 364 299,48</w:t>
            </w:r>
          </w:p>
        </w:tc>
        <w:tc>
          <w:tcPr>
            <w:tcW w:w="1134" w:type="dxa"/>
            <w:shd w:val="clear" w:color="auto" w:fill="auto"/>
          </w:tcPr>
          <w:p w:rsidR="0058469F"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98,85</w:t>
            </w:r>
          </w:p>
        </w:tc>
      </w:tr>
      <w:tr w:rsidR="00E365AD" w:rsidRPr="00BF60D6" w:rsidTr="005E132B">
        <w:tc>
          <w:tcPr>
            <w:tcW w:w="2410" w:type="dxa"/>
            <w:tcBorders>
              <w:top w:val="nil"/>
              <w:left w:val="single" w:sz="4" w:space="0" w:color="auto"/>
              <w:bottom w:val="nil"/>
            </w:tcBorders>
            <w:shd w:val="clear" w:color="auto" w:fill="auto"/>
          </w:tcPr>
          <w:p w:rsidR="00E365AD" w:rsidRPr="00BF60D6" w:rsidRDefault="00E365AD"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1" w:type="dxa"/>
          </w:tcPr>
          <w:p w:rsidR="00E365AD" w:rsidRPr="00BF60D6" w:rsidRDefault="00E365AD"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11S1</w:t>
            </w:r>
          </w:p>
        </w:tc>
        <w:tc>
          <w:tcPr>
            <w:tcW w:w="1559" w:type="dxa"/>
            <w:shd w:val="clear" w:color="auto" w:fill="auto"/>
          </w:tcPr>
          <w:p w:rsidR="00E365AD" w:rsidRPr="00BF60D6" w:rsidRDefault="00E365AD"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10 393 917,00</w:t>
            </w:r>
          </w:p>
        </w:tc>
        <w:tc>
          <w:tcPr>
            <w:tcW w:w="1559" w:type="dxa"/>
            <w:shd w:val="clear" w:color="auto" w:fill="auto"/>
          </w:tcPr>
          <w:p w:rsidR="00E365AD" w:rsidRPr="00BF60D6" w:rsidRDefault="00E365A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60 283,09</w:t>
            </w:r>
          </w:p>
        </w:tc>
        <w:tc>
          <w:tcPr>
            <w:tcW w:w="1559" w:type="dxa"/>
            <w:shd w:val="clear" w:color="auto" w:fill="auto"/>
          </w:tcPr>
          <w:p w:rsidR="00E365AD" w:rsidRPr="00BF60D6" w:rsidRDefault="00E365A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60 283,09</w:t>
            </w:r>
          </w:p>
        </w:tc>
        <w:tc>
          <w:tcPr>
            <w:tcW w:w="1134" w:type="dxa"/>
            <w:shd w:val="clear" w:color="auto" w:fill="auto"/>
          </w:tcPr>
          <w:p w:rsidR="00E365AD"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11U1</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7 607,50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7 607,50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1AA1</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1 656 718,00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11S2</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1 839 364,00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10 638,05</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10 638,05</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11S3</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9 125,23</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9 125,23</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11U2</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1 342,50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1 342,50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58469F">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1AA2</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328 485,00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0,00</w:t>
            </w:r>
          </w:p>
        </w:tc>
      </w:tr>
      <w:tr w:rsidR="005E132B" w:rsidRPr="00BF60D6" w:rsidTr="005E132B">
        <w:tc>
          <w:tcPr>
            <w:tcW w:w="2410" w:type="dxa"/>
            <w:tcBorders>
              <w:top w:val="nil"/>
              <w:left w:val="single" w:sz="4" w:space="0" w:color="auto"/>
              <w:bottom w:val="nil"/>
              <w:right w:val="single" w:sz="4" w:space="0" w:color="auto"/>
            </w:tcBorders>
            <w:shd w:val="clear" w:color="auto" w:fill="auto"/>
          </w:tcPr>
          <w:p w:rsidR="005E132B" w:rsidRPr="00BF60D6" w:rsidRDefault="005E132B" w:rsidP="0058469F">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131E</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1 828 843,80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1 828 781,53</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 xml:space="preserve">  99,99</w:t>
            </w:r>
          </w:p>
        </w:tc>
      </w:tr>
      <w:tr w:rsidR="005E132B" w:rsidRPr="00BF60D6" w:rsidTr="000C355D">
        <w:tc>
          <w:tcPr>
            <w:tcW w:w="2410" w:type="dxa"/>
            <w:tcBorders>
              <w:top w:val="nil"/>
              <w:left w:val="single" w:sz="4" w:space="0" w:color="auto"/>
              <w:bottom w:val="nil"/>
              <w:right w:val="single" w:sz="4" w:space="0" w:color="auto"/>
            </w:tcBorders>
            <w:shd w:val="clear" w:color="auto" w:fill="auto"/>
          </w:tcPr>
          <w:p w:rsidR="005E132B" w:rsidRPr="00BF60D6" w:rsidRDefault="005E132B" w:rsidP="00D35D8B">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13S1</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622 334,86</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622 334,86</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0C355D">
        <w:tc>
          <w:tcPr>
            <w:tcW w:w="2410" w:type="dxa"/>
            <w:tcBorders>
              <w:top w:val="nil"/>
              <w:left w:val="single" w:sz="4" w:space="0" w:color="auto"/>
              <w:bottom w:val="nil"/>
              <w:right w:val="single" w:sz="4" w:space="0" w:color="auto"/>
            </w:tcBorders>
            <w:shd w:val="clear" w:color="auto" w:fill="auto"/>
          </w:tcPr>
          <w:p w:rsidR="005E132B" w:rsidRPr="00BF60D6" w:rsidRDefault="005E132B" w:rsidP="0058469F">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5E132B"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13S2</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E365A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109 823,84</w:t>
            </w:r>
          </w:p>
        </w:tc>
        <w:tc>
          <w:tcPr>
            <w:tcW w:w="1559" w:type="dxa"/>
            <w:shd w:val="clear" w:color="auto" w:fill="auto"/>
          </w:tcPr>
          <w:p w:rsidR="005E132B" w:rsidRPr="00BF60D6" w:rsidRDefault="00E365A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109 823,84</w:t>
            </w:r>
          </w:p>
        </w:tc>
        <w:tc>
          <w:tcPr>
            <w:tcW w:w="1134" w:type="dxa"/>
            <w:shd w:val="clear" w:color="auto" w:fill="auto"/>
          </w:tcPr>
          <w:p w:rsidR="005E132B" w:rsidRPr="00BF60D6" w:rsidRDefault="00E365AD"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0C355D" w:rsidRPr="00BF60D6" w:rsidTr="000C355D">
        <w:tc>
          <w:tcPr>
            <w:tcW w:w="2410" w:type="dxa"/>
            <w:tcBorders>
              <w:top w:val="nil"/>
              <w:left w:val="single" w:sz="4" w:space="0" w:color="auto"/>
              <w:bottom w:val="nil"/>
              <w:right w:val="single" w:sz="4" w:space="0" w:color="auto"/>
            </w:tcBorders>
            <w:shd w:val="clear" w:color="auto" w:fill="auto"/>
          </w:tcPr>
          <w:p w:rsidR="000C355D" w:rsidRPr="00BF60D6" w:rsidRDefault="000C355D"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0C355D" w:rsidRPr="00BF60D6" w:rsidRDefault="000C355D" w:rsidP="00CA3DE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13S3</w:t>
            </w:r>
          </w:p>
        </w:tc>
        <w:tc>
          <w:tcPr>
            <w:tcW w:w="1559" w:type="dxa"/>
            <w:shd w:val="clear" w:color="auto" w:fill="auto"/>
          </w:tcPr>
          <w:p w:rsidR="000C355D" w:rsidRPr="00BF60D6" w:rsidRDefault="000C355D" w:rsidP="00CA3DE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0C355D" w:rsidRPr="00BF60D6" w:rsidRDefault="000C355D" w:rsidP="00CA3DE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15 371,45</w:t>
            </w:r>
          </w:p>
        </w:tc>
        <w:tc>
          <w:tcPr>
            <w:tcW w:w="1559" w:type="dxa"/>
            <w:shd w:val="clear" w:color="auto" w:fill="auto"/>
          </w:tcPr>
          <w:p w:rsidR="000C355D" w:rsidRPr="00BF60D6" w:rsidRDefault="000C355D" w:rsidP="00CA3DE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15 371,45</w:t>
            </w:r>
          </w:p>
        </w:tc>
        <w:tc>
          <w:tcPr>
            <w:tcW w:w="1134" w:type="dxa"/>
            <w:shd w:val="clear" w:color="auto" w:fill="auto"/>
          </w:tcPr>
          <w:p w:rsidR="000C355D" w:rsidRPr="00BF60D6" w:rsidRDefault="000C355D" w:rsidP="00CA3DE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5E132B" w:rsidRPr="00BF60D6" w:rsidTr="000C355D">
        <w:tc>
          <w:tcPr>
            <w:tcW w:w="2410" w:type="dxa"/>
            <w:tcBorders>
              <w:top w:val="nil"/>
              <w:left w:val="single" w:sz="4" w:space="0" w:color="auto"/>
              <w:bottom w:val="single" w:sz="4" w:space="0" w:color="auto"/>
              <w:right w:val="single" w:sz="4" w:space="0" w:color="auto"/>
            </w:tcBorders>
            <w:shd w:val="clear" w:color="auto" w:fill="auto"/>
          </w:tcPr>
          <w:p w:rsidR="005E132B" w:rsidRPr="00BF60D6" w:rsidRDefault="005E132B"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E132B" w:rsidRPr="00BF60D6" w:rsidRDefault="000C355D" w:rsidP="0058469F">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72c</w:t>
            </w: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0C355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E132B" w:rsidRPr="00BF60D6" w:rsidRDefault="000C355D" w:rsidP="00E365AD">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512,90</w:t>
            </w:r>
          </w:p>
        </w:tc>
        <w:tc>
          <w:tcPr>
            <w:tcW w:w="1134" w:type="dxa"/>
            <w:shd w:val="clear" w:color="auto" w:fill="auto"/>
          </w:tcPr>
          <w:p w:rsidR="005E132B" w:rsidRPr="00BF60D6" w:rsidRDefault="00DA1E3E" w:rsidP="00E365AD">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w:t>
            </w:r>
          </w:p>
        </w:tc>
      </w:tr>
      <w:tr w:rsidR="005E132B" w:rsidRPr="00BF60D6" w:rsidTr="005E132B">
        <w:tc>
          <w:tcPr>
            <w:tcW w:w="2410" w:type="dxa"/>
            <w:tcBorders>
              <w:top w:val="single" w:sz="4" w:space="0" w:color="auto"/>
              <w:left w:val="single" w:sz="4" w:space="0" w:color="auto"/>
              <w:bottom w:val="single" w:sz="4" w:space="0" w:color="auto"/>
              <w:right w:val="single" w:sz="4" w:space="0" w:color="auto"/>
            </w:tcBorders>
            <w:shd w:val="clear" w:color="auto" w:fill="auto"/>
          </w:tcPr>
          <w:p w:rsidR="005E132B" w:rsidRPr="00BF60D6" w:rsidRDefault="005E132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851" w:type="dxa"/>
            <w:tcBorders>
              <w:left w:val="single" w:sz="4" w:space="0" w:color="auto"/>
            </w:tcBorders>
          </w:tcPr>
          <w:p w:rsidR="005E132B" w:rsidRPr="00BF60D6" w:rsidRDefault="005E132B" w:rsidP="009F1E9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5E132B" w:rsidRPr="00BF60D6" w:rsidRDefault="005E132B" w:rsidP="005E132B">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22 575 504,00</w:t>
            </w:r>
          </w:p>
        </w:tc>
        <w:tc>
          <w:tcPr>
            <w:tcW w:w="1559" w:type="dxa"/>
            <w:shd w:val="clear" w:color="auto" w:fill="auto"/>
          </w:tcPr>
          <w:p w:rsidR="005E132B" w:rsidRPr="00BF60D6" w:rsidRDefault="005E132B" w:rsidP="00E365AD">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12 138 945,46</w:t>
            </w:r>
          </w:p>
        </w:tc>
        <w:tc>
          <w:tcPr>
            <w:tcW w:w="1559" w:type="dxa"/>
            <w:shd w:val="clear" w:color="auto" w:fill="auto"/>
          </w:tcPr>
          <w:p w:rsidR="005E132B" w:rsidRPr="00BF60D6" w:rsidRDefault="005E132B" w:rsidP="00DA1E3E">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12</w:t>
            </w:r>
            <w:r w:rsidR="00DA1E3E" w:rsidRPr="00BF60D6">
              <w:rPr>
                <w:rFonts w:ascii="Times New Roman" w:hAnsi="Times New Roman" w:cs="Times New Roman"/>
                <w:b/>
                <w:lang w:eastAsia="sk-SK"/>
              </w:rPr>
              <w:t> 030 120,43</w:t>
            </w:r>
          </w:p>
        </w:tc>
        <w:tc>
          <w:tcPr>
            <w:tcW w:w="1134" w:type="dxa"/>
            <w:shd w:val="clear" w:color="auto" w:fill="auto"/>
          </w:tcPr>
          <w:p w:rsidR="005E132B" w:rsidRPr="00BF60D6" w:rsidRDefault="00E365AD" w:rsidP="00E365AD">
            <w:pPr>
              <w:spacing w:after="0" w:line="240" w:lineRule="auto"/>
              <w:jc w:val="center"/>
              <w:rPr>
                <w:rFonts w:ascii="Times New Roman" w:hAnsi="Times New Roman" w:cs="Times New Roman"/>
                <w:b/>
                <w:lang w:eastAsia="sk-SK"/>
              </w:rPr>
            </w:pPr>
            <w:r w:rsidRPr="00BF60D6">
              <w:rPr>
                <w:rFonts w:ascii="Times New Roman" w:hAnsi="Times New Roman" w:cs="Times New Roman"/>
                <w:b/>
                <w:lang w:eastAsia="sk-SK"/>
              </w:rPr>
              <w:t xml:space="preserve">  </w:t>
            </w:r>
            <w:r w:rsidR="005E132B" w:rsidRPr="00BF60D6">
              <w:rPr>
                <w:rFonts w:ascii="Times New Roman" w:hAnsi="Times New Roman" w:cs="Times New Roman"/>
                <w:b/>
                <w:lang w:eastAsia="sk-SK"/>
              </w:rPr>
              <w:t>99,10</w:t>
            </w:r>
          </w:p>
        </w:tc>
      </w:tr>
    </w:tbl>
    <w:p w:rsidR="00032159" w:rsidRPr="009F1E92" w:rsidRDefault="00032159" w:rsidP="009F1E92">
      <w:pPr>
        <w:spacing w:after="0" w:line="240" w:lineRule="auto"/>
        <w:ind w:right="26"/>
        <w:jc w:val="both"/>
        <w:rPr>
          <w:rFonts w:ascii="Times New Roman" w:hAnsi="Times New Roman" w:cs="Times New Roman"/>
          <w:i/>
          <w:sz w:val="24"/>
          <w:szCs w:val="24"/>
        </w:rPr>
      </w:pPr>
    </w:p>
    <w:p w:rsidR="00A24C6A" w:rsidRDefault="00A24C6A" w:rsidP="002502D9">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V rámci </w:t>
      </w:r>
      <w:r w:rsidR="00711665">
        <w:rPr>
          <w:rFonts w:ascii="Times New Roman" w:hAnsi="Times New Roman" w:cs="Times New Roman"/>
          <w:sz w:val="24"/>
          <w:szCs w:val="24"/>
        </w:rPr>
        <w:t xml:space="preserve">ekonomickej kategórie 630 – Tovary a služby </w:t>
      </w:r>
      <w:r w:rsidRPr="009F1E92">
        <w:rPr>
          <w:rFonts w:ascii="Times New Roman" w:hAnsi="Times New Roman" w:cs="Times New Roman"/>
          <w:sz w:val="24"/>
          <w:szCs w:val="24"/>
        </w:rPr>
        <w:t xml:space="preserve"> boli v roku 201</w:t>
      </w:r>
      <w:r w:rsidR="001B6B8E">
        <w:rPr>
          <w:rFonts w:ascii="Times New Roman" w:hAnsi="Times New Roman" w:cs="Times New Roman"/>
          <w:sz w:val="24"/>
          <w:szCs w:val="24"/>
        </w:rPr>
        <w:t>5</w:t>
      </w:r>
      <w:r w:rsidRPr="009F1E92">
        <w:rPr>
          <w:rFonts w:ascii="Times New Roman" w:hAnsi="Times New Roman" w:cs="Times New Roman"/>
          <w:sz w:val="24"/>
          <w:szCs w:val="24"/>
        </w:rPr>
        <w:t xml:space="preserve"> realizované výdavky</w:t>
      </w:r>
      <w:r w:rsidR="00711665">
        <w:rPr>
          <w:rFonts w:ascii="Times New Roman" w:hAnsi="Times New Roman" w:cs="Times New Roman"/>
          <w:sz w:val="24"/>
          <w:szCs w:val="24"/>
        </w:rPr>
        <w:t xml:space="preserve"> </w:t>
      </w:r>
      <w:r w:rsidR="00F464ED" w:rsidRPr="009F1E92">
        <w:rPr>
          <w:rFonts w:ascii="Times New Roman" w:hAnsi="Times New Roman" w:cs="Times New Roman"/>
          <w:sz w:val="24"/>
          <w:szCs w:val="24"/>
        </w:rPr>
        <w:t>v n</w:t>
      </w:r>
      <w:r w:rsidR="00DA6FC4" w:rsidRPr="009F1E92">
        <w:rPr>
          <w:rFonts w:ascii="Times New Roman" w:hAnsi="Times New Roman" w:cs="Times New Roman"/>
          <w:sz w:val="24"/>
          <w:szCs w:val="24"/>
        </w:rPr>
        <w:t>a</w:t>
      </w:r>
      <w:r w:rsidR="004F4255">
        <w:rPr>
          <w:rFonts w:ascii="Times New Roman" w:hAnsi="Times New Roman" w:cs="Times New Roman"/>
          <w:sz w:val="24"/>
          <w:szCs w:val="24"/>
        </w:rPr>
        <w:t>s</w:t>
      </w:r>
      <w:r w:rsidR="00F464ED" w:rsidRPr="009F1E92">
        <w:rPr>
          <w:rFonts w:ascii="Times New Roman" w:hAnsi="Times New Roman" w:cs="Times New Roman"/>
          <w:sz w:val="24"/>
          <w:szCs w:val="24"/>
        </w:rPr>
        <w:t>ledovných podprogramoch</w:t>
      </w:r>
      <w:r w:rsidR="00DA6FC4" w:rsidRPr="009F1E92">
        <w:rPr>
          <w:rFonts w:ascii="Times New Roman" w:hAnsi="Times New Roman" w:cs="Times New Roman"/>
          <w:sz w:val="24"/>
          <w:szCs w:val="24"/>
        </w:rPr>
        <w:t xml:space="preserve"> a prvkoch</w:t>
      </w:r>
      <w:r w:rsidR="00F464ED" w:rsidRPr="009F1E92">
        <w:rPr>
          <w:rFonts w:ascii="Times New Roman" w:hAnsi="Times New Roman" w:cs="Times New Roman"/>
          <w:sz w:val="24"/>
          <w:szCs w:val="24"/>
        </w:rPr>
        <w:t>:</w:t>
      </w:r>
    </w:p>
    <w:p w:rsidR="00826567" w:rsidRDefault="00826567" w:rsidP="002502D9">
      <w:pPr>
        <w:spacing w:after="0" w:line="240" w:lineRule="auto"/>
        <w:ind w:right="26" w:firstLine="709"/>
        <w:jc w:val="both"/>
        <w:rPr>
          <w:rFonts w:ascii="Times New Roman" w:hAnsi="Times New Roman" w:cs="Times New Roman"/>
          <w:sz w:val="24"/>
          <w:szCs w:val="24"/>
        </w:rPr>
      </w:pPr>
    </w:p>
    <w:p w:rsidR="00BA0039" w:rsidRDefault="00826567" w:rsidP="00BA0039">
      <w:pPr>
        <w:autoSpaceDE w:val="0"/>
        <w:autoSpaceDN w:val="0"/>
        <w:adjustRightInd w:val="0"/>
        <w:spacing w:after="0" w:line="240" w:lineRule="auto"/>
        <w:rPr>
          <w:i/>
          <w:szCs w:val="24"/>
          <w:lang w:eastAsia="sk-SK"/>
        </w:rPr>
      </w:pPr>
      <w:r w:rsidRPr="00826567">
        <w:rPr>
          <w:i/>
          <w:szCs w:val="24"/>
          <w:lang w:eastAsia="sk-SK"/>
        </w:rPr>
        <w:t>06H01 Hospodárska mobilizácia MH SR</w:t>
      </w:r>
    </w:p>
    <w:p w:rsidR="00826567" w:rsidRPr="00BA0039" w:rsidRDefault="00826567" w:rsidP="00BA0039">
      <w:pPr>
        <w:autoSpaceDE w:val="0"/>
        <w:autoSpaceDN w:val="0"/>
        <w:adjustRightInd w:val="0"/>
        <w:spacing w:after="0" w:line="240" w:lineRule="auto"/>
        <w:jc w:val="right"/>
        <w:rPr>
          <w:i/>
          <w:szCs w:val="24"/>
          <w:lang w:eastAsia="sk-SK"/>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3"/>
        <w:gridCol w:w="1559"/>
        <w:gridCol w:w="1417"/>
        <w:gridCol w:w="1418"/>
        <w:gridCol w:w="1417"/>
      </w:tblGrid>
      <w:tr w:rsidR="00D65E8B" w:rsidRPr="00BA0039" w:rsidTr="00D65E8B">
        <w:trPr>
          <w:trHeight w:val="716"/>
        </w:trPr>
        <w:tc>
          <w:tcPr>
            <w:tcW w:w="2268" w:type="dxa"/>
            <w:shd w:val="clear" w:color="auto" w:fill="auto"/>
          </w:tcPr>
          <w:p w:rsidR="00BA0039" w:rsidRPr="00BA0039" w:rsidRDefault="00BA0039" w:rsidP="00CA3DE2">
            <w:pPr>
              <w:spacing w:after="0" w:line="240" w:lineRule="auto"/>
              <w:jc w:val="both"/>
              <w:rPr>
                <w:rFonts w:ascii="Times New Roman" w:eastAsia="Times New Roman" w:hAnsi="Times New Roman" w:cs="Times New Roman"/>
                <w:b/>
              </w:rPr>
            </w:pPr>
            <w:r w:rsidRPr="00BA0039">
              <w:rPr>
                <w:rFonts w:ascii="Times New Roman" w:eastAsia="Times New Roman" w:hAnsi="Times New Roman" w:cs="Times New Roman"/>
                <w:b/>
              </w:rPr>
              <w:t>Ekonomická</w:t>
            </w:r>
          </w:p>
          <w:p w:rsidR="00BA0039" w:rsidRPr="00BA0039" w:rsidRDefault="00BA0039" w:rsidP="00CA3DE2">
            <w:pPr>
              <w:spacing w:after="0" w:line="240" w:lineRule="auto"/>
              <w:jc w:val="both"/>
              <w:rPr>
                <w:rFonts w:ascii="Times New Roman" w:eastAsia="Times New Roman" w:hAnsi="Times New Roman" w:cs="Times New Roman"/>
                <w:b/>
              </w:rPr>
            </w:pPr>
            <w:r w:rsidRPr="00BA0039">
              <w:rPr>
                <w:rFonts w:ascii="Times New Roman" w:eastAsia="Times New Roman" w:hAnsi="Times New Roman" w:cs="Times New Roman"/>
                <w:b/>
              </w:rPr>
              <w:t>klasifikácia</w:t>
            </w:r>
          </w:p>
        </w:tc>
        <w:tc>
          <w:tcPr>
            <w:tcW w:w="993" w:type="dxa"/>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Zdroj</w:t>
            </w:r>
          </w:p>
        </w:tc>
        <w:tc>
          <w:tcPr>
            <w:tcW w:w="1559"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Schválený</w:t>
            </w:r>
          </w:p>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rozpočet k 1.1.2015</w:t>
            </w:r>
          </w:p>
        </w:tc>
        <w:tc>
          <w:tcPr>
            <w:tcW w:w="1417"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Upravený</w:t>
            </w:r>
          </w:p>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rozpočet k 31.12.2015</w:t>
            </w:r>
          </w:p>
        </w:tc>
        <w:tc>
          <w:tcPr>
            <w:tcW w:w="1418"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Čerpanie k</w:t>
            </w:r>
          </w:p>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31.12.2015</w:t>
            </w:r>
          </w:p>
        </w:tc>
        <w:tc>
          <w:tcPr>
            <w:tcW w:w="1417"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 čerpania k uprav. rozpočtu</w:t>
            </w:r>
          </w:p>
        </w:tc>
      </w:tr>
      <w:tr w:rsidR="00D65E8B" w:rsidRPr="00BA0039" w:rsidTr="00D65E8B">
        <w:tc>
          <w:tcPr>
            <w:tcW w:w="2268" w:type="dxa"/>
            <w:shd w:val="clear" w:color="auto" w:fill="auto"/>
          </w:tcPr>
          <w:p w:rsidR="00BA0039" w:rsidRPr="00BA0039" w:rsidRDefault="00BA0039" w:rsidP="00BA0039">
            <w:pPr>
              <w:spacing w:after="0" w:line="240" w:lineRule="auto"/>
              <w:jc w:val="both"/>
              <w:rPr>
                <w:rFonts w:ascii="Times New Roman" w:eastAsia="Times New Roman" w:hAnsi="Times New Roman" w:cs="Times New Roman"/>
              </w:rPr>
            </w:pPr>
            <w:r w:rsidRPr="00BA0039">
              <w:rPr>
                <w:rFonts w:ascii="Times New Roman" w:eastAsia="Times New Roman" w:hAnsi="Times New Roman" w:cs="Times New Roman"/>
              </w:rPr>
              <w:t>630 – tovary a služby</w:t>
            </w:r>
          </w:p>
        </w:tc>
        <w:tc>
          <w:tcPr>
            <w:tcW w:w="993" w:type="dxa"/>
          </w:tcPr>
          <w:p w:rsidR="00BA0039" w:rsidRPr="00BA0039" w:rsidRDefault="00BA0039" w:rsidP="00BA0039">
            <w:pPr>
              <w:autoSpaceDE w:val="0"/>
              <w:autoSpaceDN w:val="0"/>
              <w:adjustRightInd w:val="0"/>
              <w:spacing w:after="0" w:line="240" w:lineRule="auto"/>
              <w:jc w:val="center"/>
              <w:rPr>
                <w:rFonts w:ascii="Times New Roman" w:hAnsi="Times New Roman" w:cs="Times New Roman"/>
                <w:lang w:eastAsia="sk-SK"/>
              </w:rPr>
            </w:pPr>
            <w:r w:rsidRPr="00BA0039">
              <w:rPr>
                <w:rFonts w:ascii="Times New Roman" w:hAnsi="Times New Roman" w:cs="Times New Roman"/>
                <w:lang w:eastAsia="sk-SK"/>
              </w:rPr>
              <w:t>111</w:t>
            </w:r>
          </w:p>
          <w:p w:rsidR="00BA0039" w:rsidRPr="00BA0039" w:rsidRDefault="00BA0039" w:rsidP="00BA0039">
            <w:pPr>
              <w:autoSpaceDE w:val="0"/>
              <w:autoSpaceDN w:val="0"/>
              <w:adjustRightInd w:val="0"/>
              <w:spacing w:after="0" w:line="240" w:lineRule="auto"/>
              <w:jc w:val="center"/>
              <w:rPr>
                <w:rFonts w:ascii="Times New Roman" w:hAnsi="Times New Roman" w:cs="Times New Roman"/>
                <w:lang w:eastAsia="sk-SK"/>
              </w:rPr>
            </w:pPr>
            <w:r w:rsidRPr="00BA0039">
              <w:rPr>
                <w:rFonts w:ascii="Times New Roman" w:hAnsi="Times New Roman" w:cs="Times New Roman"/>
                <w:lang w:eastAsia="sk-SK"/>
              </w:rPr>
              <w:t>131E</w:t>
            </w:r>
          </w:p>
        </w:tc>
        <w:tc>
          <w:tcPr>
            <w:tcW w:w="1559" w:type="dxa"/>
            <w:shd w:val="clear" w:color="auto" w:fill="auto"/>
          </w:tcPr>
          <w:p w:rsidR="00BA0039" w:rsidRPr="00BA0039" w:rsidRDefault="00BA0039" w:rsidP="00CA3DE2">
            <w:pPr>
              <w:autoSpaceDE w:val="0"/>
              <w:autoSpaceDN w:val="0"/>
              <w:adjustRightInd w:val="0"/>
              <w:spacing w:after="0" w:line="240" w:lineRule="auto"/>
              <w:jc w:val="right"/>
              <w:rPr>
                <w:rFonts w:ascii="Times New Roman" w:hAnsi="Times New Roman" w:cs="Times New Roman"/>
                <w:lang w:eastAsia="sk-SK"/>
              </w:rPr>
            </w:pPr>
            <w:r w:rsidRPr="00BA0039">
              <w:rPr>
                <w:rFonts w:ascii="Times New Roman" w:hAnsi="Times New Roman" w:cs="Times New Roman"/>
                <w:lang w:eastAsia="sk-SK"/>
              </w:rPr>
              <w:t>0,00</w:t>
            </w:r>
          </w:p>
          <w:p w:rsidR="00BA0039" w:rsidRPr="00BA0039" w:rsidRDefault="00BA0039" w:rsidP="00CA3DE2">
            <w:pPr>
              <w:autoSpaceDE w:val="0"/>
              <w:autoSpaceDN w:val="0"/>
              <w:adjustRightInd w:val="0"/>
              <w:spacing w:after="0" w:line="240" w:lineRule="auto"/>
              <w:jc w:val="right"/>
              <w:rPr>
                <w:rFonts w:ascii="Times New Roman" w:hAnsi="Times New Roman" w:cs="Times New Roman"/>
                <w:lang w:eastAsia="sk-SK"/>
              </w:rPr>
            </w:pPr>
            <w:r w:rsidRPr="00BA0039">
              <w:rPr>
                <w:rFonts w:ascii="Times New Roman" w:hAnsi="Times New Roman" w:cs="Times New Roman"/>
                <w:lang w:eastAsia="sk-SK"/>
              </w:rPr>
              <w:t>0,00</w:t>
            </w:r>
          </w:p>
        </w:tc>
        <w:tc>
          <w:tcPr>
            <w:tcW w:w="1417" w:type="dxa"/>
            <w:shd w:val="clear" w:color="auto" w:fill="auto"/>
          </w:tcPr>
          <w:p w:rsidR="00BA0039" w:rsidRPr="00BA0039" w:rsidRDefault="00BA0039" w:rsidP="009E7086">
            <w:pPr>
              <w:autoSpaceDE w:val="0"/>
              <w:autoSpaceDN w:val="0"/>
              <w:adjustRightInd w:val="0"/>
              <w:spacing w:after="0" w:line="240" w:lineRule="auto"/>
              <w:jc w:val="right"/>
              <w:rPr>
                <w:rFonts w:ascii="Times New Roman" w:hAnsi="Times New Roman" w:cs="Times New Roman"/>
                <w:lang w:eastAsia="sk-SK"/>
              </w:rPr>
            </w:pPr>
            <w:r w:rsidRPr="00BA0039">
              <w:rPr>
                <w:rFonts w:ascii="Times New Roman" w:hAnsi="Times New Roman" w:cs="Times New Roman"/>
                <w:lang w:eastAsia="sk-SK"/>
              </w:rPr>
              <w:t>393 170,67</w:t>
            </w:r>
          </w:p>
          <w:p w:rsidR="00BA0039" w:rsidRPr="00BA0039" w:rsidRDefault="00BA0039" w:rsidP="009E7086">
            <w:pPr>
              <w:autoSpaceDE w:val="0"/>
              <w:autoSpaceDN w:val="0"/>
              <w:adjustRightInd w:val="0"/>
              <w:spacing w:after="0" w:line="240" w:lineRule="auto"/>
              <w:jc w:val="right"/>
              <w:rPr>
                <w:rFonts w:ascii="Times New Roman" w:hAnsi="Times New Roman" w:cs="Times New Roman"/>
                <w:lang w:eastAsia="sk-SK"/>
              </w:rPr>
            </w:pPr>
            <w:r w:rsidRPr="00BA0039">
              <w:rPr>
                <w:rFonts w:ascii="Times New Roman" w:hAnsi="Times New Roman" w:cs="Times New Roman"/>
                <w:lang w:eastAsia="sk-SK"/>
              </w:rPr>
              <w:t>1 828 843,80</w:t>
            </w:r>
          </w:p>
        </w:tc>
        <w:tc>
          <w:tcPr>
            <w:tcW w:w="1418" w:type="dxa"/>
            <w:shd w:val="clear" w:color="auto" w:fill="auto"/>
          </w:tcPr>
          <w:p w:rsidR="00BA0039" w:rsidRPr="00BA0039" w:rsidRDefault="00BA0039" w:rsidP="009E7086">
            <w:pPr>
              <w:autoSpaceDE w:val="0"/>
              <w:autoSpaceDN w:val="0"/>
              <w:adjustRightInd w:val="0"/>
              <w:spacing w:after="0" w:line="240" w:lineRule="auto"/>
              <w:jc w:val="right"/>
              <w:rPr>
                <w:rFonts w:ascii="Times New Roman" w:hAnsi="Times New Roman" w:cs="Times New Roman"/>
                <w:lang w:eastAsia="sk-SK"/>
              </w:rPr>
            </w:pPr>
            <w:r w:rsidRPr="00BA0039">
              <w:rPr>
                <w:rFonts w:ascii="Times New Roman" w:hAnsi="Times New Roman" w:cs="Times New Roman"/>
                <w:lang w:eastAsia="sk-SK"/>
              </w:rPr>
              <w:t>392 095,82</w:t>
            </w:r>
          </w:p>
          <w:p w:rsidR="00BA0039" w:rsidRPr="00BA0039" w:rsidRDefault="00BA0039" w:rsidP="009E7086">
            <w:pPr>
              <w:autoSpaceDE w:val="0"/>
              <w:autoSpaceDN w:val="0"/>
              <w:adjustRightInd w:val="0"/>
              <w:spacing w:after="0" w:line="240" w:lineRule="auto"/>
              <w:jc w:val="right"/>
              <w:rPr>
                <w:rFonts w:ascii="Times New Roman" w:hAnsi="Times New Roman" w:cs="Times New Roman"/>
                <w:lang w:eastAsia="sk-SK"/>
              </w:rPr>
            </w:pPr>
            <w:r w:rsidRPr="00BA0039">
              <w:rPr>
                <w:rFonts w:ascii="Times New Roman" w:hAnsi="Times New Roman" w:cs="Times New Roman"/>
                <w:lang w:eastAsia="sk-SK"/>
              </w:rPr>
              <w:t>1 828 781,53</w:t>
            </w:r>
          </w:p>
        </w:tc>
        <w:tc>
          <w:tcPr>
            <w:tcW w:w="1417" w:type="dxa"/>
            <w:shd w:val="clear" w:color="auto" w:fill="auto"/>
          </w:tcPr>
          <w:p w:rsidR="00BA0039" w:rsidRPr="00BA0039" w:rsidRDefault="00BA0039" w:rsidP="00CA3DE2">
            <w:pPr>
              <w:spacing w:after="0" w:line="240" w:lineRule="auto"/>
              <w:jc w:val="center"/>
              <w:rPr>
                <w:rFonts w:ascii="Times New Roman" w:eastAsia="Times New Roman" w:hAnsi="Times New Roman" w:cs="Times New Roman"/>
              </w:rPr>
            </w:pPr>
            <w:r w:rsidRPr="00BA0039">
              <w:rPr>
                <w:rFonts w:ascii="Times New Roman" w:eastAsia="Times New Roman" w:hAnsi="Times New Roman" w:cs="Times New Roman"/>
              </w:rPr>
              <w:t>99,73</w:t>
            </w:r>
          </w:p>
          <w:p w:rsidR="00BA0039" w:rsidRPr="00BA0039" w:rsidRDefault="00BA0039" w:rsidP="00CA3DE2">
            <w:pPr>
              <w:spacing w:after="0" w:line="240" w:lineRule="auto"/>
              <w:jc w:val="center"/>
              <w:rPr>
                <w:rFonts w:ascii="Times New Roman" w:eastAsia="Times New Roman" w:hAnsi="Times New Roman" w:cs="Times New Roman"/>
              </w:rPr>
            </w:pPr>
            <w:r w:rsidRPr="00BA0039">
              <w:rPr>
                <w:rFonts w:ascii="Times New Roman" w:eastAsia="Times New Roman" w:hAnsi="Times New Roman" w:cs="Times New Roman"/>
              </w:rPr>
              <w:t>99,99</w:t>
            </w:r>
          </w:p>
        </w:tc>
      </w:tr>
      <w:tr w:rsidR="00D65E8B" w:rsidRPr="00BA0039" w:rsidTr="00D65E8B">
        <w:trPr>
          <w:trHeight w:val="307"/>
        </w:trPr>
        <w:tc>
          <w:tcPr>
            <w:tcW w:w="2268" w:type="dxa"/>
            <w:shd w:val="clear" w:color="auto" w:fill="auto"/>
          </w:tcPr>
          <w:p w:rsidR="00BA0039" w:rsidRPr="00BA0039" w:rsidRDefault="00BA0039" w:rsidP="00BA0039">
            <w:pPr>
              <w:spacing w:after="0" w:line="240" w:lineRule="auto"/>
              <w:jc w:val="both"/>
              <w:rPr>
                <w:rFonts w:ascii="Times New Roman" w:eastAsia="Times New Roman" w:hAnsi="Times New Roman" w:cs="Times New Roman"/>
                <w:b/>
              </w:rPr>
            </w:pPr>
            <w:r w:rsidRPr="00BA0039">
              <w:rPr>
                <w:rFonts w:ascii="Times New Roman" w:eastAsia="Times New Roman" w:hAnsi="Times New Roman" w:cs="Times New Roman"/>
                <w:b/>
              </w:rPr>
              <w:t>SPOLU 63</w:t>
            </w:r>
            <w:r>
              <w:rPr>
                <w:rFonts w:ascii="Times New Roman" w:eastAsia="Times New Roman" w:hAnsi="Times New Roman" w:cs="Times New Roman"/>
                <w:b/>
              </w:rPr>
              <w:t>0</w:t>
            </w:r>
          </w:p>
        </w:tc>
        <w:tc>
          <w:tcPr>
            <w:tcW w:w="993" w:type="dxa"/>
          </w:tcPr>
          <w:p w:rsidR="00BA0039" w:rsidRPr="00BA0039" w:rsidRDefault="00BA0039" w:rsidP="00BA0039">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BA0039" w:rsidRPr="00BA0039" w:rsidRDefault="00BA0039" w:rsidP="00BA0039">
            <w:pPr>
              <w:autoSpaceDE w:val="0"/>
              <w:autoSpaceDN w:val="0"/>
              <w:adjustRightInd w:val="0"/>
              <w:spacing w:after="0" w:line="240" w:lineRule="auto"/>
              <w:jc w:val="right"/>
              <w:rPr>
                <w:rFonts w:ascii="Times New Roman" w:hAnsi="Times New Roman" w:cs="Times New Roman"/>
                <w:b/>
                <w:lang w:eastAsia="sk-SK"/>
              </w:rPr>
            </w:pPr>
            <w:r w:rsidRPr="00BA0039">
              <w:rPr>
                <w:rFonts w:ascii="Times New Roman" w:hAnsi="Times New Roman" w:cs="Times New Roman"/>
                <w:b/>
                <w:lang w:eastAsia="sk-SK"/>
              </w:rPr>
              <w:t>0,00</w:t>
            </w:r>
          </w:p>
        </w:tc>
        <w:tc>
          <w:tcPr>
            <w:tcW w:w="1417" w:type="dxa"/>
            <w:shd w:val="clear" w:color="auto" w:fill="auto"/>
          </w:tcPr>
          <w:p w:rsidR="00BA0039" w:rsidRPr="00AD68A1" w:rsidRDefault="00BA0039" w:rsidP="00BA0039">
            <w:pPr>
              <w:autoSpaceDE w:val="0"/>
              <w:autoSpaceDN w:val="0"/>
              <w:adjustRightInd w:val="0"/>
              <w:spacing w:after="0" w:line="240" w:lineRule="auto"/>
              <w:rPr>
                <w:rFonts w:ascii="Times New Roman" w:hAnsi="Times New Roman" w:cs="Times New Roman"/>
                <w:b/>
                <w:lang w:eastAsia="sk-SK"/>
              </w:rPr>
            </w:pPr>
            <w:r w:rsidRPr="00AD68A1">
              <w:rPr>
                <w:rFonts w:ascii="Times New Roman" w:hAnsi="Times New Roman" w:cs="Times New Roman"/>
                <w:b/>
                <w:lang w:eastAsia="sk-SK"/>
              </w:rPr>
              <w:t>2 222 014,47</w:t>
            </w:r>
          </w:p>
        </w:tc>
        <w:tc>
          <w:tcPr>
            <w:tcW w:w="1418" w:type="dxa"/>
            <w:shd w:val="clear" w:color="auto" w:fill="auto"/>
          </w:tcPr>
          <w:p w:rsidR="00BA0039" w:rsidRPr="00AD68A1" w:rsidRDefault="00BA0039" w:rsidP="003E3BFD">
            <w:pPr>
              <w:autoSpaceDE w:val="0"/>
              <w:autoSpaceDN w:val="0"/>
              <w:adjustRightInd w:val="0"/>
              <w:spacing w:after="0" w:line="240" w:lineRule="auto"/>
              <w:rPr>
                <w:rFonts w:ascii="Times New Roman" w:hAnsi="Times New Roman" w:cs="Times New Roman"/>
                <w:b/>
                <w:lang w:eastAsia="sk-SK"/>
              </w:rPr>
            </w:pPr>
            <w:r w:rsidRPr="00AD68A1">
              <w:rPr>
                <w:rFonts w:ascii="Times New Roman" w:hAnsi="Times New Roman" w:cs="Times New Roman"/>
                <w:b/>
                <w:lang w:eastAsia="sk-SK"/>
              </w:rPr>
              <w:t>2 220 877,35</w:t>
            </w:r>
          </w:p>
        </w:tc>
        <w:tc>
          <w:tcPr>
            <w:tcW w:w="1417" w:type="dxa"/>
            <w:shd w:val="clear" w:color="auto" w:fill="auto"/>
          </w:tcPr>
          <w:p w:rsidR="00BA0039" w:rsidRPr="00BA0039" w:rsidRDefault="00BA0039" w:rsidP="00BA0039">
            <w:pPr>
              <w:spacing w:after="0" w:line="240" w:lineRule="auto"/>
              <w:jc w:val="center"/>
              <w:rPr>
                <w:rFonts w:ascii="Times New Roman" w:eastAsia="Times New Roman" w:hAnsi="Times New Roman" w:cs="Times New Roman"/>
                <w:b/>
              </w:rPr>
            </w:pPr>
            <w:r w:rsidRPr="00BA0039">
              <w:rPr>
                <w:rFonts w:ascii="Times New Roman" w:eastAsia="Times New Roman" w:hAnsi="Times New Roman" w:cs="Times New Roman"/>
                <w:b/>
              </w:rPr>
              <w:t>99,95</w:t>
            </w:r>
          </w:p>
        </w:tc>
      </w:tr>
    </w:tbl>
    <w:p w:rsidR="00826567" w:rsidRPr="00BA0039" w:rsidRDefault="00826567" w:rsidP="00D65E8B">
      <w:pPr>
        <w:spacing w:before="240" w:line="240" w:lineRule="auto"/>
        <w:ind w:firstLine="709"/>
        <w:jc w:val="both"/>
        <w:rPr>
          <w:rFonts w:ascii="Times New Roman" w:hAnsi="Times New Roman" w:cs="Times New Roman"/>
          <w:sz w:val="24"/>
          <w:szCs w:val="24"/>
        </w:rPr>
      </w:pPr>
      <w:r w:rsidRPr="00BA0039">
        <w:rPr>
          <w:rFonts w:ascii="Times New Roman" w:hAnsi="Times New Roman" w:cs="Times New Roman"/>
          <w:sz w:val="24"/>
          <w:szCs w:val="24"/>
        </w:rPr>
        <w:t xml:space="preserve">Pre tento medzirezortný podprogram nebol schválený limit bežných výdavkov na rok 2015. V priebehu roka 2015 bol rozpočet bežných výdavkov upravený rozpočtovými opatreniami MF SR na sumu 2 222 014,47 eur z toho zo zdroja 111 (rozpočet na rok 2015) na sumu 393 170,67 eur a zo zdroja 131E (nevyčerpané prostriedky z roku 2014)  na sumu         1 828 843,80 eur.  </w:t>
      </w:r>
    </w:p>
    <w:p w:rsidR="00826567" w:rsidRPr="00BA0039" w:rsidRDefault="00826567" w:rsidP="00D65E8B">
      <w:pPr>
        <w:autoSpaceDE w:val="0"/>
        <w:autoSpaceDN w:val="0"/>
        <w:adjustRightInd w:val="0"/>
        <w:spacing w:line="240" w:lineRule="auto"/>
        <w:ind w:firstLine="709"/>
        <w:jc w:val="both"/>
        <w:rPr>
          <w:rFonts w:ascii="Times New Roman" w:hAnsi="Times New Roman" w:cs="Times New Roman"/>
          <w:sz w:val="24"/>
          <w:szCs w:val="24"/>
        </w:rPr>
      </w:pPr>
      <w:r w:rsidRPr="00BA0039">
        <w:rPr>
          <w:rFonts w:ascii="Times New Roman" w:hAnsi="Times New Roman" w:cs="Times New Roman"/>
          <w:sz w:val="24"/>
          <w:szCs w:val="24"/>
        </w:rPr>
        <w:t>Bežné výdavky v roku 2015  boli čerpané v sume 2 220 877,35 eur, čo je 99,95 % z upraveného rozpočtu bežných výdavkov.</w:t>
      </w:r>
    </w:p>
    <w:p w:rsidR="00826567" w:rsidRPr="00BA0039" w:rsidRDefault="00826567" w:rsidP="00D65E8B">
      <w:pPr>
        <w:autoSpaceDE w:val="0"/>
        <w:autoSpaceDN w:val="0"/>
        <w:adjustRightInd w:val="0"/>
        <w:spacing w:line="240" w:lineRule="auto"/>
        <w:ind w:firstLine="709"/>
        <w:jc w:val="both"/>
        <w:rPr>
          <w:rFonts w:ascii="Times New Roman" w:hAnsi="Times New Roman" w:cs="Times New Roman"/>
          <w:sz w:val="24"/>
          <w:szCs w:val="24"/>
        </w:rPr>
      </w:pPr>
      <w:r w:rsidRPr="00BA0039">
        <w:rPr>
          <w:rFonts w:ascii="Times New Roman" w:hAnsi="Times New Roman" w:cs="Times New Roman"/>
          <w:sz w:val="24"/>
          <w:szCs w:val="24"/>
        </w:rPr>
        <w:t>Finančné prostriedky boli použité v súlade so zákonom č. 179/2011 Z. z. o hospodárskej mobilizácii a o zmene a doplnení zákona č. 387/2002 Z. z. o riadení štátu v krízových situáciách mimo času vojny a vojnového stavu v znení neskorších predpisov (ďalej len „zákon 179/2011 Z. z.“) a vyhláškou č. 552/2011 Z. z. o podrobnostiach výdavkov na hospodársku mobilizáciu z prostriedkov štátneho rozpočtu (ďalej len „vyhláška 552/2011 Z. z.“) na úhradu nákladov subjektov hospodárskej mobilizácie v oblasti:</w:t>
      </w:r>
    </w:p>
    <w:p w:rsidR="00826567" w:rsidRPr="00BA0039" w:rsidRDefault="00826567" w:rsidP="00D65E8B">
      <w:pPr>
        <w:spacing w:line="240" w:lineRule="auto"/>
        <w:ind w:left="284" w:hanging="284"/>
        <w:jc w:val="both"/>
        <w:rPr>
          <w:rFonts w:ascii="Times New Roman" w:hAnsi="Times New Roman" w:cs="Times New Roman"/>
          <w:sz w:val="24"/>
          <w:szCs w:val="24"/>
        </w:rPr>
      </w:pPr>
      <w:r w:rsidRPr="00BA0039">
        <w:rPr>
          <w:rFonts w:ascii="Times New Roman" w:hAnsi="Times New Roman" w:cs="Times New Roman"/>
          <w:sz w:val="24"/>
          <w:szCs w:val="24"/>
        </w:rPr>
        <w:t>-</w:t>
      </w:r>
      <w:r w:rsidRPr="00BA0039">
        <w:rPr>
          <w:rFonts w:ascii="Times New Roman" w:hAnsi="Times New Roman" w:cs="Times New Roman"/>
          <w:sz w:val="24"/>
          <w:szCs w:val="24"/>
        </w:rPr>
        <w:tab/>
        <w:t xml:space="preserve">poskytovania služieb - spracovanie údajov a poskytovanie informácií spojených s plnením opatrení hospodárskej mobilizácie, t.j. úhrada ceny práce a výdavkov na ostatné služby zamestnancom subjektov zabezpečujúcich plnenie opatrení hospodárskej mobilizácie, </w:t>
      </w:r>
    </w:p>
    <w:p w:rsidR="00826567" w:rsidRPr="00BA0039" w:rsidRDefault="00826567" w:rsidP="00D65E8B">
      <w:pPr>
        <w:spacing w:line="240" w:lineRule="auto"/>
        <w:ind w:left="284" w:hanging="284"/>
        <w:jc w:val="both"/>
        <w:rPr>
          <w:rFonts w:ascii="Times New Roman" w:hAnsi="Times New Roman" w:cs="Times New Roman"/>
          <w:sz w:val="24"/>
          <w:szCs w:val="24"/>
        </w:rPr>
      </w:pPr>
      <w:r w:rsidRPr="00BA0039">
        <w:rPr>
          <w:rFonts w:ascii="Times New Roman" w:hAnsi="Times New Roman" w:cs="Times New Roman"/>
          <w:sz w:val="24"/>
          <w:szCs w:val="24"/>
        </w:rPr>
        <w:t>-</w:t>
      </w:r>
      <w:r w:rsidRPr="00BA0039">
        <w:rPr>
          <w:rFonts w:ascii="Times New Roman" w:hAnsi="Times New Roman" w:cs="Times New Roman"/>
          <w:sz w:val="24"/>
          <w:szCs w:val="24"/>
        </w:rPr>
        <w:tab/>
        <w:t>zabezpečovanie servisných činností a údržby majetku hospodárskej mobilizácie v objektoch osobitnej dôležitosti v pôsobnosti MH SR,</w:t>
      </w:r>
    </w:p>
    <w:p w:rsidR="004B650F" w:rsidRDefault="00826567" w:rsidP="004B650F">
      <w:pPr>
        <w:spacing w:after="0" w:line="240" w:lineRule="auto"/>
        <w:ind w:left="284" w:hanging="284"/>
        <w:jc w:val="both"/>
        <w:rPr>
          <w:rFonts w:ascii="Times New Roman" w:hAnsi="Times New Roman" w:cs="Times New Roman"/>
          <w:sz w:val="24"/>
          <w:szCs w:val="24"/>
        </w:rPr>
      </w:pPr>
      <w:r w:rsidRPr="00BA0039">
        <w:rPr>
          <w:rFonts w:ascii="Times New Roman" w:hAnsi="Times New Roman" w:cs="Times New Roman"/>
          <w:sz w:val="24"/>
          <w:szCs w:val="24"/>
        </w:rPr>
        <w:t>-</w:t>
      </w:r>
      <w:r w:rsidRPr="00BA0039">
        <w:rPr>
          <w:rFonts w:ascii="Times New Roman" w:hAnsi="Times New Roman" w:cs="Times New Roman"/>
          <w:sz w:val="24"/>
          <w:szCs w:val="24"/>
        </w:rPr>
        <w:tab/>
        <w:t>udržiavanie a využívanie Jednotného informačného systému hospodárskej mobilizácie</w:t>
      </w:r>
      <w:r w:rsidR="004B650F">
        <w:rPr>
          <w:rFonts w:ascii="Times New Roman" w:hAnsi="Times New Roman" w:cs="Times New Roman"/>
          <w:sz w:val="24"/>
          <w:szCs w:val="24"/>
        </w:rPr>
        <w:t xml:space="preserve"> (ďalej len „</w:t>
      </w:r>
      <w:proofErr w:type="spellStart"/>
      <w:r w:rsidR="004B650F">
        <w:rPr>
          <w:rFonts w:ascii="Times New Roman" w:hAnsi="Times New Roman" w:cs="Times New Roman"/>
          <w:sz w:val="24"/>
          <w:szCs w:val="24"/>
        </w:rPr>
        <w:t>JIS</w:t>
      </w:r>
      <w:proofErr w:type="spellEnd"/>
      <w:r w:rsidR="004B650F">
        <w:rPr>
          <w:rFonts w:ascii="Times New Roman" w:hAnsi="Times New Roman" w:cs="Times New Roman"/>
          <w:sz w:val="24"/>
          <w:szCs w:val="24"/>
        </w:rPr>
        <w:t xml:space="preserve"> HM“).</w:t>
      </w:r>
    </w:p>
    <w:p w:rsidR="004B650F" w:rsidRDefault="004B650F" w:rsidP="004B650F">
      <w:pPr>
        <w:spacing w:after="0" w:line="240" w:lineRule="auto"/>
        <w:ind w:left="284" w:hanging="284"/>
        <w:jc w:val="both"/>
        <w:rPr>
          <w:rFonts w:ascii="Times New Roman" w:hAnsi="Times New Roman" w:cs="Times New Roman"/>
          <w:sz w:val="24"/>
          <w:szCs w:val="24"/>
        </w:rPr>
      </w:pPr>
    </w:p>
    <w:p w:rsidR="002B38F8" w:rsidRPr="00695344" w:rsidRDefault="002B38F8" w:rsidP="002B38F8">
      <w:pPr>
        <w:pStyle w:val="Zarkazkladnhotextu"/>
        <w:tabs>
          <w:tab w:val="left" w:pos="0"/>
        </w:tabs>
        <w:spacing w:after="0"/>
        <w:ind w:left="0"/>
        <w:jc w:val="both"/>
        <w:rPr>
          <w:i/>
          <w:szCs w:val="24"/>
        </w:rPr>
      </w:pPr>
      <w:r w:rsidRPr="00695344">
        <w:rPr>
          <w:b/>
          <w:i/>
          <w:caps/>
          <w:szCs w:val="24"/>
        </w:rPr>
        <w:t>07K   Rozvoj priemyslu a podpora podnikania</w:t>
      </w:r>
    </w:p>
    <w:p w:rsidR="002B38F8" w:rsidRPr="007D774A" w:rsidRDefault="002B38F8" w:rsidP="002B38F8">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417"/>
        <w:gridCol w:w="1418"/>
        <w:gridCol w:w="1417"/>
      </w:tblGrid>
      <w:tr w:rsidR="002B38F8" w:rsidRPr="00F2655B" w:rsidTr="00201A38">
        <w:trPr>
          <w:trHeight w:val="785"/>
        </w:trPr>
        <w:tc>
          <w:tcPr>
            <w:tcW w:w="2410" w:type="dxa"/>
            <w:tcBorders>
              <w:top w:val="single" w:sz="4" w:space="0" w:color="auto"/>
              <w:left w:val="single" w:sz="4" w:space="0" w:color="auto"/>
              <w:bottom w:val="single" w:sz="4" w:space="0" w:color="auto"/>
              <w:right w:val="single" w:sz="4" w:space="0" w:color="auto"/>
            </w:tcBorders>
            <w:shd w:val="clear" w:color="auto" w:fill="auto"/>
          </w:tcPr>
          <w:p w:rsidR="002B38F8" w:rsidRPr="00F2655B" w:rsidRDefault="002B38F8" w:rsidP="00CA3DE2">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Ekonomická</w:t>
            </w:r>
          </w:p>
          <w:p w:rsidR="002B38F8" w:rsidRPr="00F2655B" w:rsidRDefault="002B38F8" w:rsidP="00CA3DE2">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klasifikácia</w:t>
            </w:r>
          </w:p>
        </w:tc>
        <w:tc>
          <w:tcPr>
            <w:tcW w:w="851" w:type="dxa"/>
            <w:tcBorders>
              <w:left w:val="single" w:sz="4" w:space="0" w:color="auto"/>
            </w:tcBorders>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Zdroj</w:t>
            </w:r>
          </w:p>
        </w:tc>
        <w:tc>
          <w:tcPr>
            <w:tcW w:w="1559"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Schválený</w:t>
            </w:r>
          </w:p>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1.1.2015</w:t>
            </w:r>
          </w:p>
        </w:tc>
        <w:tc>
          <w:tcPr>
            <w:tcW w:w="1417"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Upravený</w:t>
            </w:r>
          </w:p>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rozpočet k 31.12.2015</w:t>
            </w:r>
          </w:p>
        </w:tc>
        <w:tc>
          <w:tcPr>
            <w:tcW w:w="1418"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Čerpanie k</w:t>
            </w:r>
          </w:p>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31.12.2015</w:t>
            </w:r>
          </w:p>
        </w:tc>
        <w:tc>
          <w:tcPr>
            <w:tcW w:w="1417" w:type="dxa"/>
            <w:shd w:val="clear" w:color="auto" w:fill="auto"/>
          </w:tcPr>
          <w:p w:rsidR="002B38F8" w:rsidRPr="00F2655B" w:rsidRDefault="002B38F8" w:rsidP="00CA3DE2">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 čerpania k uprav. rozpočtu</w:t>
            </w:r>
          </w:p>
        </w:tc>
      </w:tr>
      <w:tr w:rsidR="002B38F8" w:rsidRPr="00F2655B" w:rsidTr="00201A38">
        <w:tc>
          <w:tcPr>
            <w:tcW w:w="2410" w:type="dxa"/>
            <w:tcBorders>
              <w:top w:val="single" w:sz="4" w:space="0" w:color="auto"/>
              <w:left w:val="single" w:sz="4" w:space="0" w:color="auto"/>
              <w:bottom w:val="nil"/>
              <w:right w:val="single" w:sz="4" w:space="0" w:color="auto"/>
            </w:tcBorders>
            <w:shd w:val="clear" w:color="auto" w:fill="auto"/>
          </w:tcPr>
          <w:p w:rsidR="002B38F8" w:rsidRPr="00F2655B" w:rsidRDefault="002B38F8" w:rsidP="00CA3DE2">
            <w:pPr>
              <w:spacing w:after="0" w:line="240" w:lineRule="auto"/>
              <w:jc w:val="both"/>
              <w:rPr>
                <w:rFonts w:ascii="Times New Roman" w:eastAsia="Times New Roman" w:hAnsi="Times New Roman" w:cs="Times New Roman"/>
              </w:rPr>
            </w:pPr>
            <w:r w:rsidRPr="00F2655B">
              <w:rPr>
                <w:rFonts w:ascii="Times New Roman" w:eastAsia="Times New Roman" w:hAnsi="Times New Roman" w:cs="Times New Roman"/>
              </w:rPr>
              <w:t>630 – tovary a služby</w:t>
            </w:r>
          </w:p>
        </w:tc>
        <w:tc>
          <w:tcPr>
            <w:tcW w:w="851" w:type="dxa"/>
            <w:tcBorders>
              <w:left w:val="single" w:sz="4" w:space="0" w:color="auto"/>
            </w:tcBorders>
          </w:tcPr>
          <w:p w:rsidR="002B38F8" w:rsidRPr="00F2655B" w:rsidRDefault="002B38F8" w:rsidP="00CA3DE2">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111</w:t>
            </w:r>
          </w:p>
        </w:tc>
        <w:tc>
          <w:tcPr>
            <w:tcW w:w="1559" w:type="dxa"/>
            <w:shd w:val="clear" w:color="auto" w:fill="auto"/>
          </w:tcPr>
          <w:p w:rsidR="002B38F8"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132 776,00</w:t>
            </w:r>
          </w:p>
        </w:tc>
        <w:tc>
          <w:tcPr>
            <w:tcW w:w="1417" w:type="dxa"/>
            <w:shd w:val="clear" w:color="auto" w:fill="auto"/>
          </w:tcPr>
          <w:p w:rsidR="002B38F8"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40 435,56</w:t>
            </w:r>
          </w:p>
        </w:tc>
        <w:tc>
          <w:tcPr>
            <w:tcW w:w="1418" w:type="dxa"/>
            <w:shd w:val="clear" w:color="auto" w:fill="auto"/>
          </w:tcPr>
          <w:p w:rsidR="002B38F8"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30 900,00</w:t>
            </w:r>
          </w:p>
        </w:tc>
        <w:tc>
          <w:tcPr>
            <w:tcW w:w="1417" w:type="dxa"/>
            <w:shd w:val="clear" w:color="auto" w:fill="auto"/>
          </w:tcPr>
          <w:p w:rsidR="002B38F8" w:rsidRPr="00F2655B" w:rsidRDefault="00F2655B" w:rsidP="00F2655B">
            <w:pPr>
              <w:spacing w:after="0" w:line="240" w:lineRule="auto"/>
              <w:jc w:val="center"/>
              <w:rPr>
                <w:rFonts w:ascii="Times New Roman" w:eastAsia="Times New Roman" w:hAnsi="Times New Roman" w:cs="Times New Roman"/>
              </w:rPr>
            </w:pPr>
            <w:r w:rsidRPr="00F2655B">
              <w:rPr>
                <w:rFonts w:ascii="Times New Roman" w:eastAsia="Times New Roman" w:hAnsi="Times New Roman" w:cs="Times New Roman"/>
              </w:rPr>
              <w:t>76,42</w:t>
            </w:r>
          </w:p>
        </w:tc>
      </w:tr>
      <w:tr w:rsidR="00F2655B" w:rsidRPr="00F2655B" w:rsidTr="00201A38">
        <w:tc>
          <w:tcPr>
            <w:tcW w:w="2410" w:type="dxa"/>
            <w:tcBorders>
              <w:top w:val="nil"/>
              <w:left w:val="single" w:sz="4" w:space="0" w:color="auto"/>
              <w:bottom w:val="nil"/>
              <w:right w:val="single" w:sz="4" w:space="0" w:color="auto"/>
            </w:tcBorders>
            <w:shd w:val="clear" w:color="auto" w:fill="auto"/>
          </w:tcPr>
          <w:p w:rsidR="00F2655B" w:rsidRPr="00F2655B" w:rsidRDefault="00F2655B"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2655B" w:rsidRPr="00F2655B" w:rsidRDefault="00F2655B" w:rsidP="00CA3DE2">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11S1</w:t>
            </w:r>
          </w:p>
        </w:tc>
        <w:tc>
          <w:tcPr>
            <w:tcW w:w="1559"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5 452 118,00</w:t>
            </w:r>
          </w:p>
        </w:tc>
        <w:tc>
          <w:tcPr>
            <w:tcW w:w="1417"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8"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7" w:type="dxa"/>
            <w:shd w:val="clear" w:color="auto" w:fill="auto"/>
          </w:tcPr>
          <w:p w:rsidR="00F2655B" w:rsidRPr="00F2655B" w:rsidRDefault="00F2655B" w:rsidP="00F2655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Pr="00F2655B">
              <w:rPr>
                <w:rFonts w:ascii="Times New Roman" w:hAnsi="Times New Roman" w:cs="Times New Roman"/>
                <w:lang w:eastAsia="sk-SK"/>
              </w:rPr>
              <w:t>0,00</w:t>
            </w:r>
          </w:p>
        </w:tc>
      </w:tr>
      <w:tr w:rsidR="00F2655B" w:rsidRPr="00F2655B" w:rsidTr="00201A38">
        <w:tc>
          <w:tcPr>
            <w:tcW w:w="2410" w:type="dxa"/>
            <w:tcBorders>
              <w:top w:val="nil"/>
              <w:left w:val="single" w:sz="4" w:space="0" w:color="auto"/>
              <w:bottom w:val="nil"/>
              <w:right w:val="single" w:sz="4" w:space="0" w:color="auto"/>
            </w:tcBorders>
            <w:shd w:val="clear" w:color="auto" w:fill="auto"/>
          </w:tcPr>
          <w:p w:rsidR="00F2655B" w:rsidRPr="00F2655B" w:rsidRDefault="00F2655B"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2655B" w:rsidRPr="00F2655B" w:rsidRDefault="00F2655B" w:rsidP="00CA3DE2">
            <w:pPr>
              <w:autoSpaceDE w:val="0"/>
              <w:autoSpaceDN w:val="0"/>
              <w:adjustRightInd w:val="0"/>
              <w:spacing w:after="0" w:line="240" w:lineRule="auto"/>
              <w:jc w:val="center"/>
              <w:rPr>
                <w:rFonts w:ascii="Times New Roman" w:hAnsi="Times New Roman" w:cs="Times New Roman"/>
                <w:lang w:eastAsia="sk-SK"/>
              </w:rPr>
            </w:pPr>
            <w:r w:rsidRPr="00F2655B">
              <w:rPr>
                <w:rFonts w:ascii="Times New Roman" w:hAnsi="Times New Roman" w:cs="Times New Roman"/>
                <w:lang w:eastAsia="sk-SK"/>
              </w:rPr>
              <w:t>11S2</w:t>
            </w:r>
          </w:p>
        </w:tc>
        <w:tc>
          <w:tcPr>
            <w:tcW w:w="1559"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962 139,00</w:t>
            </w:r>
          </w:p>
        </w:tc>
        <w:tc>
          <w:tcPr>
            <w:tcW w:w="1417"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8"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lang w:eastAsia="sk-SK"/>
              </w:rPr>
            </w:pPr>
            <w:r w:rsidRPr="00F2655B">
              <w:rPr>
                <w:rFonts w:ascii="Times New Roman" w:hAnsi="Times New Roman" w:cs="Times New Roman"/>
                <w:lang w:eastAsia="sk-SK"/>
              </w:rPr>
              <w:t>0,00</w:t>
            </w:r>
          </w:p>
        </w:tc>
        <w:tc>
          <w:tcPr>
            <w:tcW w:w="1417" w:type="dxa"/>
            <w:shd w:val="clear" w:color="auto" w:fill="auto"/>
          </w:tcPr>
          <w:p w:rsidR="00F2655B" w:rsidRPr="00F2655B" w:rsidRDefault="00F2655B" w:rsidP="00F2655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 xml:space="preserve"> </w:t>
            </w:r>
            <w:r w:rsidRPr="00F2655B">
              <w:rPr>
                <w:rFonts w:ascii="Times New Roman" w:hAnsi="Times New Roman" w:cs="Times New Roman"/>
                <w:lang w:eastAsia="sk-SK"/>
              </w:rPr>
              <w:t>0,00</w:t>
            </w:r>
          </w:p>
        </w:tc>
      </w:tr>
      <w:tr w:rsidR="00F2655B" w:rsidRPr="00F2655B" w:rsidTr="00201A38">
        <w:tc>
          <w:tcPr>
            <w:tcW w:w="2410" w:type="dxa"/>
            <w:tcBorders>
              <w:top w:val="single" w:sz="4" w:space="0" w:color="auto"/>
              <w:left w:val="single" w:sz="4" w:space="0" w:color="auto"/>
              <w:bottom w:val="single" w:sz="4" w:space="0" w:color="auto"/>
              <w:right w:val="single" w:sz="4" w:space="0" w:color="auto"/>
            </w:tcBorders>
            <w:shd w:val="clear" w:color="auto" w:fill="auto"/>
          </w:tcPr>
          <w:p w:rsidR="00F2655B" w:rsidRPr="00F2655B" w:rsidRDefault="00F2655B" w:rsidP="00CA3DE2">
            <w:pPr>
              <w:spacing w:after="0" w:line="240" w:lineRule="auto"/>
              <w:jc w:val="both"/>
              <w:rPr>
                <w:rFonts w:ascii="Times New Roman" w:eastAsia="Times New Roman" w:hAnsi="Times New Roman" w:cs="Times New Roman"/>
                <w:b/>
              </w:rPr>
            </w:pPr>
            <w:r w:rsidRPr="00F2655B">
              <w:rPr>
                <w:rFonts w:ascii="Times New Roman" w:eastAsia="Times New Roman" w:hAnsi="Times New Roman" w:cs="Times New Roman"/>
                <w:b/>
              </w:rPr>
              <w:t>SPOLU 630</w:t>
            </w:r>
          </w:p>
        </w:tc>
        <w:tc>
          <w:tcPr>
            <w:tcW w:w="851" w:type="dxa"/>
            <w:tcBorders>
              <w:left w:val="single" w:sz="4" w:space="0" w:color="auto"/>
            </w:tcBorders>
          </w:tcPr>
          <w:p w:rsidR="00F2655B" w:rsidRPr="00F2655B" w:rsidRDefault="00F2655B" w:rsidP="00CA3DE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b/>
                <w:lang w:eastAsia="sk-SK"/>
              </w:rPr>
            </w:pPr>
            <w:r w:rsidRPr="00F2655B">
              <w:rPr>
                <w:rFonts w:ascii="Times New Roman" w:hAnsi="Times New Roman" w:cs="Times New Roman"/>
                <w:b/>
                <w:lang w:eastAsia="sk-SK"/>
              </w:rPr>
              <w:t>6 547 033,00</w:t>
            </w:r>
          </w:p>
        </w:tc>
        <w:tc>
          <w:tcPr>
            <w:tcW w:w="1417"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b/>
                <w:lang w:eastAsia="sk-SK"/>
              </w:rPr>
            </w:pPr>
            <w:r w:rsidRPr="00F2655B">
              <w:rPr>
                <w:rFonts w:ascii="Times New Roman" w:hAnsi="Times New Roman" w:cs="Times New Roman"/>
                <w:b/>
                <w:lang w:eastAsia="sk-SK"/>
              </w:rPr>
              <w:t>40 435,56</w:t>
            </w:r>
          </w:p>
        </w:tc>
        <w:tc>
          <w:tcPr>
            <w:tcW w:w="1418" w:type="dxa"/>
            <w:shd w:val="clear" w:color="auto" w:fill="auto"/>
          </w:tcPr>
          <w:p w:rsidR="00F2655B" w:rsidRPr="00F2655B" w:rsidRDefault="00F2655B" w:rsidP="00F2655B">
            <w:pPr>
              <w:autoSpaceDE w:val="0"/>
              <w:autoSpaceDN w:val="0"/>
              <w:adjustRightInd w:val="0"/>
              <w:spacing w:after="0" w:line="240" w:lineRule="auto"/>
              <w:jc w:val="right"/>
              <w:rPr>
                <w:rFonts w:ascii="Times New Roman" w:hAnsi="Times New Roman" w:cs="Times New Roman"/>
                <w:b/>
                <w:lang w:eastAsia="sk-SK"/>
              </w:rPr>
            </w:pPr>
            <w:r w:rsidRPr="00F2655B">
              <w:rPr>
                <w:rFonts w:ascii="Times New Roman" w:hAnsi="Times New Roman" w:cs="Times New Roman"/>
                <w:b/>
                <w:lang w:eastAsia="sk-SK"/>
              </w:rPr>
              <w:t>30 900,00</w:t>
            </w:r>
          </w:p>
        </w:tc>
        <w:tc>
          <w:tcPr>
            <w:tcW w:w="1417" w:type="dxa"/>
            <w:shd w:val="clear" w:color="auto" w:fill="auto"/>
          </w:tcPr>
          <w:p w:rsidR="00F2655B" w:rsidRPr="00F2655B" w:rsidRDefault="00F2655B" w:rsidP="00F2655B">
            <w:pPr>
              <w:spacing w:after="0" w:line="240" w:lineRule="auto"/>
              <w:jc w:val="center"/>
              <w:rPr>
                <w:rFonts w:ascii="Times New Roman" w:eastAsia="Times New Roman" w:hAnsi="Times New Roman" w:cs="Times New Roman"/>
                <w:b/>
              </w:rPr>
            </w:pPr>
            <w:r w:rsidRPr="00F2655B">
              <w:rPr>
                <w:rFonts w:ascii="Times New Roman" w:eastAsia="Times New Roman" w:hAnsi="Times New Roman" w:cs="Times New Roman"/>
                <w:b/>
              </w:rPr>
              <w:t>76,42</w:t>
            </w:r>
          </w:p>
        </w:tc>
      </w:tr>
    </w:tbl>
    <w:p w:rsidR="00C370A3" w:rsidRDefault="002B38F8" w:rsidP="0065668A">
      <w:pPr>
        <w:spacing w:before="240"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V rámci programu </w:t>
      </w:r>
      <w:r>
        <w:rPr>
          <w:rFonts w:ascii="Times New Roman" w:hAnsi="Times New Roman" w:cs="Times New Roman"/>
          <w:sz w:val="24"/>
          <w:szCs w:val="24"/>
        </w:rPr>
        <w:t xml:space="preserve">07K </w:t>
      </w:r>
      <w:r w:rsidRPr="009F1E92">
        <w:rPr>
          <w:rFonts w:ascii="Times New Roman" w:hAnsi="Times New Roman" w:cs="Times New Roman"/>
          <w:sz w:val="24"/>
          <w:szCs w:val="24"/>
        </w:rPr>
        <w:t>boli v roku 201</w:t>
      </w:r>
      <w:r>
        <w:rPr>
          <w:rFonts w:ascii="Times New Roman" w:hAnsi="Times New Roman" w:cs="Times New Roman"/>
          <w:sz w:val="24"/>
          <w:szCs w:val="24"/>
        </w:rPr>
        <w:t>5</w:t>
      </w:r>
      <w:r w:rsidRPr="009F1E92">
        <w:rPr>
          <w:rFonts w:ascii="Times New Roman" w:hAnsi="Times New Roman" w:cs="Times New Roman"/>
          <w:sz w:val="24"/>
          <w:szCs w:val="24"/>
        </w:rPr>
        <w:t xml:space="preserve"> realizované výdavky na tovary a služby v na</w:t>
      </w:r>
      <w:r>
        <w:rPr>
          <w:rFonts w:ascii="Times New Roman" w:hAnsi="Times New Roman" w:cs="Times New Roman"/>
          <w:sz w:val="24"/>
          <w:szCs w:val="24"/>
        </w:rPr>
        <w:t>s</w:t>
      </w:r>
      <w:r w:rsidRPr="009F1E92">
        <w:rPr>
          <w:rFonts w:ascii="Times New Roman" w:hAnsi="Times New Roman" w:cs="Times New Roman"/>
          <w:sz w:val="24"/>
          <w:szCs w:val="24"/>
        </w:rPr>
        <w:t>ledovných podprogramoch a prvkoch:</w:t>
      </w:r>
    </w:p>
    <w:p w:rsidR="0065668A" w:rsidRDefault="0065668A" w:rsidP="0065668A">
      <w:pPr>
        <w:spacing w:after="0" w:line="240" w:lineRule="auto"/>
        <w:ind w:right="26" w:firstLine="709"/>
        <w:jc w:val="both"/>
        <w:rPr>
          <w:rFonts w:ascii="Times New Roman" w:hAnsi="Times New Roman" w:cs="Times New Roman"/>
          <w:sz w:val="24"/>
          <w:szCs w:val="24"/>
        </w:rPr>
      </w:pPr>
    </w:p>
    <w:p w:rsidR="001B5005" w:rsidRDefault="001B5005" w:rsidP="0065668A">
      <w:pPr>
        <w:autoSpaceDE w:val="0"/>
        <w:autoSpaceDN w:val="0"/>
        <w:adjustRightInd w:val="0"/>
        <w:spacing w:after="0"/>
        <w:rPr>
          <w:i/>
          <w:szCs w:val="24"/>
          <w:lang w:eastAsia="sk-SK"/>
        </w:rPr>
      </w:pPr>
      <w:proofErr w:type="spellStart"/>
      <w:r w:rsidRPr="00596D64">
        <w:rPr>
          <w:i/>
          <w:szCs w:val="24"/>
          <w:lang w:eastAsia="sk-SK"/>
        </w:rPr>
        <w:t>07K020D</w:t>
      </w:r>
      <w:proofErr w:type="spellEnd"/>
      <w:r w:rsidRPr="00596D64">
        <w:rPr>
          <w:i/>
          <w:szCs w:val="24"/>
          <w:lang w:eastAsia="sk-SK"/>
        </w:rPr>
        <w:t xml:space="preserve"> Podpora inovačných projektov v rezorte MH SR</w:t>
      </w:r>
    </w:p>
    <w:p w:rsidR="00D65E8B" w:rsidRPr="007D774A" w:rsidRDefault="00D65E8B" w:rsidP="00D65E8B">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D65E8B" w:rsidRPr="00920EB1" w:rsidTr="00D65E8B">
        <w:trPr>
          <w:trHeight w:val="712"/>
        </w:trPr>
        <w:tc>
          <w:tcPr>
            <w:tcW w:w="2268" w:type="dxa"/>
            <w:shd w:val="clear" w:color="auto" w:fill="auto"/>
          </w:tcPr>
          <w:p w:rsidR="00D65E8B" w:rsidRPr="00920EB1" w:rsidRDefault="00D65E8B" w:rsidP="00CA3DE2">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Ekonomická</w:t>
            </w:r>
          </w:p>
          <w:p w:rsidR="00D65E8B" w:rsidRPr="00920EB1" w:rsidRDefault="00D65E8B" w:rsidP="00CA3DE2">
            <w:pPr>
              <w:spacing w:after="0" w:line="240" w:lineRule="auto"/>
              <w:jc w:val="both"/>
              <w:rPr>
                <w:rFonts w:ascii="Times New Roman" w:eastAsia="Times New Roman" w:hAnsi="Times New Roman" w:cs="Times New Roman"/>
                <w:b/>
              </w:rPr>
            </w:pPr>
            <w:r w:rsidRPr="00920EB1">
              <w:rPr>
                <w:rFonts w:ascii="Times New Roman" w:eastAsia="Times New Roman" w:hAnsi="Times New Roman" w:cs="Times New Roman"/>
                <w:b/>
              </w:rPr>
              <w:t>klasifikácia</w:t>
            </w:r>
          </w:p>
        </w:tc>
        <w:tc>
          <w:tcPr>
            <w:tcW w:w="993" w:type="dxa"/>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Zdroj</w:t>
            </w:r>
          </w:p>
        </w:tc>
        <w:tc>
          <w:tcPr>
            <w:tcW w:w="1559"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Schválený</w:t>
            </w:r>
          </w:p>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1.1.2015</w:t>
            </w:r>
          </w:p>
        </w:tc>
        <w:tc>
          <w:tcPr>
            <w:tcW w:w="1417"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Upravený</w:t>
            </w:r>
          </w:p>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rozpočet k 31.12.2015</w:t>
            </w:r>
          </w:p>
        </w:tc>
        <w:tc>
          <w:tcPr>
            <w:tcW w:w="1418"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Čerpanie k</w:t>
            </w:r>
          </w:p>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31.12.2015</w:t>
            </w:r>
          </w:p>
        </w:tc>
        <w:tc>
          <w:tcPr>
            <w:tcW w:w="1417"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b/>
              </w:rPr>
            </w:pPr>
            <w:r w:rsidRPr="00920EB1">
              <w:rPr>
                <w:rFonts w:ascii="Times New Roman" w:eastAsia="Times New Roman" w:hAnsi="Times New Roman" w:cs="Times New Roman"/>
                <w:b/>
              </w:rPr>
              <w:t>% čerpania k uprav. rozpočtu</w:t>
            </w:r>
          </w:p>
        </w:tc>
      </w:tr>
      <w:tr w:rsidR="00D65E8B" w:rsidRPr="00920EB1" w:rsidTr="00D65E8B">
        <w:tc>
          <w:tcPr>
            <w:tcW w:w="2268" w:type="dxa"/>
            <w:shd w:val="clear" w:color="auto" w:fill="auto"/>
          </w:tcPr>
          <w:p w:rsidR="00D65E8B" w:rsidRPr="00BA0039" w:rsidRDefault="00D65E8B" w:rsidP="00CA3DE2">
            <w:pPr>
              <w:spacing w:after="0" w:line="240" w:lineRule="auto"/>
              <w:jc w:val="both"/>
              <w:rPr>
                <w:rFonts w:ascii="Times New Roman" w:eastAsia="Times New Roman" w:hAnsi="Times New Roman" w:cs="Times New Roman"/>
              </w:rPr>
            </w:pPr>
            <w:r w:rsidRPr="00BA0039">
              <w:rPr>
                <w:rFonts w:ascii="Times New Roman" w:eastAsia="Times New Roman" w:hAnsi="Times New Roman" w:cs="Times New Roman"/>
              </w:rPr>
              <w:t>630 – tovary a služby</w:t>
            </w:r>
          </w:p>
        </w:tc>
        <w:tc>
          <w:tcPr>
            <w:tcW w:w="993" w:type="dxa"/>
          </w:tcPr>
          <w:p w:rsidR="00D65E8B" w:rsidRPr="00920EB1" w:rsidRDefault="00D65E8B" w:rsidP="00D65E8B">
            <w:pPr>
              <w:autoSpaceDE w:val="0"/>
              <w:autoSpaceDN w:val="0"/>
              <w:adjustRightInd w:val="0"/>
              <w:spacing w:after="0" w:line="240" w:lineRule="auto"/>
              <w:jc w:val="center"/>
              <w:rPr>
                <w:rFonts w:ascii="Times New Roman" w:hAnsi="Times New Roman" w:cs="Times New Roman"/>
                <w:lang w:eastAsia="sk-SK"/>
              </w:rPr>
            </w:pPr>
            <w:r w:rsidRPr="00920EB1">
              <w:rPr>
                <w:rFonts w:ascii="Times New Roman" w:hAnsi="Times New Roman" w:cs="Times New Roman"/>
                <w:lang w:eastAsia="sk-SK"/>
              </w:rPr>
              <w:t>111</w:t>
            </w:r>
          </w:p>
        </w:tc>
        <w:tc>
          <w:tcPr>
            <w:tcW w:w="1559" w:type="dxa"/>
            <w:shd w:val="clear" w:color="auto" w:fill="auto"/>
          </w:tcPr>
          <w:p w:rsidR="00D65E8B" w:rsidRPr="00920EB1" w:rsidRDefault="00D65E8B" w:rsidP="00D65E8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417" w:type="dxa"/>
            <w:shd w:val="clear" w:color="auto" w:fill="auto"/>
          </w:tcPr>
          <w:p w:rsidR="00D65E8B" w:rsidRPr="00D65E8B" w:rsidRDefault="00D65E8B" w:rsidP="00D65E8B">
            <w:pPr>
              <w:autoSpaceDE w:val="0"/>
              <w:autoSpaceDN w:val="0"/>
              <w:adjustRightInd w:val="0"/>
              <w:spacing w:after="0" w:line="240" w:lineRule="auto"/>
              <w:jc w:val="right"/>
              <w:rPr>
                <w:rFonts w:ascii="Times New Roman" w:hAnsi="Times New Roman" w:cs="Times New Roman"/>
                <w:sz w:val="24"/>
                <w:szCs w:val="24"/>
                <w:lang w:eastAsia="sk-SK"/>
              </w:rPr>
            </w:pPr>
            <w:r>
              <w:rPr>
                <w:rFonts w:ascii="Times New Roman" w:hAnsi="Times New Roman" w:cs="Times New Roman"/>
                <w:sz w:val="24"/>
                <w:szCs w:val="24"/>
                <w:lang w:eastAsia="sk-SK"/>
              </w:rPr>
              <w:t>3 787,96</w:t>
            </w:r>
          </w:p>
        </w:tc>
        <w:tc>
          <w:tcPr>
            <w:tcW w:w="1418" w:type="dxa"/>
            <w:shd w:val="clear" w:color="auto" w:fill="auto"/>
          </w:tcPr>
          <w:p w:rsidR="00D65E8B" w:rsidRPr="00920EB1" w:rsidRDefault="00D65E8B" w:rsidP="00D65E8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2 100,00</w:t>
            </w:r>
          </w:p>
        </w:tc>
        <w:tc>
          <w:tcPr>
            <w:tcW w:w="1417" w:type="dxa"/>
            <w:shd w:val="clear" w:color="auto" w:fill="auto"/>
          </w:tcPr>
          <w:p w:rsidR="00D65E8B" w:rsidRPr="00920EB1" w:rsidRDefault="00D65E8B" w:rsidP="00CA3DE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55,44</w:t>
            </w:r>
          </w:p>
        </w:tc>
      </w:tr>
    </w:tbl>
    <w:p w:rsidR="00442C91" w:rsidRDefault="00442C91" w:rsidP="00981BC9">
      <w:pPr>
        <w:autoSpaceDE w:val="0"/>
        <w:autoSpaceDN w:val="0"/>
        <w:adjustRightInd w:val="0"/>
        <w:spacing w:before="240" w:after="0" w:line="240" w:lineRule="auto"/>
        <w:ind w:firstLine="567"/>
        <w:jc w:val="both"/>
        <w:rPr>
          <w:rFonts w:ascii="Times New Roman" w:hAnsi="Times New Roman" w:cs="Times New Roman"/>
          <w:sz w:val="24"/>
          <w:szCs w:val="24"/>
          <w:lang w:eastAsia="sk-SK"/>
        </w:rPr>
      </w:pPr>
      <w:r>
        <w:rPr>
          <w:szCs w:val="24"/>
          <w:lang w:eastAsia="sk-SK"/>
        </w:rPr>
        <w:t>N</w:t>
      </w:r>
      <w:r w:rsidR="001B5005" w:rsidRPr="00695344">
        <w:rPr>
          <w:szCs w:val="24"/>
          <w:lang w:eastAsia="sk-SK"/>
        </w:rPr>
        <w:t xml:space="preserve">a rok 2015 </w:t>
      </w:r>
      <w:r w:rsidR="001B5005">
        <w:rPr>
          <w:szCs w:val="24"/>
          <w:lang w:eastAsia="sk-SK"/>
        </w:rPr>
        <w:t xml:space="preserve">nebol </w:t>
      </w:r>
      <w:r w:rsidR="001B5005" w:rsidRPr="00695344">
        <w:rPr>
          <w:szCs w:val="24"/>
          <w:lang w:eastAsia="sk-SK"/>
        </w:rPr>
        <w:t xml:space="preserve"> na uvedený prvok schválený rozpočet </w:t>
      </w:r>
      <w:r w:rsidR="001B5005">
        <w:rPr>
          <w:szCs w:val="24"/>
          <w:lang w:eastAsia="sk-SK"/>
        </w:rPr>
        <w:t xml:space="preserve">na tovary a služby. Úpravou rozpočtu bol rozpočet upravený na  </w:t>
      </w:r>
      <w:r>
        <w:rPr>
          <w:rFonts w:ascii="Times New Roman" w:hAnsi="Times New Roman" w:cs="Times New Roman"/>
          <w:sz w:val="24"/>
          <w:szCs w:val="24"/>
          <w:lang w:eastAsia="sk-SK"/>
        </w:rPr>
        <w:t xml:space="preserve">3 787,96 eur a rozpočtové prostriedky </w:t>
      </w:r>
      <w:r w:rsidR="00981BC9">
        <w:rPr>
          <w:rFonts w:ascii="Times New Roman" w:hAnsi="Times New Roman" w:cs="Times New Roman"/>
          <w:sz w:val="24"/>
          <w:szCs w:val="24"/>
          <w:lang w:eastAsia="sk-SK"/>
        </w:rPr>
        <w:t xml:space="preserve">v sume 2 100,00 eur </w:t>
      </w:r>
      <w:r>
        <w:rPr>
          <w:rFonts w:ascii="Times New Roman" w:hAnsi="Times New Roman" w:cs="Times New Roman"/>
          <w:sz w:val="24"/>
          <w:szCs w:val="24"/>
          <w:lang w:eastAsia="sk-SK"/>
        </w:rPr>
        <w:t xml:space="preserve">boli vyplatené ako odmeny </w:t>
      </w:r>
      <w:r w:rsidR="00981BC9">
        <w:rPr>
          <w:rFonts w:ascii="Times New Roman" w:hAnsi="Times New Roman" w:cs="Times New Roman"/>
          <w:sz w:val="24"/>
          <w:szCs w:val="24"/>
          <w:lang w:eastAsia="sk-SK"/>
        </w:rPr>
        <w:t xml:space="preserve">pre </w:t>
      </w:r>
      <w:r>
        <w:rPr>
          <w:rFonts w:ascii="Times New Roman" w:hAnsi="Times New Roman" w:cs="Times New Roman"/>
          <w:sz w:val="24"/>
          <w:szCs w:val="24"/>
          <w:lang w:eastAsia="sk-SK"/>
        </w:rPr>
        <w:t>zamestnancov mimopracovného pomeru</w:t>
      </w:r>
      <w:r w:rsidR="00981BC9">
        <w:rPr>
          <w:szCs w:val="24"/>
          <w:lang w:eastAsia="sk-SK"/>
        </w:rPr>
        <w:t>, ktorí hodnotili inovačné projekty</w:t>
      </w:r>
      <w:r>
        <w:rPr>
          <w:rFonts w:ascii="Times New Roman" w:hAnsi="Times New Roman" w:cs="Times New Roman"/>
          <w:sz w:val="24"/>
          <w:szCs w:val="24"/>
          <w:lang w:eastAsia="sk-SK"/>
        </w:rPr>
        <w:t>.</w:t>
      </w:r>
    </w:p>
    <w:p w:rsidR="00981BC9" w:rsidRPr="009F1E92" w:rsidRDefault="00981BC9" w:rsidP="009F1E92">
      <w:pPr>
        <w:spacing w:after="0" w:line="240" w:lineRule="auto"/>
        <w:ind w:right="26" w:firstLine="567"/>
        <w:jc w:val="both"/>
        <w:rPr>
          <w:rFonts w:ascii="Times New Roman" w:hAnsi="Times New Roman" w:cs="Times New Roman"/>
          <w:sz w:val="24"/>
          <w:szCs w:val="24"/>
        </w:rPr>
      </w:pPr>
    </w:p>
    <w:p w:rsidR="00F464ED" w:rsidRDefault="00F464ED" w:rsidP="008B08E0">
      <w:pPr>
        <w:autoSpaceDE w:val="0"/>
        <w:autoSpaceDN w:val="0"/>
        <w:adjustRightInd w:val="0"/>
        <w:spacing w:after="0" w:line="240" w:lineRule="auto"/>
        <w:rPr>
          <w:i/>
          <w:szCs w:val="24"/>
          <w:lang w:eastAsia="sk-SK"/>
        </w:rPr>
      </w:pPr>
      <w:r w:rsidRPr="00596D64">
        <w:rPr>
          <w:i/>
          <w:szCs w:val="24"/>
          <w:lang w:eastAsia="sk-SK"/>
        </w:rPr>
        <w:t>07K 02 1A Akčný plán znižovania administratívneho bremena v</w:t>
      </w:r>
      <w:r w:rsidR="00981BC9">
        <w:rPr>
          <w:i/>
          <w:szCs w:val="24"/>
          <w:lang w:eastAsia="sk-SK"/>
        </w:rPr>
        <w:t> </w:t>
      </w:r>
      <w:r w:rsidRPr="00596D64">
        <w:rPr>
          <w:i/>
          <w:szCs w:val="24"/>
          <w:lang w:eastAsia="sk-SK"/>
        </w:rPr>
        <w:t>SR</w:t>
      </w:r>
    </w:p>
    <w:p w:rsidR="00981BC9" w:rsidRPr="007D774A" w:rsidRDefault="00981BC9" w:rsidP="008B08E0">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981BC9" w:rsidRPr="00BF60D6" w:rsidTr="00CA3DE2">
        <w:trPr>
          <w:trHeight w:val="712"/>
        </w:trPr>
        <w:tc>
          <w:tcPr>
            <w:tcW w:w="2268" w:type="dxa"/>
            <w:shd w:val="clear" w:color="auto" w:fill="auto"/>
          </w:tcPr>
          <w:p w:rsidR="00981BC9" w:rsidRPr="00BF60D6" w:rsidRDefault="00981BC9"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981BC9" w:rsidRPr="00BF60D6" w:rsidRDefault="00981BC9"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93" w:type="dxa"/>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417"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981BC9" w:rsidRPr="00BF60D6" w:rsidTr="00CA3DE2">
        <w:tc>
          <w:tcPr>
            <w:tcW w:w="2268" w:type="dxa"/>
            <w:shd w:val="clear" w:color="auto" w:fill="auto"/>
          </w:tcPr>
          <w:p w:rsidR="00981BC9" w:rsidRPr="00BF60D6" w:rsidRDefault="00981BC9" w:rsidP="00CA3DE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993" w:type="dxa"/>
          </w:tcPr>
          <w:p w:rsidR="00981BC9" w:rsidRPr="00BF60D6" w:rsidRDefault="00981BC9" w:rsidP="00CA3DE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981BC9" w:rsidRPr="00BF60D6" w:rsidRDefault="00981BC9" w:rsidP="00BF60D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132 776,00</w:t>
            </w:r>
          </w:p>
        </w:tc>
        <w:tc>
          <w:tcPr>
            <w:tcW w:w="1417" w:type="dxa"/>
            <w:shd w:val="clear" w:color="auto" w:fill="auto"/>
          </w:tcPr>
          <w:p w:rsidR="00981BC9" w:rsidRPr="00BF60D6" w:rsidRDefault="00981BC9" w:rsidP="00BF60D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36 647,60</w:t>
            </w:r>
          </w:p>
        </w:tc>
        <w:tc>
          <w:tcPr>
            <w:tcW w:w="1418" w:type="dxa"/>
            <w:shd w:val="clear" w:color="auto" w:fill="auto"/>
          </w:tcPr>
          <w:p w:rsidR="00981BC9" w:rsidRPr="00BF60D6" w:rsidRDefault="00981BC9" w:rsidP="00BF60D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28 800,00</w:t>
            </w:r>
          </w:p>
        </w:tc>
        <w:tc>
          <w:tcPr>
            <w:tcW w:w="1417" w:type="dxa"/>
            <w:shd w:val="clear" w:color="auto" w:fill="auto"/>
          </w:tcPr>
          <w:p w:rsidR="00981BC9" w:rsidRPr="00BF60D6" w:rsidRDefault="00981BC9" w:rsidP="00CA3DE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78,59</w:t>
            </w:r>
          </w:p>
        </w:tc>
      </w:tr>
    </w:tbl>
    <w:p w:rsidR="00F464ED" w:rsidRPr="009F1E92" w:rsidRDefault="00F464ED" w:rsidP="00981BC9">
      <w:pPr>
        <w:autoSpaceDE w:val="0"/>
        <w:autoSpaceDN w:val="0"/>
        <w:adjustRightInd w:val="0"/>
        <w:spacing w:before="240" w:after="0" w:line="240" w:lineRule="auto"/>
        <w:ind w:firstLine="709"/>
        <w:jc w:val="both"/>
        <w:rPr>
          <w:rFonts w:ascii="Times New Roman" w:hAnsi="Times New Roman" w:cs="Times New Roman"/>
          <w:sz w:val="24"/>
          <w:szCs w:val="24"/>
          <w:lang w:eastAsia="sk-SK"/>
        </w:rPr>
      </w:pPr>
      <w:r w:rsidRPr="009F1E92">
        <w:rPr>
          <w:rFonts w:ascii="Times New Roman" w:hAnsi="Times New Roman" w:cs="Times New Roman"/>
          <w:sz w:val="24"/>
          <w:szCs w:val="24"/>
        </w:rPr>
        <w:t xml:space="preserve">Rozpočet </w:t>
      </w:r>
      <w:r w:rsidR="00981BC9">
        <w:rPr>
          <w:rFonts w:ascii="Times New Roman" w:hAnsi="Times New Roman" w:cs="Times New Roman"/>
          <w:sz w:val="24"/>
          <w:szCs w:val="24"/>
        </w:rPr>
        <w:t xml:space="preserve">tovarov a služieb </w:t>
      </w:r>
      <w:r w:rsidRPr="009F1E92">
        <w:rPr>
          <w:rFonts w:ascii="Times New Roman" w:hAnsi="Times New Roman" w:cs="Times New Roman"/>
          <w:sz w:val="24"/>
          <w:szCs w:val="24"/>
        </w:rPr>
        <w:t>na uvedený prvok bol na rok 201</w:t>
      </w:r>
      <w:r w:rsidR="001B6B8E">
        <w:rPr>
          <w:rFonts w:ascii="Times New Roman" w:hAnsi="Times New Roman" w:cs="Times New Roman"/>
          <w:sz w:val="24"/>
          <w:szCs w:val="24"/>
        </w:rPr>
        <w:t>5</w:t>
      </w:r>
      <w:r w:rsidRPr="009F1E92">
        <w:rPr>
          <w:rFonts w:ascii="Times New Roman" w:hAnsi="Times New Roman" w:cs="Times New Roman"/>
          <w:sz w:val="24"/>
          <w:szCs w:val="24"/>
        </w:rPr>
        <w:t xml:space="preserve"> schválený  </w:t>
      </w:r>
      <w:r w:rsidR="00981BC9">
        <w:rPr>
          <w:rFonts w:ascii="Times New Roman" w:hAnsi="Times New Roman" w:cs="Times New Roman"/>
          <w:sz w:val="24"/>
          <w:szCs w:val="24"/>
        </w:rPr>
        <w:t>v sume</w:t>
      </w:r>
      <w:r w:rsidRPr="009F1E92">
        <w:rPr>
          <w:rFonts w:ascii="Times New Roman" w:hAnsi="Times New Roman" w:cs="Times New Roman"/>
          <w:sz w:val="24"/>
          <w:szCs w:val="24"/>
        </w:rPr>
        <w:t xml:space="preserve"> 132 776,00 eur a upravený </w:t>
      </w:r>
      <w:r w:rsidR="00981BC9">
        <w:rPr>
          <w:rFonts w:ascii="Times New Roman" w:hAnsi="Times New Roman" w:cs="Times New Roman"/>
          <w:sz w:val="24"/>
          <w:szCs w:val="24"/>
        </w:rPr>
        <w:t xml:space="preserve">sumu </w:t>
      </w:r>
      <w:r w:rsidR="00981BC9">
        <w:rPr>
          <w:rFonts w:ascii="Times New Roman" w:hAnsi="Times New Roman" w:cs="Times New Roman"/>
          <w:sz w:val="24"/>
          <w:szCs w:val="24"/>
          <w:lang w:eastAsia="sk-SK"/>
        </w:rPr>
        <w:t xml:space="preserve">36 647,60 </w:t>
      </w:r>
      <w:r w:rsidRPr="009F1E92">
        <w:rPr>
          <w:rFonts w:ascii="Times New Roman" w:hAnsi="Times New Roman" w:cs="Times New Roman"/>
          <w:sz w:val="24"/>
          <w:szCs w:val="24"/>
          <w:lang w:eastAsia="sk-SK"/>
        </w:rPr>
        <w:t xml:space="preserve">eur. </w:t>
      </w:r>
      <w:r w:rsidRPr="009F1E92">
        <w:rPr>
          <w:rFonts w:ascii="Times New Roman" w:hAnsi="Times New Roman" w:cs="Times New Roman"/>
          <w:sz w:val="24"/>
          <w:szCs w:val="24"/>
        </w:rPr>
        <w:t xml:space="preserve">V hodnotenom období boli rozpočtové prostriedky čerpané na plnenie predmetu zákazky „Zlepšovanie podnikateľského prostredia na Slovensku prostredníctvom znižovania regulačného zaťaženia“ v rámci ktorého boli </w:t>
      </w:r>
      <w:r w:rsidR="00711665">
        <w:rPr>
          <w:rFonts w:ascii="Times New Roman" w:hAnsi="Times New Roman" w:cs="Times New Roman"/>
          <w:sz w:val="24"/>
          <w:szCs w:val="24"/>
        </w:rPr>
        <w:t xml:space="preserve">výdavky </w:t>
      </w:r>
      <w:r w:rsidRPr="009F1E92">
        <w:rPr>
          <w:rFonts w:ascii="Times New Roman" w:hAnsi="Times New Roman" w:cs="Times New Roman"/>
          <w:sz w:val="24"/>
          <w:szCs w:val="24"/>
        </w:rPr>
        <w:t>použité na úhradu:</w:t>
      </w:r>
    </w:p>
    <w:p w:rsidR="00F464ED" w:rsidRPr="009F1E92"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9F1E92">
        <w:rPr>
          <w:rFonts w:ascii="Times New Roman" w:hAnsi="Times New Roman" w:cs="Times New Roman"/>
          <w:sz w:val="24"/>
          <w:szCs w:val="24"/>
        </w:rPr>
        <w:t>-   analytických činností v oblasti hodnotenia kvality podnikateľského prostredia,</w:t>
      </w:r>
    </w:p>
    <w:p w:rsidR="00F464ED" w:rsidRPr="009F1E92"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9F1E92">
        <w:rPr>
          <w:rFonts w:ascii="Times New Roman" w:hAnsi="Times New Roman" w:cs="Times New Roman"/>
          <w:sz w:val="24"/>
          <w:szCs w:val="24"/>
        </w:rPr>
        <w:t>-   analytických činností v súvislosti s kalkuláciou administratívnych nákladov a záťaže,</w:t>
      </w:r>
    </w:p>
    <w:p w:rsidR="00F464ED" w:rsidRPr="009F1E92"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9F1E92">
        <w:rPr>
          <w:rFonts w:ascii="Times New Roman" w:hAnsi="Times New Roman" w:cs="Times New Roman"/>
          <w:sz w:val="24"/>
          <w:szCs w:val="24"/>
        </w:rPr>
        <w:t>- poradenských a  analytických činností v  súvislosti s  návrhom odporúčaní na zníženie administratívnej záťaže,</w:t>
      </w:r>
    </w:p>
    <w:p w:rsidR="00F464ED" w:rsidRPr="009F1E92"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9F1E92">
        <w:rPr>
          <w:rFonts w:ascii="Times New Roman" w:hAnsi="Times New Roman" w:cs="Times New Roman"/>
          <w:sz w:val="24"/>
          <w:szCs w:val="24"/>
        </w:rPr>
        <w:t>-   analytických činností v súvislosti s identifikáciou kritických oblastí regulácie,</w:t>
      </w:r>
    </w:p>
    <w:p w:rsidR="00F464ED" w:rsidRPr="009F1E92"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9F1E92">
        <w:rPr>
          <w:rFonts w:ascii="Times New Roman" w:hAnsi="Times New Roman" w:cs="Times New Roman"/>
          <w:sz w:val="24"/>
          <w:szCs w:val="24"/>
        </w:rPr>
        <w:t>-   metodického a právneho poradenstva v oblasti ex</w:t>
      </w:r>
      <w:r w:rsidR="004F4255">
        <w:rPr>
          <w:rFonts w:ascii="Times New Roman" w:hAnsi="Times New Roman" w:cs="Times New Roman"/>
          <w:sz w:val="24"/>
          <w:szCs w:val="24"/>
        </w:rPr>
        <w:t xml:space="preserve"> </w:t>
      </w:r>
      <w:r w:rsidRPr="009F1E92">
        <w:rPr>
          <w:rFonts w:ascii="Times New Roman" w:hAnsi="Times New Roman" w:cs="Times New Roman"/>
          <w:sz w:val="24"/>
          <w:szCs w:val="24"/>
        </w:rPr>
        <w:t>ante analýz legislatívy,</w:t>
      </w:r>
    </w:p>
    <w:p w:rsidR="00F464ED" w:rsidRPr="009F1E92" w:rsidRDefault="00F464ED" w:rsidP="009F1E92">
      <w:pPr>
        <w:autoSpaceDE w:val="0"/>
        <w:autoSpaceDN w:val="0"/>
        <w:adjustRightInd w:val="0"/>
        <w:spacing w:after="0" w:line="240" w:lineRule="auto"/>
        <w:ind w:left="284" w:hanging="284"/>
        <w:jc w:val="both"/>
        <w:rPr>
          <w:rFonts w:ascii="Times New Roman" w:hAnsi="Times New Roman" w:cs="Times New Roman"/>
          <w:sz w:val="24"/>
          <w:szCs w:val="24"/>
        </w:rPr>
      </w:pPr>
      <w:r w:rsidRPr="009F1E92">
        <w:rPr>
          <w:rFonts w:ascii="Times New Roman" w:hAnsi="Times New Roman" w:cs="Times New Roman"/>
          <w:sz w:val="24"/>
          <w:szCs w:val="24"/>
        </w:rPr>
        <w:t>-   konzultácií s gestormi Jednotnej metodiky pre posudzovanie vybraných vplyvov počas prípravy   jej aktualizácie.</w:t>
      </w:r>
    </w:p>
    <w:p w:rsidR="00F464ED" w:rsidRPr="009F1E92" w:rsidRDefault="00F464ED" w:rsidP="00981BC9">
      <w:pPr>
        <w:autoSpaceDE w:val="0"/>
        <w:autoSpaceDN w:val="0"/>
        <w:adjustRightInd w:val="0"/>
        <w:spacing w:after="0" w:line="240" w:lineRule="auto"/>
        <w:ind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 Výdavky </w:t>
      </w:r>
      <w:r w:rsidR="00981BC9">
        <w:rPr>
          <w:rFonts w:ascii="Times New Roman" w:hAnsi="Times New Roman" w:cs="Times New Roman"/>
          <w:sz w:val="24"/>
          <w:szCs w:val="24"/>
        </w:rPr>
        <w:t xml:space="preserve">na tovary a služby </w:t>
      </w:r>
      <w:r w:rsidRPr="009F1E92">
        <w:rPr>
          <w:rFonts w:ascii="Times New Roman" w:hAnsi="Times New Roman" w:cs="Times New Roman"/>
          <w:sz w:val="24"/>
          <w:szCs w:val="24"/>
        </w:rPr>
        <w:t>boli vyčerpané v</w:t>
      </w:r>
      <w:r w:rsidR="00981BC9">
        <w:rPr>
          <w:rFonts w:ascii="Times New Roman" w:hAnsi="Times New Roman" w:cs="Times New Roman"/>
          <w:sz w:val="24"/>
          <w:szCs w:val="24"/>
        </w:rPr>
        <w:t> sume 28 800,00</w:t>
      </w:r>
      <w:r w:rsidRPr="009F1E92">
        <w:rPr>
          <w:rFonts w:ascii="Times New Roman" w:hAnsi="Times New Roman" w:cs="Times New Roman"/>
          <w:sz w:val="24"/>
          <w:szCs w:val="24"/>
        </w:rPr>
        <w:t xml:space="preserve"> eur, t. j. </w:t>
      </w:r>
      <w:r w:rsidR="00981BC9">
        <w:rPr>
          <w:rFonts w:ascii="Times New Roman" w:hAnsi="Times New Roman" w:cs="Times New Roman"/>
          <w:sz w:val="24"/>
          <w:szCs w:val="24"/>
        </w:rPr>
        <w:t>78,59</w:t>
      </w:r>
      <w:r w:rsidRPr="009F1E92">
        <w:rPr>
          <w:rFonts w:ascii="Times New Roman" w:hAnsi="Times New Roman" w:cs="Times New Roman"/>
          <w:sz w:val="24"/>
          <w:szCs w:val="24"/>
        </w:rPr>
        <w:t xml:space="preserve"> % z upraveného rozpočtu.</w:t>
      </w:r>
    </w:p>
    <w:p w:rsidR="009A2830" w:rsidRDefault="009A2830" w:rsidP="009F1E92">
      <w:pPr>
        <w:pStyle w:val="Zkladntext2"/>
        <w:tabs>
          <w:tab w:val="left" w:pos="1800"/>
        </w:tabs>
        <w:spacing w:after="0" w:line="240" w:lineRule="auto"/>
        <w:rPr>
          <w:rFonts w:ascii="Times New Roman" w:hAnsi="Times New Roman" w:cs="Times New Roman"/>
          <w:bCs/>
          <w:i/>
          <w:sz w:val="24"/>
          <w:szCs w:val="24"/>
        </w:rPr>
      </w:pPr>
    </w:p>
    <w:p w:rsidR="00F464ED" w:rsidRPr="009F1E92" w:rsidRDefault="00F464ED" w:rsidP="00D35D8B">
      <w:pPr>
        <w:pStyle w:val="Zkladntext2"/>
        <w:spacing w:after="0" w:line="240" w:lineRule="auto"/>
        <w:ind w:left="1134" w:hanging="1134"/>
        <w:rPr>
          <w:rFonts w:ascii="Times New Roman" w:hAnsi="Times New Roman" w:cs="Times New Roman"/>
          <w:bCs/>
          <w:i/>
          <w:sz w:val="24"/>
          <w:szCs w:val="24"/>
        </w:rPr>
      </w:pPr>
      <w:r w:rsidRPr="00596D64">
        <w:rPr>
          <w:i/>
          <w:szCs w:val="24"/>
          <w:lang w:eastAsia="sk-SK"/>
        </w:rPr>
        <w:t>07K 0</w:t>
      </w:r>
      <w:r w:rsidR="00D35D8B" w:rsidRPr="00596D64">
        <w:rPr>
          <w:i/>
          <w:szCs w:val="24"/>
          <w:lang w:eastAsia="sk-SK"/>
        </w:rPr>
        <w:t>3 0</w:t>
      </w:r>
      <w:r w:rsidRPr="00596D64">
        <w:rPr>
          <w:i/>
          <w:szCs w:val="24"/>
          <w:lang w:eastAsia="sk-SK"/>
        </w:rPr>
        <w:t>E</w:t>
      </w:r>
      <w:r w:rsidR="00D35D8B" w:rsidRPr="00596D64">
        <w:rPr>
          <w:i/>
          <w:szCs w:val="24"/>
          <w:lang w:eastAsia="sk-SK"/>
        </w:rPr>
        <w:t xml:space="preserve">  Rozvoj informačných služieb cestovného ruchu, prezentácie regiónov a Slovenska</w:t>
      </w:r>
      <w:r w:rsidR="00D35D8B">
        <w:rPr>
          <w:rFonts w:ascii="Times New Roman" w:hAnsi="Times New Roman" w:cs="Times New Roman"/>
          <w:bCs/>
          <w:i/>
          <w:sz w:val="24"/>
          <w:szCs w:val="24"/>
        </w:rPr>
        <w:t xml:space="preserve"> </w:t>
      </w:r>
      <w:r w:rsidRPr="009F1E92">
        <w:rPr>
          <w:rFonts w:ascii="Times New Roman" w:hAnsi="Times New Roman" w:cs="Times New Roman"/>
          <w:bCs/>
          <w:i/>
          <w:sz w:val="24"/>
          <w:szCs w:val="24"/>
        </w:rPr>
        <w:t xml:space="preserve">(opatrenie </w:t>
      </w:r>
      <w:r w:rsidR="00D35D8B">
        <w:rPr>
          <w:rFonts w:ascii="Times New Roman" w:hAnsi="Times New Roman" w:cs="Times New Roman"/>
          <w:bCs/>
          <w:i/>
          <w:sz w:val="24"/>
          <w:szCs w:val="24"/>
        </w:rPr>
        <w:t>3</w:t>
      </w:r>
      <w:r w:rsidRPr="009F1E92">
        <w:rPr>
          <w:rFonts w:ascii="Times New Roman" w:hAnsi="Times New Roman" w:cs="Times New Roman"/>
          <w:bCs/>
          <w:i/>
          <w:sz w:val="24"/>
          <w:szCs w:val="24"/>
        </w:rPr>
        <w:t>.</w:t>
      </w:r>
      <w:r w:rsidR="00D35D8B">
        <w:rPr>
          <w:rFonts w:ascii="Times New Roman" w:hAnsi="Times New Roman" w:cs="Times New Roman"/>
          <w:bCs/>
          <w:i/>
          <w:sz w:val="24"/>
          <w:szCs w:val="24"/>
        </w:rPr>
        <w:t>2</w:t>
      </w:r>
      <w:r w:rsidRPr="009F1E92">
        <w:rPr>
          <w:rFonts w:ascii="Times New Roman" w:hAnsi="Times New Roman" w:cs="Times New Roman"/>
          <w:bCs/>
          <w:i/>
          <w:sz w:val="24"/>
          <w:szCs w:val="24"/>
        </w:rPr>
        <w:t xml:space="preserve"> - OP KaHR)</w:t>
      </w:r>
    </w:p>
    <w:p w:rsidR="008B08E0" w:rsidRPr="00BF60D6" w:rsidRDefault="008B08E0" w:rsidP="008B08E0">
      <w:pPr>
        <w:autoSpaceDE w:val="0"/>
        <w:autoSpaceDN w:val="0"/>
        <w:adjustRightInd w:val="0"/>
        <w:spacing w:after="0" w:line="240" w:lineRule="auto"/>
        <w:jc w:val="right"/>
        <w:rPr>
          <w:i/>
          <w:lang w:eastAsia="sk-SK"/>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93"/>
        <w:gridCol w:w="1559"/>
        <w:gridCol w:w="1417"/>
        <w:gridCol w:w="1418"/>
        <w:gridCol w:w="1417"/>
      </w:tblGrid>
      <w:tr w:rsidR="008B08E0" w:rsidRPr="00BF60D6" w:rsidTr="00CA3DE2">
        <w:trPr>
          <w:trHeight w:val="716"/>
        </w:trPr>
        <w:tc>
          <w:tcPr>
            <w:tcW w:w="2268" w:type="dxa"/>
            <w:shd w:val="clear" w:color="auto" w:fill="auto"/>
          </w:tcPr>
          <w:p w:rsidR="008B08E0" w:rsidRPr="00BF60D6" w:rsidRDefault="008B08E0"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8B08E0" w:rsidRPr="00BF60D6" w:rsidRDefault="008B08E0"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93" w:type="dxa"/>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417"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8B08E0" w:rsidRPr="00BF60D6" w:rsidRDefault="008B08E0" w:rsidP="00CA3DE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8B08E0" w:rsidRPr="00BF60D6" w:rsidTr="00CA3DE2">
        <w:tc>
          <w:tcPr>
            <w:tcW w:w="2268" w:type="dxa"/>
            <w:shd w:val="clear" w:color="auto" w:fill="auto"/>
          </w:tcPr>
          <w:p w:rsidR="008B08E0" w:rsidRPr="00BF60D6" w:rsidRDefault="008B08E0" w:rsidP="00CA3DE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993" w:type="dxa"/>
          </w:tcPr>
          <w:p w:rsidR="008B08E0" w:rsidRPr="00BF60D6" w:rsidRDefault="008B08E0" w:rsidP="00CA3DE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11S1</w:t>
            </w:r>
          </w:p>
          <w:p w:rsidR="008B08E0" w:rsidRPr="00BF60D6" w:rsidRDefault="00F26A76" w:rsidP="00F26A76">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11S2</w:t>
            </w:r>
          </w:p>
        </w:tc>
        <w:tc>
          <w:tcPr>
            <w:tcW w:w="1559"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5 452 118,00</w:t>
            </w:r>
          </w:p>
          <w:p w:rsidR="008B08E0" w:rsidRPr="00BF60D6" w:rsidRDefault="00F26A76" w:rsidP="00F26A7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962 139,00</w:t>
            </w:r>
          </w:p>
        </w:tc>
        <w:tc>
          <w:tcPr>
            <w:tcW w:w="1417"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p w:rsidR="008B08E0" w:rsidRPr="00BF60D6" w:rsidRDefault="00F26A76" w:rsidP="00F26A7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p w:rsidR="008B08E0" w:rsidRPr="00BF60D6" w:rsidRDefault="00F26A76" w:rsidP="00F26A76">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8B08E0" w:rsidRPr="00BF60D6" w:rsidRDefault="008B08E0" w:rsidP="008B08E0">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p w:rsidR="008B08E0" w:rsidRPr="00BF60D6" w:rsidRDefault="00F26A76" w:rsidP="00F26A76">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0,00</w:t>
            </w:r>
          </w:p>
        </w:tc>
      </w:tr>
      <w:tr w:rsidR="008B08E0" w:rsidRPr="00BF60D6" w:rsidTr="00CA3DE2">
        <w:trPr>
          <w:trHeight w:val="307"/>
        </w:trPr>
        <w:tc>
          <w:tcPr>
            <w:tcW w:w="2268" w:type="dxa"/>
            <w:shd w:val="clear" w:color="auto" w:fill="auto"/>
          </w:tcPr>
          <w:p w:rsidR="008B08E0" w:rsidRPr="00BF60D6" w:rsidRDefault="008B08E0" w:rsidP="00CA3DE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993" w:type="dxa"/>
          </w:tcPr>
          <w:p w:rsidR="008B08E0" w:rsidRPr="00BF60D6" w:rsidRDefault="008B08E0" w:rsidP="00CA3DE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6 414 257,00</w:t>
            </w:r>
          </w:p>
        </w:tc>
        <w:tc>
          <w:tcPr>
            <w:tcW w:w="1417"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8" w:type="dxa"/>
            <w:shd w:val="clear" w:color="auto" w:fill="auto"/>
          </w:tcPr>
          <w:p w:rsidR="008B08E0" w:rsidRPr="00BF60D6" w:rsidRDefault="008B08E0" w:rsidP="008B08E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7" w:type="dxa"/>
            <w:shd w:val="clear" w:color="auto" w:fill="auto"/>
          </w:tcPr>
          <w:p w:rsidR="008B08E0" w:rsidRPr="00BF60D6" w:rsidRDefault="008B08E0" w:rsidP="008B08E0">
            <w:pPr>
              <w:autoSpaceDE w:val="0"/>
              <w:autoSpaceDN w:val="0"/>
              <w:adjustRightInd w:val="0"/>
              <w:spacing w:after="0" w:line="240" w:lineRule="auto"/>
              <w:jc w:val="center"/>
              <w:rPr>
                <w:rFonts w:ascii="Times New Roman" w:hAnsi="Times New Roman" w:cs="Times New Roman"/>
                <w:b/>
                <w:lang w:eastAsia="sk-SK"/>
              </w:rPr>
            </w:pPr>
            <w:r w:rsidRPr="00BF60D6">
              <w:rPr>
                <w:rFonts w:ascii="Times New Roman" w:hAnsi="Times New Roman" w:cs="Times New Roman"/>
                <w:b/>
                <w:lang w:eastAsia="sk-SK"/>
              </w:rPr>
              <w:t>0,00</w:t>
            </w:r>
          </w:p>
        </w:tc>
      </w:tr>
    </w:tbl>
    <w:p w:rsidR="008B08E0" w:rsidRPr="00370DBE" w:rsidRDefault="008B08E0" w:rsidP="006B7B75">
      <w:pPr>
        <w:autoSpaceDE w:val="0"/>
        <w:autoSpaceDN w:val="0"/>
        <w:adjustRightInd w:val="0"/>
        <w:spacing w:after="0" w:line="240" w:lineRule="auto"/>
        <w:ind w:firstLine="709"/>
        <w:rPr>
          <w:rFonts w:ascii="Times New Roman" w:hAnsi="Times New Roman" w:cs="Times New Roman"/>
          <w:bCs/>
          <w:i/>
          <w:sz w:val="24"/>
          <w:szCs w:val="24"/>
        </w:rPr>
      </w:pPr>
    </w:p>
    <w:p w:rsidR="00D35D8B" w:rsidRPr="00370DBE" w:rsidRDefault="00D35D8B" w:rsidP="00370DBE">
      <w:pPr>
        <w:autoSpaceDE w:val="0"/>
        <w:autoSpaceDN w:val="0"/>
        <w:adjustRightInd w:val="0"/>
        <w:spacing w:line="240" w:lineRule="auto"/>
        <w:ind w:firstLine="540"/>
        <w:jc w:val="both"/>
        <w:rPr>
          <w:rFonts w:ascii="Times New Roman" w:hAnsi="Times New Roman" w:cs="Times New Roman"/>
          <w:bCs/>
          <w:sz w:val="24"/>
          <w:szCs w:val="24"/>
        </w:rPr>
      </w:pPr>
      <w:r w:rsidRPr="00370DBE">
        <w:rPr>
          <w:rFonts w:ascii="Times New Roman" w:hAnsi="Times New Roman" w:cs="Times New Roman"/>
          <w:color w:val="000000"/>
          <w:sz w:val="24"/>
          <w:szCs w:val="24"/>
        </w:rPr>
        <w:t xml:space="preserve">Cieľom opatrenia je zlepšenie úrovne prezentácie Slovenska a dobudovanie jednotného informačného systému cestovného ruchu. Podpora propagácie slovenského cestovného ruchu doma i v zahraničí má prispieť k vytvoreniu priaznivého obrazu o Slovensku ako krajine cestovného ruchu s bohatým kultúrnym a historickým dedičstvom s množstvom prírodných krás. </w:t>
      </w:r>
      <w:r w:rsidR="009E6A08" w:rsidRPr="00370DBE">
        <w:rPr>
          <w:rFonts w:ascii="Times New Roman" w:hAnsi="Times New Roman" w:cs="Times New Roman"/>
          <w:color w:val="000000"/>
          <w:sz w:val="24"/>
          <w:szCs w:val="24"/>
        </w:rPr>
        <w:t xml:space="preserve">Na uvedené </w:t>
      </w:r>
      <w:r w:rsidRPr="00370DBE">
        <w:rPr>
          <w:rFonts w:ascii="Times New Roman" w:hAnsi="Times New Roman" w:cs="Times New Roman"/>
          <w:bCs/>
          <w:color w:val="000000"/>
          <w:sz w:val="24"/>
          <w:szCs w:val="24"/>
        </w:rPr>
        <w:t>opatreni</w:t>
      </w:r>
      <w:r w:rsidR="009E6A08" w:rsidRPr="00370DBE">
        <w:rPr>
          <w:rFonts w:ascii="Times New Roman" w:hAnsi="Times New Roman" w:cs="Times New Roman"/>
          <w:bCs/>
          <w:color w:val="000000"/>
          <w:sz w:val="24"/>
          <w:szCs w:val="24"/>
        </w:rPr>
        <w:t>e</w:t>
      </w:r>
      <w:r w:rsidRPr="00370DBE">
        <w:rPr>
          <w:rFonts w:ascii="Times New Roman" w:hAnsi="Times New Roman" w:cs="Times New Roman"/>
          <w:bCs/>
          <w:color w:val="000000"/>
          <w:sz w:val="24"/>
          <w:szCs w:val="24"/>
        </w:rPr>
        <w:t xml:space="preserve"> bol</w:t>
      </w:r>
      <w:r w:rsidR="009E6A08" w:rsidRPr="00370DBE">
        <w:rPr>
          <w:rFonts w:ascii="Times New Roman" w:hAnsi="Times New Roman" w:cs="Times New Roman"/>
          <w:bCs/>
          <w:color w:val="000000"/>
          <w:sz w:val="24"/>
          <w:szCs w:val="24"/>
        </w:rPr>
        <w:t xml:space="preserve"> schválený rozpočet výdavkov na tovary a služby v</w:t>
      </w:r>
      <w:r w:rsidR="00711665">
        <w:rPr>
          <w:rFonts w:ascii="Times New Roman" w:hAnsi="Times New Roman" w:cs="Times New Roman"/>
          <w:bCs/>
          <w:color w:val="000000"/>
          <w:sz w:val="24"/>
          <w:szCs w:val="24"/>
        </w:rPr>
        <w:t> </w:t>
      </w:r>
      <w:r w:rsidR="009E6A08" w:rsidRPr="00370DBE">
        <w:rPr>
          <w:rFonts w:ascii="Times New Roman" w:hAnsi="Times New Roman" w:cs="Times New Roman"/>
          <w:bCs/>
          <w:color w:val="000000"/>
          <w:sz w:val="24"/>
          <w:szCs w:val="24"/>
        </w:rPr>
        <w:t>sume</w:t>
      </w:r>
      <w:r w:rsidR="00711665">
        <w:rPr>
          <w:rFonts w:ascii="Times New Roman" w:hAnsi="Times New Roman" w:cs="Times New Roman"/>
          <w:bCs/>
          <w:color w:val="000000"/>
          <w:sz w:val="24"/>
          <w:szCs w:val="24"/>
        </w:rPr>
        <w:t xml:space="preserve">         </w:t>
      </w:r>
      <w:r w:rsidR="009E6A08" w:rsidRPr="00370DBE">
        <w:rPr>
          <w:rFonts w:ascii="Times New Roman" w:hAnsi="Times New Roman" w:cs="Times New Roman"/>
          <w:bCs/>
          <w:color w:val="000000"/>
          <w:sz w:val="24"/>
          <w:szCs w:val="24"/>
        </w:rPr>
        <w:t xml:space="preserve"> </w:t>
      </w:r>
      <w:r w:rsidR="009E6A08" w:rsidRPr="00370DBE">
        <w:rPr>
          <w:rFonts w:ascii="Times New Roman" w:hAnsi="Times New Roman" w:cs="Times New Roman"/>
          <w:sz w:val="24"/>
          <w:szCs w:val="24"/>
          <w:lang w:eastAsia="sk-SK"/>
        </w:rPr>
        <w:t>6 414 257,00</w:t>
      </w:r>
      <w:r w:rsidRPr="00370DBE">
        <w:rPr>
          <w:rFonts w:ascii="Times New Roman" w:hAnsi="Times New Roman" w:cs="Times New Roman"/>
          <w:bCs/>
          <w:color w:val="000000"/>
          <w:sz w:val="24"/>
          <w:szCs w:val="24"/>
        </w:rPr>
        <w:t xml:space="preserve">  eur</w:t>
      </w:r>
      <w:r w:rsidRPr="00370DBE">
        <w:rPr>
          <w:rFonts w:ascii="Times New Roman" w:hAnsi="Times New Roman" w:cs="Times New Roman"/>
          <w:bCs/>
          <w:sz w:val="24"/>
          <w:szCs w:val="24"/>
        </w:rPr>
        <w:t>.</w:t>
      </w:r>
      <w:r w:rsidR="009E6A08" w:rsidRPr="00370DBE">
        <w:rPr>
          <w:rFonts w:ascii="Times New Roman" w:hAnsi="Times New Roman" w:cs="Times New Roman"/>
          <w:bCs/>
          <w:sz w:val="24"/>
          <w:szCs w:val="24"/>
        </w:rPr>
        <w:t xml:space="preserve"> Rozpočtovým opatrením MF SR bol rozpočet upravený na 0,00 eur a výdavky čerpané neboli.</w:t>
      </w:r>
    </w:p>
    <w:p w:rsidR="00032159" w:rsidRPr="009F1E92" w:rsidRDefault="00032159" w:rsidP="009F1E92">
      <w:pPr>
        <w:spacing w:after="0" w:line="240" w:lineRule="auto"/>
        <w:ind w:right="26"/>
        <w:jc w:val="both"/>
        <w:rPr>
          <w:rFonts w:ascii="Times New Roman" w:hAnsi="Times New Roman" w:cs="Times New Roman"/>
          <w:b/>
          <w:i/>
          <w:sz w:val="24"/>
          <w:szCs w:val="24"/>
        </w:rPr>
      </w:pPr>
      <w:r w:rsidRPr="009F1E92">
        <w:rPr>
          <w:rFonts w:ascii="Times New Roman" w:hAnsi="Times New Roman" w:cs="Times New Roman"/>
          <w:b/>
          <w:i/>
          <w:sz w:val="24"/>
          <w:szCs w:val="24"/>
        </w:rPr>
        <w:t xml:space="preserve">07L – </w:t>
      </w:r>
      <w:r w:rsidR="004E7E57" w:rsidRPr="009F1E92">
        <w:rPr>
          <w:rFonts w:ascii="Times New Roman" w:hAnsi="Times New Roman" w:cs="Times New Roman"/>
          <w:b/>
          <w:i/>
          <w:sz w:val="24"/>
          <w:szCs w:val="24"/>
        </w:rPr>
        <w:t>Tvorba a implementácia politík</w:t>
      </w:r>
    </w:p>
    <w:p w:rsidR="00711665" w:rsidRDefault="00711665" w:rsidP="00711665">
      <w:pPr>
        <w:spacing w:after="0" w:line="240" w:lineRule="auto"/>
        <w:ind w:firstLine="540"/>
        <w:jc w:val="both"/>
        <w:rPr>
          <w:rFonts w:ascii="Times New Roman" w:hAnsi="Times New Roman" w:cs="Times New Roman"/>
          <w:sz w:val="24"/>
          <w:szCs w:val="24"/>
        </w:rPr>
      </w:pPr>
    </w:p>
    <w:p w:rsidR="00711665" w:rsidRDefault="00711665" w:rsidP="00711665">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Čerpanie výdavkov </w:t>
      </w:r>
      <w:r>
        <w:rPr>
          <w:rFonts w:ascii="Times New Roman" w:hAnsi="Times New Roman" w:cs="Times New Roman"/>
          <w:sz w:val="24"/>
          <w:szCs w:val="24"/>
        </w:rPr>
        <w:t xml:space="preserve">podľa jednotlivých zdrojov </w:t>
      </w:r>
      <w:r w:rsidRPr="009F1E92">
        <w:rPr>
          <w:rFonts w:ascii="Times New Roman" w:hAnsi="Times New Roman" w:cs="Times New Roman"/>
          <w:sz w:val="24"/>
          <w:szCs w:val="24"/>
        </w:rPr>
        <w:t xml:space="preserve">v kategórii 630 – Tovary a služby </w:t>
      </w:r>
      <w:r>
        <w:rPr>
          <w:rFonts w:ascii="Times New Roman" w:hAnsi="Times New Roman" w:cs="Times New Roman"/>
          <w:sz w:val="24"/>
          <w:szCs w:val="24"/>
        </w:rPr>
        <w:t xml:space="preserve">v programe </w:t>
      </w:r>
      <w:r w:rsidRPr="00711665">
        <w:rPr>
          <w:rFonts w:ascii="Times New Roman" w:hAnsi="Times New Roman" w:cs="Times New Roman"/>
          <w:i/>
          <w:sz w:val="24"/>
          <w:szCs w:val="24"/>
        </w:rPr>
        <w:t>07L – Tvorba a implementácia politík</w:t>
      </w:r>
      <w:r>
        <w:rPr>
          <w:rFonts w:ascii="Times New Roman" w:hAnsi="Times New Roman" w:cs="Times New Roman"/>
          <w:sz w:val="24"/>
          <w:szCs w:val="24"/>
        </w:rPr>
        <w:t xml:space="preserve"> </w:t>
      </w:r>
      <w:r w:rsidRPr="009F1E92">
        <w:rPr>
          <w:rFonts w:ascii="Times New Roman" w:hAnsi="Times New Roman" w:cs="Times New Roman"/>
          <w:sz w:val="24"/>
          <w:szCs w:val="24"/>
        </w:rPr>
        <w:t>bolo vykázané nasledovne: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701"/>
        <w:gridCol w:w="1417"/>
        <w:gridCol w:w="1418"/>
        <w:gridCol w:w="1417"/>
      </w:tblGrid>
      <w:tr w:rsidR="0059693B" w:rsidRPr="00B257AC" w:rsidTr="005230B1">
        <w:trPr>
          <w:trHeight w:val="785"/>
        </w:trPr>
        <w:tc>
          <w:tcPr>
            <w:tcW w:w="2268" w:type="dxa"/>
            <w:tcBorders>
              <w:top w:val="single" w:sz="4" w:space="0" w:color="auto"/>
              <w:left w:val="single" w:sz="4" w:space="0" w:color="auto"/>
              <w:bottom w:val="single" w:sz="4" w:space="0" w:color="auto"/>
              <w:right w:val="single" w:sz="4" w:space="0" w:color="auto"/>
            </w:tcBorders>
            <w:shd w:val="clear" w:color="auto" w:fill="auto"/>
          </w:tcPr>
          <w:p w:rsidR="0059693B" w:rsidRPr="00B257AC" w:rsidRDefault="0059693B" w:rsidP="009F1E92">
            <w:pPr>
              <w:spacing w:after="0" w:line="240" w:lineRule="auto"/>
              <w:jc w:val="both"/>
              <w:rPr>
                <w:rFonts w:ascii="Times New Roman" w:eastAsia="Times New Roman" w:hAnsi="Times New Roman" w:cs="Times New Roman"/>
                <w:b/>
              </w:rPr>
            </w:pPr>
            <w:r w:rsidRPr="00B257AC">
              <w:rPr>
                <w:rFonts w:ascii="Times New Roman" w:eastAsia="Times New Roman" w:hAnsi="Times New Roman" w:cs="Times New Roman"/>
                <w:b/>
              </w:rPr>
              <w:t>Ekonomická</w:t>
            </w:r>
          </w:p>
          <w:p w:rsidR="0059693B" w:rsidRPr="00B257AC" w:rsidRDefault="0059693B" w:rsidP="009F1E92">
            <w:pPr>
              <w:spacing w:after="0" w:line="240" w:lineRule="auto"/>
              <w:jc w:val="both"/>
              <w:rPr>
                <w:rFonts w:ascii="Times New Roman" w:eastAsia="Times New Roman" w:hAnsi="Times New Roman" w:cs="Times New Roman"/>
                <w:b/>
              </w:rPr>
            </w:pPr>
            <w:r w:rsidRPr="00B257AC">
              <w:rPr>
                <w:rFonts w:ascii="Times New Roman" w:eastAsia="Times New Roman" w:hAnsi="Times New Roman" w:cs="Times New Roman"/>
                <w:b/>
              </w:rPr>
              <w:t>klasifikácia</w:t>
            </w:r>
          </w:p>
        </w:tc>
        <w:tc>
          <w:tcPr>
            <w:tcW w:w="851" w:type="dxa"/>
            <w:tcBorders>
              <w:left w:val="single" w:sz="4" w:space="0" w:color="auto"/>
            </w:tcBorders>
          </w:tcPr>
          <w:p w:rsidR="0059693B" w:rsidRPr="00B257AC" w:rsidRDefault="0059693B" w:rsidP="009F1E92">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Zdroj</w:t>
            </w:r>
          </w:p>
        </w:tc>
        <w:tc>
          <w:tcPr>
            <w:tcW w:w="1701" w:type="dxa"/>
            <w:shd w:val="clear" w:color="auto" w:fill="auto"/>
          </w:tcPr>
          <w:p w:rsidR="0059693B" w:rsidRPr="00B257AC" w:rsidRDefault="0059693B" w:rsidP="0059693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Schválený</w:t>
            </w:r>
          </w:p>
          <w:p w:rsidR="0059693B" w:rsidRPr="00B257AC" w:rsidRDefault="0059693B" w:rsidP="0059693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rozpočet k 1.1.2015</w:t>
            </w:r>
          </w:p>
        </w:tc>
        <w:tc>
          <w:tcPr>
            <w:tcW w:w="1417" w:type="dxa"/>
            <w:shd w:val="clear" w:color="auto" w:fill="auto"/>
          </w:tcPr>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Upravený</w:t>
            </w:r>
          </w:p>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rozpočet k 31.12.2015</w:t>
            </w:r>
          </w:p>
        </w:tc>
        <w:tc>
          <w:tcPr>
            <w:tcW w:w="1418" w:type="dxa"/>
            <w:shd w:val="clear" w:color="auto" w:fill="auto"/>
          </w:tcPr>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Čerpanie k</w:t>
            </w:r>
          </w:p>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31.12.2015</w:t>
            </w:r>
          </w:p>
        </w:tc>
        <w:tc>
          <w:tcPr>
            <w:tcW w:w="1417" w:type="dxa"/>
            <w:shd w:val="clear" w:color="auto" w:fill="auto"/>
          </w:tcPr>
          <w:p w:rsidR="0059693B" w:rsidRPr="00B257AC" w:rsidRDefault="0059693B" w:rsidP="00D35D8B">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 čerpania k uprav. rozpočtu</w:t>
            </w:r>
          </w:p>
        </w:tc>
      </w:tr>
      <w:tr w:rsidR="004E7E57" w:rsidRPr="00B257AC" w:rsidTr="005230B1">
        <w:tc>
          <w:tcPr>
            <w:tcW w:w="2268" w:type="dxa"/>
            <w:tcBorders>
              <w:top w:val="single" w:sz="4" w:space="0" w:color="auto"/>
              <w:left w:val="single" w:sz="4" w:space="0" w:color="auto"/>
              <w:bottom w:val="nil"/>
              <w:right w:val="single" w:sz="4" w:space="0" w:color="auto"/>
            </w:tcBorders>
            <w:shd w:val="clear" w:color="auto" w:fill="auto"/>
          </w:tcPr>
          <w:p w:rsidR="004E7E57" w:rsidRPr="00B257AC" w:rsidRDefault="004E7E57" w:rsidP="009F1E92">
            <w:pPr>
              <w:spacing w:after="0" w:line="240" w:lineRule="auto"/>
              <w:jc w:val="both"/>
              <w:rPr>
                <w:rFonts w:ascii="Times New Roman" w:eastAsia="Times New Roman" w:hAnsi="Times New Roman" w:cs="Times New Roman"/>
              </w:rPr>
            </w:pPr>
            <w:r w:rsidRPr="00B257AC">
              <w:rPr>
                <w:rFonts w:ascii="Times New Roman" w:eastAsia="Times New Roman" w:hAnsi="Times New Roman" w:cs="Times New Roman"/>
              </w:rPr>
              <w:t>630 – tovary a služby</w:t>
            </w:r>
          </w:p>
        </w:tc>
        <w:tc>
          <w:tcPr>
            <w:tcW w:w="851" w:type="dxa"/>
            <w:tcBorders>
              <w:left w:val="single" w:sz="4" w:space="0" w:color="auto"/>
            </w:tcBorders>
          </w:tcPr>
          <w:p w:rsidR="004E7E57" w:rsidRPr="00B257AC" w:rsidRDefault="004E7E57"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111</w:t>
            </w:r>
          </w:p>
        </w:tc>
        <w:tc>
          <w:tcPr>
            <w:tcW w:w="1701" w:type="dxa"/>
            <w:shd w:val="clear" w:color="auto" w:fill="auto"/>
          </w:tcPr>
          <w:p w:rsidR="004E7E57" w:rsidRPr="00B257AC" w:rsidRDefault="003A7BFC"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8 184 944,00</w:t>
            </w:r>
          </w:p>
        </w:tc>
        <w:tc>
          <w:tcPr>
            <w:tcW w:w="1417"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8 964 590,88</w:t>
            </w:r>
          </w:p>
        </w:tc>
        <w:tc>
          <w:tcPr>
            <w:tcW w:w="1418"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8 871 498,85</w:t>
            </w:r>
          </w:p>
        </w:tc>
        <w:tc>
          <w:tcPr>
            <w:tcW w:w="1417" w:type="dxa"/>
            <w:shd w:val="clear" w:color="auto" w:fill="auto"/>
          </w:tcPr>
          <w:p w:rsidR="004E7E57"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 xml:space="preserve"> 98,97</w:t>
            </w:r>
          </w:p>
        </w:tc>
      </w:tr>
      <w:tr w:rsidR="004E7E57" w:rsidRPr="00B257AC" w:rsidTr="005230B1">
        <w:tc>
          <w:tcPr>
            <w:tcW w:w="2268" w:type="dxa"/>
            <w:tcBorders>
              <w:top w:val="nil"/>
              <w:left w:val="single" w:sz="4" w:space="0" w:color="auto"/>
              <w:bottom w:val="nil"/>
              <w:right w:val="single" w:sz="4" w:space="0" w:color="auto"/>
            </w:tcBorders>
            <w:shd w:val="clear" w:color="auto" w:fill="auto"/>
          </w:tcPr>
          <w:p w:rsidR="004E7E57" w:rsidRPr="00B257AC" w:rsidRDefault="004E7E57"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4E7E57" w:rsidRPr="00B257AC" w:rsidRDefault="004E7E57"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11S1</w:t>
            </w:r>
          </w:p>
        </w:tc>
        <w:tc>
          <w:tcPr>
            <w:tcW w:w="1701" w:type="dxa"/>
            <w:shd w:val="clear" w:color="auto" w:fill="auto"/>
          </w:tcPr>
          <w:p w:rsidR="004E7E57" w:rsidRPr="00B257AC" w:rsidRDefault="003A7BFC"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4 941 799,00</w:t>
            </w:r>
          </w:p>
        </w:tc>
        <w:tc>
          <w:tcPr>
            <w:tcW w:w="1417"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8"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7" w:type="dxa"/>
            <w:shd w:val="clear" w:color="auto" w:fill="auto"/>
          </w:tcPr>
          <w:p w:rsidR="004E7E57"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 xml:space="preserve">   0,00</w:t>
            </w:r>
          </w:p>
        </w:tc>
      </w:tr>
      <w:tr w:rsidR="005D2422" w:rsidRPr="00B257AC" w:rsidTr="005230B1">
        <w:tc>
          <w:tcPr>
            <w:tcW w:w="2268" w:type="dxa"/>
            <w:tcBorders>
              <w:top w:val="nil"/>
              <w:left w:val="single" w:sz="4" w:space="0" w:color="auto"/>
              <w:bottom w:val="nil"/>
              <w:right w:val="single" w:sz="4" w:space="0" w:color="auto"/>
            </w:tcBorders>
            <w:shd w:val="clear" w:color="auto" w:fill="auto"/>
          </w:tcPr>
          <w:p w:rsidR="005D2422" w:rsidRPr="00B257AC" w:rsidRDefault="005D2422"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D2422" w:rsidRPr="00B257AC" w:rsidRDefault="005D2422" w:rsidP="005D242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11U1</w:t>
            </w:r>
          </w:p>
        </w:tc>
        <w:tc>
          <w:tcPr>
            <w:tcW w:w="1701" w:type="dxa"/>
            <w:shd w:val="clear" w:color="auto" w:fill="auto"/>
          </w:tcPr>
          <w:p w:rsidR="005D2422"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877 225,00</w:t>
            </w:r>
          </w:p>
        </w:tc>
        <w:tc>
          <w:tcPr>
            <w:tcW w:w="1417" w:type="dxa"/>
            <w:shd w:val="clear" w:color="auto" w:fill="auto"/>
          </w:tcPr>
          <w:p w:rsidR="005D2422"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7 607,50</w:t>
            </w:r>
          </w:p>
        </w:tc>
        <w:tc>
          <w:tcPr>
            <w:tcW w:w="1418" w:type="dxa"/>
            <w:shd w:val="clear" w:color="auto" w:fill="auto"/>
          </w:tcPr>
          <w:p w:rsidR="005D2422"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7 607,50</w:t>
            </w:r>
          </w:p>
        </w:tc>
        <w:tc>
          <w:tcPr>
            <w:tcW w:w="1417" w:type="dxa"/>
            <w:shd w:val="clear" w:color="auto" w:fill="auto"/>
          </w:tcPr>
          <w:p w:rsidR="005D2422"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100,00</w:t>
            </w:r>
          </w:p>
        </w:tc>
      </w:tr>
      <w:tr w:rsidR="004E7E57" w:rsidRPr="00B257AC" w:rsidTr="005230B1">
        <w:tc>
          <w:tcPr>
            <w:tcW w:w="2268" w:type="dxa"/>
            <w:tcBorders>
              <w:top w:val="nil"/>
              <w:left w:val="single" w:sz="4" w:space="0" w:color="auto"/>
              <w:bottom w:val="nil"/>
              <w:right w:val="single" w:sz="4" w:space="0" w:color="auto"/>
            </w:tcBorders>
            <w:shd w:val="clear" w:color="auto" w:fill="auto"/>
          </w:tcPr>
          <w:p w:rsidR="004E7E57" w:rsidRPr="00B257AC" w:rsidRDefault="004E7E57"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4E7E57" w:rsidRPr="00B257AC" w:rsidRDefault="004E7E57"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11S2</w:t>
            </w:r>
          </w:p>
        </w:tc>
        <w:tc>
          <w:tcPr>
            <w:tcW w:w="1701" w:type="dxa"/>
            <w:shd w:val="clear" w:color="auto" w:fill="auto"/>
          </w:tcPr>
          <w:p w:rsidR="004E7E57" w:rsidRPr="00B257AC" w:rsidRDefault="003A7BFC"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877 225,00</w:t>
            </w:r>
          </w:p>
        </w:tc>
        <w:tc>
          <w:tcPr>
            <w:tcW w:w="1417"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8"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7" w:type="dxa"/>
            <w:shd w:val="clear" w:color="auto" w:fill="auto"/>
          </w:tcPr>
          <w:p w:rsidR="004E7E57"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 xml:space="preserve">   0,00</w:t>
            </w:r>
          </w:p>
        </w:tc>
      </w:tr>
      <w:tr w:rsidR="00E31643" w:rsidRPr="00B257AC" w:rsidTr="005230B1">
        <w:tc>
          <w:tcPr>
            <w:tcW w:w="2268" w:type="dxa"/>
            <w:tcBorders>
              <w:top w:val="nil"/>
              <w:left w:val="single" w:sz="4" w:space="0" w:color="auto"/>
              <w:bottom w:val="nil"/>
              <w:right w:val="single" w:sz="4" w:space="0" w:color="auto"/>
            </w:tcBorders>
            <w:shd w:val="clear" w:color="auto" w:fill="auto"/>
          </w:tcPr>
          <w:p w:rsidR="00E31643" w:rsidRPr="00B257AC" w:rsidRDefault="00E31643"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E31643" w:rsidRPr="00B257AC" w:rsidRDefault="005D2422"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11U2</w:t>
            </w:r>
          </w:p>
        </w:tc>
        <w:tc>
          <w:tcPr>
            <w:tcW w:w="1701" w:type="dxa"/>
            <w:shd w:val="clear" w:color="auto" w:fill="auto"/>
          </w:tcPr>
          <w:p w:rsidR="00E31643" w:rsidRPr="00B257AC" w:rsidRDefault="00E31643"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7" w:type="dxa"/>
            <w:shd w:val="clear" w:color="auto" w:fill="auto"/>
          </w:tcPr>
          <w:p w:rsidR="00E31643"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1 342,50</w:t>
            </w:r>
          </w:p>
        </w:tc>
        <w:tc>
          <w:tcPr>
            <w:tcW w:w="1418" w:type="dxa"/>
            <w:shd w:val="clear" w:color="auto" w:fill="auto"/>
          </w:tcPr>
          <w:p w:rsidR="00E31643"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1 342,50</w:t>
            </w:r>
          </w:p>
        </w:tc>
        <w:tc>
          <w:tcPr>
            <w:tcW w:w="1417" w:type="dxa"/>
            <w:shd w:val="clear" w:color="auto" w:fill="auto"/>
          </w:tcPr>
          <w:p w:rsidR="00E31643"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100,00</w:t>
            </w:r>
          </w:p>
        </w:tc>
      </w:tr>
      <w:tr w:rsidR="005D2422" w:rsidRPr="00B257AC" w:rsidTr="005230B1">
        <w:tc>
          <w:tcPr>
            <w:tcW w:w="2268" w:type="dxa"/>
            <w:tcBorders>
              <w:top w:val="nil"/>
              <w:left w:val="single" w:sz="4" w:space="0" w:color="auto"/>
              <w:bottom w:val="nil"/>
              <w:right w:val="single" w:sz="4" w:space="0" w:color="auto"/>
            </w:tcBorders>
            <w:shd w:val="clear" w:color="auto" w:fill="auto"/>
          </w:tcPr>
          <w:p w:rsidR="005D2422" w:rsidRPr="00B257AC" w:rsidRDefault="005D2422"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D2422" w:rsidRPr="00B257AC" w:rsidRDefault="005D2422" w:rsidP="00CA3DE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13S1</w:t>
            </w:r>
          </w:p>
        </w:tc>
        <w:tc>
          <w:tcPr>
            <w:tcW w:w="1701" w:type="dxa"/>
            <w:shd w:val="clear" w:color="auto" w:fill="auto"/>
          </w:tcPr>
          <w:p w:rsidR="005D2422"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7" w:type="dxa"/>
            <w:shd w:val="clear" w:color="auto" w:fill="auto"/>
          </w:tcPr>
          <w:p w:rsidR="005D2422"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520 788,87</w:t>
            </w:r>
          </w:p>
        </w:tc>
        <w:tc>
          <w:tcPr>
            <w:tcW w:w="1418" w:type="dxa"/>
            <w:shd w:val="clear" w:color="auto" w:fill="auto"/>
          </w:tcPr>
          <w:p w:rsidR="005D2422"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520 788,87</w:t>
            </w:r>
          </w:p>
        </w:tc>
        <w:tc>
          <w:tcPr>
            <w:tcW w:w="1417" w:type="dxa"/>
            <w:shd w:val="clear" w:color="auto" w:fill="auto"/>
          </w:tcPr>
          <w:p w:rsidR="005D2422"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100,00</w:t>
            </w:r>
          </w:p>
        </w:tc>
      </w:tr>
      <w:tr w:rsidR="00E31643" w:rsidRPr="00B257AC" w:rsidTr="005230B1">
        <w:tc>
          <w:tcPr>
            <w:tcW w:w="2268" w:type="dxa"/>
            <w:tcBorders>
              <w:top w:val="nil"/>
              <w:left w:val="single" w:sz="4" w:space="0" w:color="auto"/>
              <w:bottom w:val="nil"/>
              <w:right w:val="single" w:sz="4" w:space="0" w:color="auto"/>
            </w:tcBorders>
            <w:shd w:val="clear" w:color="auto" w:fill="auto"/>
          </w:tcPr>
          <w:p w:rsidR="00E31643" w:rsidRPr="00B257AC" w:rsidRDefault="00E31643"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E31643" w:rsidRPr="00B257AC" w:rsidRDefault="005D2422"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13S2</w:t>
            </w:r>
          </w:p>
        </w:tc>
        <w:tc>
          <w:tcPr>
            <w:tcW w:w="1701" w:type="dxa"/>
            <w:shd w:val="clear" w:color="auto" w:fill="auto"/>
          </w:tcPr>
          <w:p w:rsidR="00E31643" w:rsidRPr="00B257AC" w:rsidRDefault="00E31643"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7" w:type="dxa"/>
            <w:shd w:val="clear" w:color="auto" w:fill="auto"/>
          </w:tcPr>
          <w:p w:rsidR="00E31643"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91 903,96</w:t>
            </w:r>
          </w:p>
        </w:tc>
        <w:tc>
          <w:tcPr>
            <w:tcW w:w="1418" w:type="dxa"/>
            <w:shd w:val="clear" w:color="auto" w:fill="auto"/>
          </w:tcPr>
          <w:p w:rsidR="00E31643"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91 903,96</w:t>
            </w:r>
          </w:p>
        </w:tc>
        <w:tc>
          <w:tcPr>
            <w:tcW w:w="1417" w:type="dxa"/>
            <w:shd w:val="clear" w:color="auto" w:fill="auto"/>
          </w:tcPr>
          <w:p w:rsidR="00E31643"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100,00</w:t>
            </w:r>
          </w:p>
        </w:tc>
      </w:tr>
      <w:tr w:rsidR="00E31643" w:rsidRPr="00B257AC" w:rsidTr="005230B1">
        <w:tc>
          <w:tcPr>
            <w:tcW w:w="2268" w:type="dxa"/>
            <w:tcBorders>
              <w:top w:val="nil"/>
              <w:left w:val="single" w:sz="4" w:space="0" w:color="auto"/>
              <w:bottom w:val="single" w:sz="4" w:space="0" w:color="auto"/>
              <w:right w:val="single" w:sz="4" w:space="0" w:color="auto"/>
            </w:tcBorders>
            <w:shd w:val="clear" w:color="auto" w:fill="auto"/>
          </w:tcPr>
          <w:p w:rsidR="00E31643" w:rsidRPr="00B257AC" w:rsidRDefault="00E31643" w:rsidP="009F1E92">
            <w:pPr>
              <w:spacing w:after="0" w:line="240" w:lineRule="auto"/>
              <w:jc w:val="both"/>
              <w:rPr>
                <w:rFonts w:ascii="Times New Roman" w:eastAsia="Times New Roman" w:hAnsi="Times New Roman" w:cs="Times New Roman"/>
                <w:b/>
              </w:rPr>
            </w:pPr>
          </w:p>
        </w:tc>
        <w:tc>
          <w:tcPr>
            <w:tcW w:w="851" w:type="dxa"/>
            <w:tcBorders>
              <w:left w:val="single" w:sz="4" w:space="0" w:color="auto"/>
            </w:tcBorders>
          </w:tcPr>
          <w:p w:rsidR="00E31643" w:rsidRPr="00B257AC" w:rsidRDefault="00E31643" w:rsidP="009F1E92">
            <w:pPr>
              <w:autoSpaceDE w:val="0"/>
              <w:autoSpaceDN w:val="0"/>
              <w:adjustRightInd w:val="0"/>
              <w:spacing w:after="0" w:line="240" w:lineRule="auto"/>
              <w:jc w:val="center"/>
              <w:rPr>
                <w:rFonts w:ascii="Times New Roman" w:hAnsi="Times New Roman" w:cs="Times New Roman"/>
                <w:lang w:eastAsia="sk-SK"/>
              </w:rPr>
            </w:pPr>
            <w:r w:rsidRPr="00B257AC">
              <w:rPr>
                <w:rFonts w:ascii="Times New Roman" w:hAnsi="Times New Roman" w:cs="Times New Roman"/>
                <w:lang w:eastAsia="sk-SK"/>
              </w:rPr>
              <w:t>72c</w:t>
            </w:r>
          </w:p>
        </w:tc>
        <w:tc>
          <w:tcPr>
            <w:tcW w:w="1701" w:type="dxa"/>
            <w:shd w:val="clear" w:color="auto" w:fill="auto"/>
          </w:tcPr>
          <w:p w:rsidR="00E31643" w:rsidRPr="00B257AC" w:rsidRDefault="00E31643"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7" w:type="dxa"/>
            <w:shd w:val="clear" w:color="auto" w:fill="auto"/>
          </w:tcPr>
          <w:p w:rsidR="00E31643"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0,00</w:t>
            </w:r>
          </w:p>
        </w:tc>
        <w:tc>
          <w:tcPr>
            <w:tcW w:w="1418" w:type="dxa"/>
            <w:shd w:val="clear" w:color="auto" w:fill="auto"/>
          </w:tcPr>
          <w:p w:rsidR="00E31643" w:rsidRPr="00B257AC" w:rsidRDefault="005D2422" w:rsidP="00B257AC">
            <w:pPr>
              <w:autoSpaceDE w:val="0"/>
              <w:autoSpaceDN w:val="0"/>
              <w:adjustRightInd w:val="0"/>
              <w:spacing w:after="0" w:line="240" w:lineRule="auto"/>
              <w:jc w:val="right"/>
              <w:rPr>
                <w:rFonts w:ascii="Times New Roman" w:hAnsi="Times New Roman" w:cs="Times New Roman"/>
                <w:lang w:eastAsia="sk-SK"/>
              </w:rPr>
            </w:pPr>
            <w:r w:rsidRPr="00B257AC">
              <w:rPr>
                <w:rFonts w:ascii="Times New Roman" w:hAnsi="Times New Roman" w:cs="Times New Roman"/>
                <w:lang w:eastAsia="sk-SK"/>
              </w:rPr>
              <w:t>512,90</w:t>
            </w:r>
          </w:p>
        </w:tc>
        <w:tc>
          <w:tcPr>
            <w:tcW w:w="1417" w:type="dxa"/>
            <w:shd w:val="clear" w:color="auto" w:fill="auto"/>
          </w:tcPr>
          <w:p w:rsidR="00E31643" w:rsidRPr="00B257AC" w:rsidRDefault="005D2422" w:rsidP="005D2422">
            <w:pPr>
              <w:spacing w:after="0" w:line="240" w:lineRule="auto"/>
              <w:jc w:val="center"/>
              <w:rPr>
                <w:rFonts w:ascii="Times New Roman" w:eastAsia="Times New Roman" w:hAnsi="Times New Roman" w:cs="Times New Roman"/>
              </w:rPr>
            </w:pPr>
            <w:r w:rsidRPr="00B257AC">
              <w:rPr>
                <w:rFonts w:ascii="Times New Roman" w:eastAsia="Times New Roman" w:hAnsi="Times New Roman" w:cs="Times New Roman"/>
              </w:rPr>
              <w:t>-</w:t>
            </w:r>
          </w:p>
        </w:tc>
      </w:tr>
      <w:tr w:rsidR="004E7E57" w:rsidRPr="00B257AC" w:rsidTr="005230B1">
        <w:tc>
          <w:tcPr>
            <w:tcW w:w="2268" w:type="dxa"/>
            <w:tcBorders>
              <w:top w:val="single" w:sz="4" w:space="0" w:color="auto"/>
              <w:left w:val="single" w:sz="4" w:space="0" w:color="auto"/>
              <w:bottom w:val="single" w:sz="4" w:space="0" w:color="auto"/>
              <w:right w:val="single" w:sz="4" w:space="0" w:color="auto"/>
            </w:tcBorders>
            <w:shd w:val="clear" w:color="auto" w:fill="auto"/>
          </w:tcPr>
          <w:p w:rsidR="004E7E57" w:rsidRPr="00B257AC" w:rsidRDefault="004E7E57" w:rsidP="009F1E92">
            <w:pPr>
              <w:spacing w:after="0" w:line="240" w:lineRule="auto"/>
              <w:jc w:val="both"/>
              <w:rPr>
                <w:rFonts w:ascii="Times New Roman" w:eastAsia="Times New Roman" w:hAnsi="Times New Roman" w:cs="Times New Roman"/>
                <w:b/>
              </w:rPr>
            </w:pPr>
            <w:r w:rsidRPr="00B257AC">
              <w:rPr>
                <w:rFonts w:ascii="Times New Roman" w:eastAsia="Times New Roman" w:hAnsi="Times New Roman" w:cs="Times New Roman"/>
                <w:b/>
              </w:rPr>
              <w:t>SPOLU 630</w:t>
            </w:r>
          </w:p>
        </w:tc>
        <w:tc>
          <w:tcPr>
            <w:tcW w:w="851" w:type="dxa"/>
            <w:tcBorders>
              <w:left w:val="single" w:sz="4" w:space="0" w:color="auto"/>
            </w:tcBorders>
          </w:tcPr>
          <w:p w:rsidR="004E7E57" w:rsidRPr="00B257AC" w:rsidRDefault="004E7E57" w:rsidP="009F1E92">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4E7E57" w:rsidRPr="00B257AC" w:rsidRDefault="005246D9" w:rsidP="00B257AC">
            <w:pPr>
              <w:autoSpaceDE w:val="0"/>
              <w:autoSpaceDN w:val="0"/>
              <w:adjustRightInd w:val="0"/>
              <w:spacing w:after="0" w:line="240" w:lineRule="auto"/>
              <w:jc w:val="right"/>
              <w:rPr>
                <w:rFonts w:ascii="Times New Roman" w:hAnsi="Times New Roman" w:cs="Times New Roman"/>
                <w:b/>
                <w:lang w:eastAsia="sk-SK"/>
              </w:rPr>
            </w:pPr>
            <w:r w:rsidRPr="00B257AC">
              <w:rPr>
                <w:rFonts w:ascii="Times New Roman" w:hAnsi="Times New Roman" w:cs="Times New Roman"/>
                <w:b/>
                <w:lang w:eastAsia="sk-SK"/>
              </w:rPr>
              <w:t>14 003 968,00</w:t>
            </w:r>
          </w:p>
        </w:tc>
        <w:tc>
          <w:tcPr>
            <w:tcW w:w="1417" w:type="dxa"/>
            <w:shd w:val="clear" w:color="auto" w:fill="auto"/>
          </w:tcPr>
          <w:p w:rsidR="004E7E57" w:rsidRPr="00B257AC" w:rsidRDefault="005D2422" w:rsidP="00B257AC">
            <w:pPr>
              <w:autoSpaceDE w:val="0"/>
              <w:autoSpaceDN w:val="0"/>
              <w:adjustRightInd w:val="0"/>
              <w:spacing w:after="0" w:line="240" w:lineRule="auto"/>
              <w:jc w:val="right"/>
              <w:rPr>
                <w:rFonts w:ascii="Times New Roman" w:hAnsi="Times New Roman" w:cs="Times New Roman"/>
                <w:b/>
                <w:lang w:eastAsia="sk-SK"/>
              </w:rPr>
            </w:pPr>
            <w:r w:rsidRPr="00B257AC">
              <w:rPr>
                <w:rFonts w:ascii="Times New Roman" w:hAnsi="Times New Roman" w:cs="Times New Roman"/>
                <w:b/>
                <w:lang w:eastAsia="sk-SK"/>
              </w:rPr>
              <w:t>9 586 233,71</w:t>
            </w:r>
          </w:p>
        </w:tc>
        <w:tc>
          <w:tcPr>
            <w:tcW w:w="1418" w:type="dxa"/>
            <w:shd w:val="clear" w:color="auto" w:fill="auto"/>
          </w:tcPr>
          <w:p w:rsidR="004E7E57" w:rsidRPr="00B257AC" w:rsidRDefault="005D2422" w:rsidP="009F1E92">
            <w:pPr>
              <w:autoSpaceDE w:val="0"/>
              <w:autoSpaceDN w:val="0"/>
              <w:adjustRightInd w:val="0"/>
              <w:spacing w:after="0" w:line="240" w:lineRule="auto"/>
              <w:jc w:val="right"/>
              <w:rPr>
                <w:rFonts w:ascii="Times New Roman" w:hAnsi="Times New Roman" w:cs="Times New Roman"/>
                <w:b/>
                <w:lang w:eastAsia="sk-SK"/>
              </w:rPr>
            </w:pPr>
            <w:r w:rsidRPr="00B257AC">
              <w:rPr>
                <w:rFonts w:ascii="Times New Roman" w:hAnsi="Times New Roman" w:cs="Times New Roman"/>
                <w:b/>
                <w:lang w:eastAsia="sk-SK"/>
              </w:rPr>
              <w:t>9 493 654,58</w:t>
            </w:r>
          </w:p>
        </w:tc>
        <w:tc>
          <w:tcPr>
            <w:tcW w:w="1417" w:type="dxa"/>
            <w:shd w:val="clear" w:color="auto" w:fill="auto"/>
          </w:tcPr>
          <w:p w:rsidR="004E7E57" w:rsidRPr="00B257AC" w:rsidRDefault="005D2422" w:rsidP="005D2422">
            <w:pPr>
              <w:spacing w:after="0" w:line="240" w:lineRule="auto"/>
              <w:jc w:val="center"/>
              <w:rPr>
                <w:rFonts w:ascii="Times New Roman" w:eastAsia="Times New Roman" w:hAnsi="Times New Roman" w:cs="Times New Roman"/>
                <w:b/>
              </w:rPr>
            </w:pPr>
            <w:r w:rsidRPr="00B257AC">
              <w:rPr>
                <w:rFonts w:ascii="Times New Roman" w:eastAsia="Times New Roman" w:hAnsi="Times New Roman" w:cs="Times New Roman"/>
                <w:b/>
              </w:rPr>
              <w:t>99,03</w:t>
            </w:r>
          </w:p>
        </w:tc>
      </w:tr>
    </w:tbl>
    <w:p w:rsidR="004E7E57" w:rsidRPr="009F1E92" w:rsidRDefault="004E7E57" w:rsidP="009F1E92">
      <w:pPr>
        <w:spacing w:after="0" w:line="240" w:lineRule="auto"/>
        <w:ind w:right="26" w:firstLine="540"/>
        <w:jc w:val="both"/>
        <w:rPr>
          <w:rFonts w:ascii="Times New Roman" w:hAnsi="Times New Roman" w:cs="Times New Roman"/>
          <w:sz w:val="24"/>
          <w:szCs w:val="24"/>
        </w:rPr>
      </w:pPr>
    </w:p>
    <w:p w:rsidR="00DA6FC4" w:rsidRPr="009F1E92" w:rsidRDefault="00DA6FC4" w:rsidP="006B7B75">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 xml:space="preserve">V rámci programu </w:t>
      </w:r>
      <w:r w:rsidR="002C1A92">
        <w:rPr>
          <w:rFonts w:ascii="Times New Roman" w:hAnsi="Times New Roman" w:cs="Times New Roman"/>
          <w:sz w:val="24"/>
          <w:szCs w:val="24"/>
        </w:rPr>
        <w:t xml:space="preserve">07L </w:t>
      </w:r>
      <w:r w:rsidRPr="009F1E92">
        <w:rPr>
          <w:rFonts w:ascii="Times New Roman" w:hAnsi="Times New Roman" w:cs="Times New Roman"/>
          <w:sz w:val="24"/>
          <w:szCs w:val="24"/>
        </w:rPr>
        <w:t>boli v roku 201</w:t>
      </w:r>
      <w:r w:rsidR="00C60A6D">
        <w:rPr>
          <w:rFonts w:ascii="Times New Roman" w:hAnsi="Times New Roman" w:cs="Times New Roman"/>
          <w:sz w:val="24"/>
          <w:szCs w:val="24"/>
        </w:rPr>
        <w:t>5</w:t>
      </w:r>
      <w:r w:rsidRPr="009F1E92">
        <w:rPr>
          <w:rFonts w:ascii="Times New Roman" w:hAnsi="Times New Roman" w:cs="Times New Roman"/>
          <w:sz w:val="24"/>
          <w:szCs w:val="24"/>
        </w:rPr>
        <w:t xml:space="preserve"> realizované výdavky na tovary a služby v na</w:t>
      </w:r>
      <w:r w:rsidR="002E78FD">
        <w:rPr>
          <w:rFonts w:ascii="Times New Roman" w:hAnsi="Times New Roman" w:cs="Times New Roman"/>
          <w:sz w:val="24"/>
          <w:szCs w:val="24"/>
        </w:rPr>
        <w:t>s</w:t>
      </w:r>
      <w:r w:rsidRPr="009F1E92">
        <w:rPr>
          <w:rFonts w:ascii="Times New Roman" w:hAnsi="Times New Roman" w:cs="Times New Roman"/>
          <w:sz w:val="24"/>
          <w:szCs w:val="24"/>
        </w:rPr>
        <w:t>ledovných podprogramoch a prvkoch:</w:t>
      </w:r>
    </w:p>
    <w:p w:rsidR="004E7E57" w:rsidRPr="009F1E92" w:rsidRDefault="004E7E57" w:rsidP="009F1E92">
      <w:pPr>
        <w:spacing w:after="0" w:line="240" w:lineRule="auto"/>
        <w:ind w:right="26" w:firstLine="540"/>
        <w:jc w:val="both"/>
        <w:rPr>
          <w:rFonts w:ascii="Times New Roman" w:hAnsi="Times New Roman" w:cs="Times New Roman"/>
          <w:sz w:val="24"/>
          <w:szCs w:val="24"/>
        </w:rPr>
      </w:pPr>
    </w:p>
    <w:p w:rsidR="00DA6FC4" w:rsidRDefault="00DA6FC4" w:rsidP="005230B1">
      <w:pPr>
        <w:spacing w:after="0" w:line="240" w:lineRule="auto"/>
        <w:ind w:left="851" w:hanging="851"/>
        <w:jc w:val="both"/>
        <w:rPr>
          <w:rFonts w:ascii="Times New Roman" w:hAnsi="Times New Roman" w:cs="Times New Roman"/>
          <w:sz w:val="24"/>
          <w:szCs w:val="24"/>
        </w:rPr>
      </w:pPr>
      <w:r w:rsidRPr="009F1E92">
        <w:rPr>
          <w:rFonts w:ascii="Times New Roman" w:hAnsi="Times New Roman" w:cs="Times New Roman"/>
          <w:i/>
          <w:sz w:val="24"/>
          <w:szCs w:val="24"/>
        </w:rPr>
        <w:t>07L 03 Podpora budovania štruktúr v oblasti trhového dozoru na ochranu spotrebiteľa SR</w:t>
      </w:r>
      <w:r w:rsidRPr="009F1E92">
        <w:rPr>
          <w:rFonts w:ascii="Times New Roman" w:hAnsi="Times New Roman" w:cs="Times New Roman"/>
          <w:sz w:val="24"/>
          <w:szCs w:val="24"/>
        </w:rPr>
        <w:t xml:space="preserve"> 104.01</w:t>
      </w:r>
    </w:p>
    <w:p w:rsidR="005230B1" w:rsidRPr="007D774A" w:rsidRDefault="005230B1" w:rsidP="005230B1">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5230B1" w:rsidRPr="005230B1" w:rsidTr="00CA3DE2">
        <w:trPr>
          <w:trHeight w:val="712"/>
        </w:trPr>
        <w:tc>
          <w:tcPr>
            <w:tcW w:w="2268" w:type="dxa"/>
            <w:shd w:val="clear" w:color="auto" w:fill="auto"/>
          </w:tcPr>
          <w:p w:rsidR="005230B1" w:rsidRPr="005230B1" w:rsidRDefault="005230B1" w:rsidP="00CA3DE2">
            <w:pPr>
              <w:spacing w:after="0" w:line="240" w:lineRule="auto"/>
              <w:jc w:val="both"/>
              <w:rPr>
                <w:rFonts w:ascii="Times New Roman" w:eastAsia="Times New Roman" w:hAnsi="Times New Roman" w:cs="Times New Roman"/>
                <w:b/>
              </w:rPr>
            </w:pPr>
            <w:r w:rsidRPr="005230B1">
              <w:rPr>
                <w:rFonts w:ascii="Times New Roman" w:eastAsia="Times New Roman" w:hAnsi="Times New Roman" w:cs="Times New Roman"/>
                <w:b/>
              </w:rPr>
              <w:t>Ekonomická</w:t>
            </w:r>
          </w:p>
          <w:p w:rsidR="005230B1" w:rsidRPr="005230B1" w:rsidRDefault="005230B1" w:rsidP="00CA3DE2">
            <w:pPr>
              <w:spacing w:after="0" w:line="240" w:lineRule="auto"/>
              <w:jc w:val="both"/>
              <w:rPr>
                <w:rFonts w:ascii="Times New Roman" w:eastAsia="Times New Roman" w:hAnsi="Times New Roman" w:cs="Times New Roman"/>
                <w:b/>
              </w:rPr>
            </w:pPr>
            <w:r w:rsidRPr="005230B1">
              <w:rPr>
                <w:rFonts w:ascii="Times New Roman" w:eastAsia="Times New Roman" w:hAnsi="Times New Roman" w:cs="Times New Roman"/>
                <w:b/>
              </w:rPr>
              <w:t>klasifikácia</w:t>
            </w:r>
          </w:p>
        </w:tc>
        <w:tc>
          <w:tcPr>
            <w:tcW w:w="993" w:type="dxa"/>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Zdroj</w:t>
            </w:r>
          </w:p>
        </w:tc>
        <w:tc>
          <w:tcPr>
            <w:tcW w:w="1559"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Schválený</w:t>
            </w:r>
          </w:p>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rozpočet k 1.1.2015</w:t>
            </w:r>
          </w:p>
        </w:tc>
        <w:tc>
          <w:tcPr>
            <w:tcW w:w="1417"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Upravený</w:t>
            </w:r>
          </w:p>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rozpočet k 31.12.2015</w:t>
            </w:r>
          </w:p>
        </w:tc>
        <w:tc>
          <w:tcPr>
            <w:tcW w:w="1418"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Čerpanie k</w:t>
            </w:r>
          </w:p>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31.12.2015</w:t>
            </w:r>
          </w:p>
        </w:tc>
        <w:tc>
          <w:tcPr>
            <w:tcW w:w="1417"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b/>
              </w:rPr>
            </w:pPr>
            <w:r w:rsidRPr="005230B1">
              <w:rPr>
                <w:rFonts w:ascii="Times New Roman" w:eastAsia="Times New Roman" w:hAnsi="Times New Roman" w:cs="Times New Roman"/>
                <w:b/>
              </w:rPr>
              <w:t>% čerpania k uprav. rozpočtu</w:t>
            </w:r>
          </w:p>
        </w:tc>
      </w:tr>
      <w:tr w:rsidR="005230B1" w:rsidRPr="005230B1" w:rsidTr="00CA3DE2">
        <w:tc>
          <w:tcPr>
            <w:tcW w:w="2268" w:type="dxa"/>
            <w:shd w:val="clear" w:color="auto" w:fill="auto"/>
          </w:tcPr>
          <w:p w:rsidR="005230B1" w:rsidRPr="005230B1" w:rsidRDefault="005230B1" w:rsidP="00CA3DE2">
            <w:pPr>
              <w:spacing w:after="0" w:line="240" w:lineRule="auto"/>
              <w:jc w:val="both"/>
              <w:rPr>
                <w:rFonts w:ascii="Times New Roman" w:eastAsia="Times New Roman" w:hAnsi="Times New Roman" w:cs="Times New Roman"/>
              </w:rPr>
            </w:pPr>
            <w:r w:rsidRPr="005230B1">
              <w:rPr>
                <w:rFonts w:ascii="Times New Roman" w:eastAsia="Times New Roman" w:hAnsi="Times New Roman" w:cs="Times New Roman"/>
              </w:rPr>
              <w:t>630 – tovary a služby</w:t>
            </w:r>
          </w:p>
        </w:tc>
        <w:tc>
          <w:tcPr>
            <w:tcW w:w="993" w:type="dxa"/>
          </w:tcPr>
          <w:p w:rsidR="005230B1" w:rsidRPr="005230B1" w:rsidRDefault="005230B1" w:rsidP="00CA3DE2">
            <w:pPr>
              <w:autoSpaceDE w:val="0"/>
              <w:autoSpaceDN w:val="0"/>
              <w:adjustRightInd w:val="0"/>
              <w:spacing w:after="0" w:line="240" w:lineRule="auto"/>
              <w:jc w:val="center"/>
              <w:rPr>
                <w:rFonts w:ascii="Times New Roman" w:hAnsi="Times New Roman" w:cs="Times New Roman"/>
                <w:lang w:eastAsia="sk-SK"/>
              </w:rPr>
            </w:pPr>
            <w:r w:rsidRPr="005230B1">
              <w:rPr>
                <w:rFonts w:ascii="Times New Roman" w:hAnsi="Times New Roman" w:cs="Times New Roman"/>
                <w:lang w:eastAsia="sk-SK"/>
              </w:rPr>
              <w:t>111</w:t>
            </w:r>
          </w:p>
        </w:tc>
        <w:tc>
          <w:tcPr>
            <w:tcW w:w="1559" w:type="dxa"/>
            <w:shd w:val="clear" w:color="auto" w:fill="auto"/>
          </w:tcPr>
          <w:p w:rsidR="005230B1" w:rsidRPr="005230B1" w:rsidRDefault="005230B1" w:rsidP="009E7086">
            <w:pPr>
              <w:autoSpaceDE w:val="0"/>
              <w:autoSpaceDN w:val="0"/>
              <w:adjustRightInd w:val="0"/>
              <w:spacing w:after="0" w:line="240" w:lineRule="auto"/>
              <w:jc w:val="right"/>
              <w:rPr>
                <w:rFonts w:ascii="Times New Roman" w:hAnsi="Times New Roman" w:cs="Times New Roman"/>
                <w:lang w:eastAsia="sk-SK"/>
              </w:rPr>
            </w:pPr>
            <w:r w:rsidRPr="005230B1">
              <w:rPr>
                <w:rFonts w:ascii="Times New Roman" w:hAnsi="Times New Roman" w:cs="Times New Roman"/>
                <w:lang w:eastAsia="sk-SK"/>
              </w:rPr>
              <w:t>100 000,00</w:t>
            </w:r>
          </w:p>
        </w:tc>
        <w:tc>
          <w:tcPr>
            <w:tcW w:w="1417" w:type="dxa"/>
            <w:shd w:val="clear" w:color="auto" w:fill="auto"/>
          </w:tcPr>
          <w:p w:rsidR="005230B1" w:rsidRPr="005230B1" w:rsidRDefault="005230B1" w:rsidP="009E7086">
            <w:pPr>
              <w:autoSpaceDE w:val="0"/>
              <w:autoSpaceDN w:val="0"/>
              <w:adjustRightInd w:val="0"/>
              <w:spacing w:after="0" w:line="240" w:lineRule="auto"/>
              <w:jc w:val="right"/>
              <w:rPr>
                <w:rFonts w:ascii="Times New Roman" w:hAnsi="Times New Roman" w:cs="Times New Roman"/>
                <w:lang w:eastAsia="sk-SK"/>
              </w:rPr>
            </w:pPr>
            <w:r w:rsidRPr="005230B1">
              <w:rPr>
                <w:rFonts w:ascii="Times New Roman" w:hAnsi="Times New Roman" w:cs="Times New Roman"/>
                <w:lang w:eastAsia="sk-SK"/>
              </w:rPr>
              <w:t>120 000,00</w:t>
            </w:r>
          </w:p>
        </w:tc>
        <w:tc>
          <w:tcPr>
            <w:tcW w:w="1418" w:type="dxa"/>
            <w:shd w:val="clear" w:color="auto" w:fill="auto"/>
          </w:tcPr>
          <w:p w:rsidR="005230B1" w:rsidRPr="005230B1" w:rsidRDefault="005230B1" w:rsidP="009E7086">
            <w:pPr>
              <w:autoSpaceDE w:val="0"/>
              <w:autoSpaceDN w:val="0"/>
              <w:adjustRightInd w:val="0"/>
              <w:spacing w:after="0" w:line="240" w:lineRule="auto"/>
              <w:jc w:val="right"/>
              <w:rPr>
                <w:rFonts w:ascii="Times New Roman" w:hAnsi="Times New Roman" w:cs="Times New Roman"/>
                <w:lang w:eastAsia="sk-SK"/>
              </w:rPr>
            </w:pPr>
            <w:r w:rsidRPr="005230B1">
              <w:rPr>
                <w:rFonts w:ascii="Times New Roman" w:hAnsi="Times New Roman" w:cs="Times New Roman"/>
                <w:lang w:eastAsia="sk-SK"/>
              </w:rPr>
              <w:t>116 215,85</w:t>
            </w:r>
          </w:p>
        </w:tc>
        <w:tc>
          <w:tcPr>
            <w:tcW w:w="1417" w:type="dxa"/>
            <w:shd w:val="clear" w:color="auto" w:fill="auto"/>
          </w:tcPr>
          <w:p w:rsidR="005230B1" w:rsidRPr="005230B1" w:rsidRDefault="005230B1" w:rsidP="00CA3DE2">
            <w:pPr>
              <w:spacing w:after="0" w:line="240" w:lineRule="auto"/>
              <w:jc w:val="center"/>
              <w:rPr>
                <w:rFonts w:ascii="Times New Roman" w:eastAsia="Times New Roman" w:hAnsi="Times New Roman" w:cs="Times New Roman"/>
              </w:rPr>
            </w:pPr>
            <w:r w:rsidRPr="005230B1">
              <w:rPr>
                <w:rFonts w:ascii="Times New Roman" w:eastAsia="Times New Roman" w:hAnsi="Times New Roman" w:cs="Times New Roman"/>
              </w:rPr>
              <w:t>96,85</w:t>
            </w:r>
          </w:p>
        </w:tc>
      </w:tr>
    </w:tbl>
    <w:p w:rsidR="005230B1" w:rsidRDefault="005230B1" w:rsidP="004A00B3">
      <w:pPr>
        <w:autoSpaceDE w:val="0"/>
        <w:autoSpaceDN w:val="0"/>
        <w:adjustRightInd w:val="0"/>
        <w:spacing w:before="240" w:after="0" w:line="240" w:lineRule="auto"/>
        <w:ind w:firstLine="708"/>
        <w:jc w:val="both"/>
        <w:rPr>
          <w:rFonts w:ascii="Times New Roman" w:hAnsi="Times New Roman" w:cs="Times New Roman"/>
          <w:sz w:val="24"/>
          <w:szCs w:val="24"/>
        </w:rPr>
      </w:pPr>
      <w:r w:rsidRPr="005230B1">
        <w:rPr>
          <w:rFonts w:ascii="Times New Roman" w:hAnsi="Times New Roman" w:cs="Times New Roman"/>
          <w:sz w:val="24"/>
          <w:szCs w:val="24"/>
        </w:rPr>
        <w:t xml:space="preserve">V rozpočte na rok 2015 bol  na  uvedený podprogram schválený rozpočet bežných  výdavkov v </w:t>
      </w:r>
      <w:r w:rsidR="00711665">
        <w:rPr>
          <w:rFonts w:ascii="Times New Roman" w:hAnsi="Times New Roman" w:cs="Times New Roman"/>
          <w:sz w:val="24"/>
          <w:szCs w:val="24"/>
        </w:rPr>
        <w:t>sume</w:t>
      </w:r>
      <w:r w:rsidRPr="005230B1">
        <w:rPr>
          <w:rFonts w:ascii="Times New Roman" w:hAnsi="Times New Roman" w:cs="Times New Roman"/>
          <w:sz w:val="24"/>
          <w:szCs w:val="24"/>
        </w:rPr>
        <w:t xml:space="preserve">  100 000,00 eur. Rozpočtovým opatrením bol rozpočet bežných výdavkov upravený na </w:t>
      </w:r>
      <w:r w:rsidR="00711665">
        <w:rPr>
          <w:rFonts w:ascii="Times New Roman" w:hAnsi="Times New Roman" w:cs="Times New Roman"/>
          <w:sz w:val="24"/>
          <w:szCs w:val="24"/>
        </w:rPr>
        <w:t>sumu</w:t>
      </w:r>
      <w:r w:rsidRPr="005230B1">
        <w:rPr>
          <w:rFonts w:ascii="Times New Roman" w:hAnsi="Times New Roman" w:cs="Times New Roman"/>
          <w:sz w:val="24"/>
          <w:szCs w:val="24"/>
        </w:rPr>
        <w:t xml:space="preserve"> 120 000,00 eur.</w:t>
      </w:r>
    </w:p>
    <w:p w:rsidR="005230B1" w:rsidRPr="005230B1" w:rsidRDefault="005230B1" w:rsidP="005230B1">
      <w:pPr>
        <w:autoSpaceDE w:val="0"/>
        <w:autoSpaceDN w:val="0"/>
        <w:adjustRightInd w:val="0"/>
        <w:spacing w:after="0" w:line="240" w:lineRule="auto"/>
        <w:ind w:firstLine="708"/>
        <w:jc w:val="both"/>
        <w:rPr>
          <w:rFonts w:ascii="Times New Roman" w:hAnsi="Times New Roman" w:cs="Times New Roman"/>
          <w:sz w:val="24"/>
          <w:szCs w:val="24"/>
        </w:rPr>
      </w:pPr>
      <w:r w:rsidRPr="005230B1">
        <w:rPr>
          <w:rFonts w:ascii="Times New Roman" w:hAnsi="Times New Roman" w:cs="Times New Roman"/>
          <w:sz w:val="24"/>
          <w:szCs w:val="24"/>
        </w:rPr>
        <w:t xml:space="preserve">V  roku 2015 bolo vyčerpaných 116 215,85 eur, t.j. plnenie na 96,85 %. Prostriedky boli použité v zmysle zákona č. 128/2002 Z. z. o štátnej kontrole vnútorného trhu vo veciach ochrany spotrebiteľa a o zmene a doplnení niektorých zákonov na nákup vzoriek výrobkov, na úhradu nákladov skúšobným laboratóriám za vykonanie expertíz, štúdií a skúšok posúdenia bezpečnosti, zhody a kvality v súlade s platnými technickými predpismi v súvislosti s ochranou vnútorného trhu. </w:t>
      </w:r>
    </w:p>
    <w:p w:rsidR="00DA6FC4" w:rsidRPr="009F1E92" w:rsidRDefault="00DA6FC4" w:rsidP="009F1E92">
      <w:pPr>
        <w:spacing w:after="0" w:line="240" w:lineRule="auto"/>
        <w:ind w:right="26" w:firstLine="567"/>
        <w:jc w:val="both"/>
        <w:rPr>
          <w:rFonts w:ascii="Times New Roman" w:hAnsi="Times New Roman" w:cs="Times New Roman"/>
          <w:sz w:val="24"/>
          <w:szCs w:val="24"/>
        </w:rPr>
      </w:pPr>
    </w:p>
    <w:p w:rsidR="0078104F" w:rsidRDefault="0078104F" w:rsidP="00321108">
      <w:pPr>
        <w:spacing w:after="0" w:line="240" w:lineRule="auto"/>
        <w:jc w:val="both"/>
        <w:rPr>
          <w:rFonts w:ascii="Times New Roman" w:hAnsi="Times New Roman" w:cs="Times New Roman"/>
          <w:i/>
          <w:sz w:val="24"/>
          <w:szCs w:val="24"/>
        </w:rPr>
      </w:pPr>
      <w:r w:rsidRPr="009F1E92">
        <w:rPr>
          <w:rFonts w:ascii="Times New Roman" w:hAnsi="Times New Roman" w:cs="Times New Roman"/>
          <w:i/>
          <w:sz w:val="24"/>
          <w:szCs w:val="24"/>
        </w:rPr>
        <w:t>07L 04 Podpora programov rezortu MH SR</w:t>
      </w:r>
    </w:p>
    <w:p w:rsidR="005230B1" w:rsidRPr="007D774A" w:rsidRDefault="005230B1" w:rsidP="005230B1">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701"/>
        <w:gridCol w:w="1417"/>
        <w:gridCol w:w="1418"/>
        <w:gridCol w:w="1417"/>
      </w:tblGrid>
      <w:tr w:rsidR="005230B1" w:rsidRPr="00555489" w:rsidTr="00CA3DE2">
        <w:trPr>
          <w:trHeight w:val="785"/>
        </w:trPr>
        <w:tc>
          <w:tcPr>
            <w:tcW w:w="2268" w:type="dxa"/>
            <w:tcBorders>
              <w:top w:val="single" w:sz="4" w:space="0" w:color="auto"/>
              <w:left w:val="single" w:sz="4" w:space="0" w:color="auto"/>
              <w:bottom w:val="single" w:sz="4" w:space="0" w:color="auto"/>
              <w:right w:val="single" w:sz="4" w:space="0" w:color="auto"/>
            </w:tcBorders>
            <w:shd w:val="clear" w:color="auto" w:fill="auto"/>
          </w:tcPr>
          <w:p w:rsidR="005230B1" w:rsidRPr="00555489" w:rsidRDefault="005230B1" w:rsidP="00CA3DE2">
            <w:pPr>
              <w:spacing w:after="0" w:line="240" w:lineRule="auto"/>
              <w:jc w:val="both"/>
              <w:rPr>
                <w:rFonts w:ascii="Times New Roman" w:eastAsia="Times New Roman" w:hAnsi="Times New Roman" w:cs="Times New Roman"/>
                <w:b/>
              </w:rPr>
            </w:pPr>
            <w:r w:rsidRPr="00555489">
              <w:rPr>
                <w:rFonts w:ascii="Times New Roman" w:eastAsia="Times New Roman" w:hAnsi="Times New Roman" w:cs="Times New Roman"/>
                <w:b/>
              </w:rPr>
              <w:t>Ekonomická</w:t>
            </w:r>
          </w:p>
          <w:p w:rsidR="005230B1" w:rsidRPr="00555489" w:rsidRDefault="005230B1" w:rsidP="00CA3DE2">
            <w:pPr>
              <w:spacing w:after="0" w:line="240" w:lineRule="auto"/>
              <w:jc w:val="both"/>
              <w:rPr>
                <w:rFonts w:ascii="Times New Roman" w:eastAsia="Times New Roman" w:hAnsi="Times New Roman" w:cs="Times New Roman"/>
                <w:b/>
              </w:rPr>
            </w:pPr>
            <w:r w:rsidRPr="00555489">
              <w:rPr>
                <w:rFonts w:ascii="Times New Roman" w:eastAsia="Times New Roman" w:hAnsi="Times New Roman" w:cs="Times New Roman"/>
                <w:b/>
              </w:rPr>
              <w:t>klasifikácia</w:t>
            </w:r>
          </w:p>
        </w:tc>
        <w:tc>
          <w:tcPr>
            <w:tcW w:w="851" w:type="dxa"/>
            <w:tcBorders>
              <w:left w:val="single" w:sz="4" w:space="0" w:color="auto"/>
            </w:tcBorders>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Zdroj</w:t>
            </w:r>
          </w:p>
        </w:tc>
        <w:tc>
          <w:tcPr>
            <w:tcW w:w="1701"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Schválený</w:t>
            </w:r>
          </w:p>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rozpočet k 1.1.2015</w:t>
            </w:r>
          </w:p>
        </w:tc>
        <w:tc>
          <w:tcPr>
            <w:tcW w:w="1417"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Upravený</w:t>
            </w:r>
          </w:p>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rozpočet k 31.12.2015</w:t>
            </w:r>
          </w:p>
        </w:tc>
        <w:tc>
          <w:tcPr>
            <w:tcW w:w="1418"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Čerpanie k</w:t>
            </w:r>
          </w:p>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31.12.2015</w:t>
            </w:r>
          </w:p>
        </w:tc>
        <w:tc>
          <w:tcPr>
            <w:tcW w:w="1417" w:type="dxa"/>
            <w:shd w:val="clear" w:color="auto" w:fill="auto"/>
          </w:tcPr>
          <w:p w:rsidR="005230B1" w:rsidRPr="00555489" w:rsidRDefault="005230B1" w:rsidP="00CA3DE2">
            <w:pPr>
              <w:spacing w:after="0" w:line="240" w:lineRule="auto"/>
              <w:jc w:val="center"/>
              <w:rPr>
                <w:rFonts w:ascii="Times New Roman" w:eastAsia="Times New Roman" w:hAnsi="Times New Roman" w:cs="Times New Roman"/>
                <w:b/>
              </w:rPr>
            </w:pPr>
            <w:r w:rsidRPr="00555489">
              <w:rPr>
                <w:rFonts w:ascii="Times New Roman" w:eastAsia="Times New Roman" w:hAnsi="Times New Roman" w:cs="Times New Roman"/>
                <w:b/>
              </w:rPr>
              <w:t>% čerpania k uprav. rozpočtu</w:t>
            </w:r>
          </w:p>
        </w:tc>
      </w:tr>
      <w:tr w:rsidR="005230B1" w:rsidRPr="00555489" w:rsidTr="00CA3DE2">
        <w:tc>
          <w:tcPr>
            <w:tcW w:w="2268" w:type="dxa"/>
            <w:tcBorders>
              <w:top w:val="single" w:sz="4" w:space="0" w:color="auto"/>
              <w:left w:val="single" w:sz="4" w:space="0" w:color="auto"/>
              <w:bottom w:val="nil"/>
              <w:right w:val="single" w:sz="4" w:space="0" w:color="auto"/>
            </w:tcBorders>
            <w:shd w:val="clear" w:color="auto" w:fill="auto"/>
          </w:tcPr>
          <w:p w:rsidR="005230B1" w:rsidRPr="00555489" w:rsidRDefault="005230B1" w:rsidP="00CA3DE2">
            <w:pPr>
              <w:spacing w:after="0" w:line="240" w:lineRule="auto"/>
              <w:jc w:val="both"/>
              <w:rPr>
                <w:rFonts w:ascii="Times New Roman" w:eastAsia="Times New Roman" w:hAnsi="Times New Roman" w:cs="Times New Roman"/>
              </w:rPr>
            </w:pPr>
            <w:r w:rsidRPr="00555489">
              <w:rPr>
                <w:rFonts w:ascii="Times New Roman" w:eastAsia="Times New Roman" w:hAnsi="Times New Roman" w:cs="Times New Roman"/>
              </w:rPr>
              <w:t>630 – tovary a služby</w:t>
            </w:r>
          </w:p>
        </w:tc>
        <w:tc>
          <w:tcPr>
            <w:tcW w:w="851" w:type="dxa"/>
            <w:tcBorders>
              <w:left w:val="single" w:sz="4" w:space="0" w:color="auto"/>
            </w:tcBorders>
          </w:tcPr>
          <w:p w:rsidR="005230B1" w:rsidRPr="00555489" w:rsidRDefault="005230B1" w:rsidP="00CA3DE2">
            <w:pPr>
              <w:autoSpaceDE w:val="0"/>
              <w:autoSpaceDN w:val="0"/>
              <w:adjustRightInd w:val="0"/>
              <w:spacing w:after="0" w:line="240" w:lineRule="auto"/>
              <w:jc w:val="center"/>
              <w:rPr>
                <w:rFonts w:ascii="Times New Roman" w:hAnsi="Times New Roman" w:cs="Times New Roman"/>
                <w:lang w:eastAsia="sk-SK"/>
              </w:rPr>
            </w:pPr>
            <w:r w:rsidRPr="00555489">
              <w:rPr>
                <w:rFonts w:ascii="Times New Roman" w:hAnsi="Times New Roman" w:cs="Times New Roman"/>
                <w:lang w:eastAsia="sk-SK"/>
              </w:rPr>
              <w:t>111</w:t>
            </w:r>
          </w:p>
        </w:tc>
        <w:tc>
          <w:tcPr>
            <w:tcW w:w="1701" w:type="dxa"/>
            <w:shd w:val="clear" w:color="auto" w:fill="auto"/>
          </w:tcPr>
          <w:p w:rsidR="005230B1" w:rsidRPr="00555489" w:rsidRDefault="005230B1"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6 489 413,00</w:t>
            </w:r>
          </w:p>
        </w:tc>
        <w:tc>
          <w:tcPr>
            <w:tcW w:w="1417" w:type="dxa"/>
            <w:shd w:val="clear" w:color="auto" w:fill="auto"/>
          </w:tcPr>
          <w:p w:rsidR="005230B1" w:rsidRPr="00555489" w:rsidRDefault="005230B1"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7 278 248,43</w:t>
            </w:r>
          </w:p>
        </w:tc>
        <w:tc>
          <w:tcPr>
            <w:tcW w:w="1418" w:type="dxa"/>
            <w:shd w:val="clear" w:color="auto" w:fill="auto"/>
          </w:tcPr>
          <w:p w:rsidR="005230B1" w:rsidRPr="00555489" w:rsidRDefault="005230B1"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7 220 031,57</w:t>
            </w:r>
          </w:p>
        </w:tc>
        <w:tc>
          <w:tcPr>
            <w:tcW w:w="1417" w:type="dxa"/>
            <w:shd w:val="clear" w:color="auto" w:fill="auto"/>
          </w:tcPr>
          <w:p w:rsidR="005230B1" w:rsidRPr="00555489" w:rsidRDefault="007E1D75" w:rsidP="005230B1">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  </w:t>
            </w:r>
            <w:r w:rsidR="005230B1" w:rsidRPr="00555489">
              <w:rPr>
                <w:rFonts w:ascii="Times New Roman" w:eastAsia="Times New Roman" w:hAnsi="Times New Roman" w:cs="Times New Roman"/>
              </w:rPr>
              <w:t>99,21</w:t>
            </w:r>
          </w:p>
        </w:tc>
      </w:tr>
      <w:tr w:rsidR="005230B1" w:rsidRPr="00555489" w:rsidTr="00CA3DE2">
        <w:tc>
          <w:tcPr>
            <w:tcW w:w="2268" w:type="dxa"/>
            <w:tcBorders>
              <w:top w:val="nil"/>
              <w:left w:val="single" w:sz="4" w:space="0" w:color="auto"/>
              <w:bottom w:val="nil"/>
              <w:right w:val="single" w:sz="4" w:space="0" w:color="auto"/>
            </w:tcBorders>
            <w:shd w:val="clear" w:color="auto" w:fill="auto"/>
          </w:tcPr>
          <w:p w:rsidR="005230B1" w:rsidRPr="00555489" w:rsidRDefault="005230B1"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230B1" w:rsidRPr="00555489" w:rsidRDefault="005230B1" w:rsidP="00CA3DE2">
            <w:pPr>
              <w:autoSpaceDE w:val="0"/>
              <w:autoSpaceDN w:val="0"/>
              <w:adjustRightInd w:val="0"/>
              <w:spacing w:after="0" w:line="240" w:lineRule="auto"/>
              <w:jc w:val="center"/>
              <w:rPr>
                <w:rFonts w:ascii="Times New Roman" w:hAnsi="Times New Roman" w:cs="Times New Roman"/>
                <w:lang w:eastAsia="sk-SK"/>
              </w:rPr>
            </w:pPr>
            <w:r w:rsidRPr="00555489">
              <w:rPr>
                <w:rFonts w:ascii="Times New Roman" w:hAnsi="Times New Roman" w:cs="Times New Roman"/>
                <w:lang w:eastAsia="sk-SK"/>
              </w:rPr>
              <w:t>11U1</w:t>
            </w:r>
          </w:p>
        </w:tc>
        <w:tc>
          <w:tcPr>
            <w:tcW w:w="1701" w:type="dxa"/>
            <w:shd w:val="clear" w:color="auto" w:fill="auto"/>
          </w:tcPr>
          <w:p w:rsidR="005230B1" w:rsidRPr="00555489" w:rsidRDefault="00555489"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0,00</w:t>
            </w:r>
          </w:p>
        </w:tc>
        <w:tc>
          <w:tcPr>
            <w:tcW w:w="1417" w:type="dxa"/>
            <w:shd w:val="clear" w:color="auto" w:fill="auto"/>
          </w:tcPr>
          <w:p w:rsidR="005230B1" w:rsidRPr="00555489" w:rsidRDefault="00555489"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7 607,50</w:t>
            </w:r>
          </w:p>
        </w:tc>
        <w:tc>
          <w:tcPr>
            <w:tcW w:w="1418" w:type="dxa"/>
            <w:shd w:val="clear" w:color="auto" w:fill="auto"/>
          </w:tcPr>
          <w:p w:rsidR="005230B1" w:rsidRPr="00555489" w:rsidRDefault="00555489"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7 607,50</w:t>
            </w:r>
          </w:p>
        </w:tc>
        <w:tc>
          <w:tcPr>
            <w:tcW w:w="1417" w:type="dxa"/>
            <w:shd w:val="clear" w:color="auto" w:fill="auto"/>
          </w:tcPr>
          <w:p w:rsidR="005230B1" w:rsidRPr="00555489" w:rsidRDefault="00555489" w:rsidP="00CA3DE2">
            <w:pPr>
              <w:spacing w:after="0" w:line="240" w:lineRule="auto"/>
              <w:jc w:val="center"/>
              <w:rPr>
                <w:rFonts w:ascii="Times New Roman" w:eastAsia="Times New Roman" w:hAnsi="Times New Roman" w:cs="Times New Roman"/>
              </w:rPr>
            </w:pPr>
            <w:r w:rsidRPr="00555489">
              <w:rPr>
                <w:rFonts w:ascii="Times New Roman" w:eastAsia="Times New Roman" w:hAnsi="Times New Roman" w:cs="Times New Roman"/>
              </w:rPr>
              <w:t>100,00</w:t>
            </w:r>
          </w:p>
        </w:tc>
      </w:tr>
      <w:tr w:rsidR="005230B1" w:rsidRPr="00555489" w:rsidTr="00CA3DE2">
        <w:tc>
          <w:tcPr>
            <w:tcW w:w="2268" w:type="dxa"/>
            <w:tcBorders>
              <w:top w:val="nil"/>
              <w:left w:val="single" w:sz="4" w:space="0" w:color="auto"/>
              <w:bottom w:val="nil"/>
              <w:right w:val="single" w:sz="4" w:space="0" w:color="auto"/>
            </w:tcBorders>
            <w:shd w:val="clear" w:color="auto" w:fill="auto"/>
          </w:tcPr>
          <w:p w:rsidR="005230B1" w:rsidRPr="00555489" w:rsidRDefault="005230B1" w:rsidP="00CA3DE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5230B1" w:rsidRPr="00555489" w:rsidRDefault="005230B1" w:rsidP="00CA3DE2">
            <w:pPr>
              <w:autoSpaceDE w:val="0"/>
              <w:autoSpaceDN w:val="0"/>
              <w:adjustRightInd w:val="0"/>
              <w:spacing w:after="0" w:line="240" w:lineRule="auto"/>
              <w:jc w:val="center"/>
              <w:rPr>
                <w:rFonts w:ascii="Times New Roman" w:hAnsi="Times New Roman" w:cs="Times New Roman"/>
                <w:lang w:eastAsia="sk-SK"/>
              </w:rPr>
            </w:pPr>
            <w:r w:rsidRPr="00555489">
              <w:rPr>
                <w:rFonts w:ascii="Times New Roman" w:hAnsi="Times New Roman" w:cs="Times New Roman"/>
                <w:lang w:eastAsia="sk-SK"/>
              </w:rPr>
              <w:t>11U2</w:t>
            </w:r>
          </w:p>
        </w:tc>
        <w:tc>
          <w:tcPr>
            <w:tcW w:w="1701" w:type="dxa"/>
            <w:shd w:val="clear" w:color="auto" w:fill="auto"/>
          </w:tcPr>
          <w:p w:rsidR="005230B1" w:rsidRPr="00555489" w:rsidRDefault="00555489"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0,00</w:t>
            </w:r>
          </w:p>
        </w:tc>
        <w:tc>
          <w:tcPr>
            <w:tcW w:w="1417" w:type="dxa"/>
            <w:shd w:val="clear" w:color="auto" w:fill="auto"/>
          </w:tcPr>
          <w:p w:rsidR="005230B1" w:rsidRPr="00555489" w:rsidRDefault="00555489"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1 342,50</w:t>
            </w:r>
          </w:p>
        </w:tc>
        <w:tc>
          <w:tcPr>
            <w:tcW w:w="1418" w:type="dxa"/>
            <w:shd w:val="clear" w:color="auto" w:fill="auto"/>
          </w:tcPr>
          <w:p w:rsidR="005230B1" w:rsidRPr="00555489" w:rsidRDefault="00555489" w:rsidP="007E1D75">
            <w:pPr>
              <w:autoSpaceDE w:val="0"/>
              <w:autoSpaceDN w:val="0"/>
              <w:adjustRightInd w:val="0"/>
              <w:spacing w:after="0" w:line="240" w:lineRule="auto"/>
              <w:jc w:val="right"/>
              <w:rPr>
                <w:rFonts w:ascii="Times New Roman" w:hAnsi="Times New Roman" w:cs="Times New Roman"/>
                <w:lang w:eastAsia="sk-SK"/>
              </w:rPr>
            </w:pPr>
            <w:r w:rsidRPr="00555489">
              <w:rPr>
                <w:rFonts w:ascii="Times New Roman" w:hAnsi="Times New Roman" w:cs="Times New Roman"/>
                <w:lang w:eastAsia="sk-SK"/>
              </w:rPr>
              <w:t>1 342,50</w:t>
            </w:r>
          </w:p>
        </w:tc>
        <w:tc>
          <w:tcPr>
            <w:tcW w:w="1417" w:type="dxa"/>
            <w:shd w:val="clear" w:color="auto" w:fill="auto"/>
          </w:tcPr>
          <w:p w:rsidR="005230B1" w:rsidRPr="00555489" w:rsidRDefault="00555489" w:rsidP="00CA3DE2">
            <w:pPr>
              <w:spacing w:after="0" w:line="240" w:lineRule="auto"/>
              <w:jc w:val="center"/>
              <w:rPr>
                <w:rFonts w:ascii="Times New Roman" w:eastAsia="Times New Roman" w:hAnsi="Times New Roman" w:cs="Times New Roman"/>
              </w:rPr>
            </w:pPr>
            <w:r w:rsidRPr="00555489">
              <w:rPr>
                <w:rFonts w:ascii="Times New Roman" w:eastAsia="Times New Roman" w:hAnsi="Times New Roman" w:cs="Times New Roman"/>
              </w:rPr>
              <w:t>100,00</w:t>
            </w:r>
          </w:p>
        </w:tc>
      </w:tr>
      <w:tr w:rsidR="005230B1" w:rsidRPr="001C5DBD" w:rsidTr="00CA3DE2">
        <w:tc>
          <w:tcPr>
            <w:tcW w:w="2268" w:type="dxa"/>
            <w:tcBorders>
              <w:top w:val="single" w:sz="4" w:space="0" w:color="auto"/>
              <w:left w:val="single" w:sz="4" w:space="0" w:color="auto"/>
              <w:bottom w:val="single" w:sz="4" w:space="0" w:color="auto"/>
              <w:right w:val="single" w:sz="4" w:space="0" w:color="auto"/>
            </w:tcBorders>
            <w:shd w:val="clear" w:color="auto" w:fill="auto"/>
          </w:tcPr>
          <w:p w:rsidR="005230B1" w:rsidRPr="001C5DBD" w:rsidRDefault="005230B1" w:rsidP="00CA3DE2">
            <w:pPr>
              <w:spacing w:after="0" w:line="240" w:lineRule="auto"/>
              <w:jc w:val="both"/>
              <w:rPr>
                <w:rFonts w:ascii="Times New Roman" w:eastAsia="Times New Roman" w:hAnsi="Times New Roman" w:cs="Times New Roman"/>
                <w:b/>
              </w:rPr>
            </w:pPr>
            <w:r w:rsidRPr="001C5DBD">
              <w:rPr>
                <w:rFonts w:ascii="Times New Roman" w:eastAsia="Times New Roman" w:hAnsi="Times New Roman" w:cs="Times New Roman"/>
                <w:b/>
              </w:rPr>
              <w:t>SPOLU 630</w:t>
            </w:r>
          </w:p>
        </w:tc>
        <w:tc>
          <w:tcPr>
            <w:tcW w:w="851" w:type="dxa"/>
            <w:tcBorders>
              <w:left w:val="single" w:sz="4" w:space="0" w:color="auto"/>
            </w:tcBorders>
          </w:tcPr>
          <w:p w:rsidR="005230B1" w:rsidRPr="001C5DBD" w:rsidRDefault="005230B1" w:rsidP="00CA3DE2">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5230B1" w:rsidRPr="001C5DBD" w:rsidRDefault="00555489" w:rsidP="007E1D75">
            <w:pPr>
              <w:autoSpaceDE w:val="0"/>
              <w:autoSpaceDN w:val="0"/>
              <w:adjustRightInd w:val="0"/>
              <w:spacing w:after="0" w:line="240" w:lineRule="auto"/>
              <w:jc w:val="right"/>
              <w:rPr>
                <w:rFonts w:ascii="Times New Roman" w:hAnsi="Times New Roman" w:cs="Times New Roman"/>
                <w:b/>
                <w:lang w:eastAsia="sk-SK"/>
              </w:rPr>
            </w:pPr>
            <w:r w:rsidRPr="001C5DBD">
              <w:rPr>
                <w:rFonts w:ascii="Times New Roman" w:hAnsi="Times New Roman" w:cs="Times New Roman"/>
                <w:b/>
                <w:lang w:eastAsia="sk-SK"/>
              </w:rPr>
              <w:t>6 489 413,00</w:t>
            </w:r>
          </w:p>
        </w:tc>
        <w:tc>
          <w:tcPr>
            <w:tcW w:w="1417" w:type="dxa"/>
            <w:shd w:val="clear" w:color="auto" w:fill="auto"/>
          </w:tcPr>
          <w:p w:rsidR="005230B1" w:rsidRPr="001C5DBD" w:rsidRDefault="00555489" w:rsidP="007E1D75">
            <w:pPr>
              <w:autoSpaceDE w:val="0"/>
              <w:autoSpaceDN w:val="0"/>
              <w:adjustRightInd w:val="0"/>
              <w:spacing w:after="0" w:line="240" w:lineRule="auto"/>
              <w:jc w:val="right"/>
              <w:rPr>
                <w:rFonts w:ascii="Times New Roman" w:hAnsi="Times New Roman" w:cs="Times New Roman"/>
                <w:b/>
                <w:lang w:eastAsia="sk-SK"/>
              </w:rPr>
            </w:pPr>
            <w:r w:rsidRPr="001C5DBD">
              <w:rPr>
                <w:rFonts w:ascii="Times New Roman" w:hAnsi="Times New Roman" w:cs="Times New Roman"/>
                <w:b/>
                <w:lang w:eastAsia="sk-SK"/>
              </w:rPr>
              <w:t>7 287 198,43</w:t>
            </w:r>
          </w:p>
        </w:tc>
        <w:tc>
          <w:tcPr>
            <w:tcW w:w="1418" w:type="dxa"/>
            <w:shd w:val="clear" w:color="auto" w:fill="auto"/>
          </w:tcPr>
          <w:p w:rsidR="005230B1" w:rsidRPr="001C5DBD" w:rsidRDefault="00555489" w:rsidP="007E1D75">
            <w:pPr>
              <w:autoSpaceDE w:val="0"/>
              <w:autoSpaceDN w:val="0"/>
              <w:adjustRightInd w:val="0"/>
              <w:spacing w:after="0" w:line="240" w:lineRule="auto"/>
              <w:jc w:val="right"/>
              <w:rPr>
                <w:rFonts w:ascii="Times New Roman" w:hAnsi="Times New Roman" w:cs="Times New Roman"/>
                <w:b/>
                <w:lang w:eastAsia="sk-SK"/>
              </w:rPr>
            </w:pPr>
            <w:r w:rsidRPr="001C5DBD">
              <w:rPr>
                <w:rFonts w:ascii="Times New Roman" w:hAnsi="Times New Roman" w:cs="Times New Roman"/>
                <w:b/>
                <w:lang w:eastAsia="sk-SK"/>
              </w:rPr>
              <w:t>7 228 981,57</w:t>
            </w:r>
          </w:p>
        </w:tc>
        <w:tc>
          <w:tcPr>
            <w:tcW w:w="1417" w:type="dxa"/>
            <w:shd w:val="clear" w:color="auto" w:fill="auto"/>
          </w:tcPr>
          <w:p w:rsidR="005230B1" w:rsidRPr="001C5DBD" w:rsidRDefault="00555489" w:rsidP="00CA3DE2">
            <w:pPr>
              <w:spacing w:after="0" w:line="240" w:lineRule="auto"/>
              <w:jc w:val="center"/>
              <w:rPr>
                <w:rFonts w:ascii="Times New Roman" w:eastAsia="Times New Roman" w:hAnsi="Times New Roman" w:cs="Times New Roman"/>
                <w:b/>
              </w:rPr>
            </w:pPr>
            <w:r w:rsidRPr="001C5DBD">
              <w:rPr>
                <w:rFonts w:ascii="Times New Roman" w:eastAsia="Times New Roman" w:hAnsi="Times New Roman" w:cs="Times New Roman"/>
                <w:b/>
              </w:rPr>
              <w:t>99,21</w:t>
            </w:r>
          </w:p>
        </w:tc>
      </w:tr>
    </w:tbl>
    <w:p w:rsidR="0078104F" w:rsidRPr="009F1E92" w:rsidRDefault="0078104F" w:rsidP="004B650F">
      <w:pPr>
        <w:autoSpaceDE w:val="0"/>
        <w:autoSpaceDN w:val="0"/>
        <w:adjustRightInd w:val="0"/>
        <w:spacing w:before="240" w:after="0" w:line="240" w:lineRule="auto"/>
        <w:ind w:firstLine="709"/>
        <w:jc w:val="both"/>
        <w:rPr>
          <w:rFonts w:ascii="Times New Roman" w:hAnsi="Times New Roman" w:cs="Times New Roman"/>
          <w:sz w:val="24"/>
          <w:szCs w:val="24"/>
          <w:lang w:eastAsia="sk-SK"/>
        </w:rPr>
      </w:pPr>
      <w:r w:rsidRPr="009F1E92">
        <w:rPr>
          <w:rFonts w:ascii="Times New Roman" w:hAnsi="Times New Roman" w:cs="Times New Roman"/>
          <w:sz w:val="24"/>
          <w:szCs w:val="24"/>
        </w:rPr>
        <w:t>Rozpočet  tovarov  a  služieb bol  na  rok  201</w:t>
      </w:r>
      <w:r w:rsidR="00C60A6D">
        <w:rPr>
          <w:rFonts w:ascii="Times New Roman" w:hAnsi="Times New Roman" w:cs="Times New Roman"/>
          <w:sz w:val="24"/>
          <w:szCs w:val="24"/>
        </w:rPr>
        <w:t>5</w:t>
      </w:r>
      <w:r w:rsidRPr="009F1E92">
        <w:rPr>
          <w:rFonts w:ascii="Times New Roman" w:hAnsi="Times New Roman" w:cs="Times New Roman"/>
          <w:sz w:val="24"/>
          <w:szCs w:val="24"/>
        </w:rPr>
        <w:t xml:space="preserve">  pre  podprogram 07L 04  schválený </w:t>
      </w:r>
      <w:r w:rsidR="00E473F1">
        <w:rPr>
          <w:rFonts w:ascii="Times New Roman" w:hAnsi="Times New Roman" w:cs="Times New Roman"/>
          <w:sz w:val="24"/>
          <w:szCs w:val="24"/>
        </w:rPr>
        <w:t>v sume</w:t>
      </w:r>
      <w:r w:rsidRPr="009F1E92">
        <w:rPr>
          <w:rFonts w:ascii="Times New Roman" w:hAnsi="Times New Roman" w:cs="Times New Roman"/>
          <w:sz w:val="24"/>
          <w:szCs w:val="24"/>
        </w:rPr>
        <w:t xml:space="preserve"> </w:t>
      </w:r>
      <w:r w:rsidR="00C60A6D">
        <w:rPr>
          <w:rFonts w:ascii="Times New Roman" w:hAnsi="Times New Roman" w:cs="Times New Roman"/>
          <w:sz w:val="24"/>
          <w:szCs w:val="24"/>
          <w:lang w:eastAsia="sk-SK"/>
        </w:rPr>
        <w:t xml:space="preserve">6 489 413,00 </w:t>
      </w:r>
      <w:r w:rsidRPr="009F1E92">
        <w:rPr>
          <w:rFonts w:ascii="Times New Roman" w:hAnsi="Times New Roman" w:cs="Times New Roman"/>
          <w:sz w:val="24"/>
          <w:szCs w:val="24"/>
        </w:rPr>
        <w:t xml:space="preserve">eur, rozpočtovými opatreniami bol upravený na </w:t>
      </w:r>
      <w:r w:rsidR="00E473F1">
        <w:rPr>
          <w:rFonts w:ascii="Times New Roman" w:hAnsi="Times New Roman" w:cs="Times New Roman"/>
          <w:sz w:val="24"/>
          <w:szCs w:val="24"/>
        </w:rPr>
        <w:t>sumu              7 287 198,43</w:t>
      </w:r>
      <w:r w:rsidR="00EC4189" w:rsidRPr="009F1E92">
        <w:rPr>
          <w:rFonts w:ascii="Times New Roman" w:hAnsi="Times New Roman" w:cs="Times New Roman"/>
          <w:sz w:val="24"/>
          <w:szCs w:val="24"/>
        </w:rPr>
        <w:t xml:space="preserve">  </w:t>
      </w:r>
      <w:r w:rsidRPr="009F1E92">
        <w:rPr>
          <w:rFonts w:ascii="Times New Roman" w:hAnsi="Times New Roman" w:cs="Times New Roman"/>
          <w:sz w:val="24"/>
          <w:szCs w:val="24"/>
        </w:rPr>
        <w:t xml:space="preserve">eur a čerpanie bolo vykázané </w:t>
      </w:r>
      <w:r w:rsidR="00E473F1">
        <w:rPr>
          <w:rFonts w:ascii="Times New Roman" w:hAnsi="Times New Roman" w:cs="Times New Roman"/>
          <w:sz w:val="24"/>
          <w:szCs w:val="24"/>
        </w:rPr>
        <w:t>v sume 7 228 981,57</w:t>
      </w:r>
      <w:r w:rsidRPr="009F1E92">
        <w:rPr>
          <w:rFonts w:ascii="Times New Roman" w:hAnsi="Times New Roman" w:cs="Times New Roman"/>
          <w:sz w:val="24"/>
          <w:szCs w:val="24"/>
        </w:rPr>
        <w:t xml:space="preserve"> eur, čo je</w:t>
      </w:r>
      <w:r w:rsidR="00E473F1">
        <w:rPr>
          <w:rFonts w:ascii="Times New Roman" w:hAnsi="Times New Roman" w:cs="Times New Roman"/>
          <w:sz w:val="24"/>
          <w:szCs w:val="24"/>
        </w:rPr>
        <w:t xml:space="preserve"> 99,21</w:t>
      </w:r>
      <w:r w:rsidRPr="009F1E92">
        <w:rPr>
          <w:rFonts w:ascii="Times New Roman" w:hAnsi="Times New Roman" w:cs="Times New Roman"/>
          <w:sz w:val="24"/>
          <w:szCs w:val="24"/>
        </w:rPr>
        <w:t xml:space="preserve"> % z upraveného rozpočtu</w:t>
      </w:r>
      <w:r w:rsidR="00E473F1">
        <w:rPr>
          <w:rFonts w:ascii="Times New Roman" w:hAnsi="Times New Roman" w:cs="Times New Roman"/>
          <w:sz w:val="24"/>
          <w:szCs w:val="24"/>
        </w:rPr>
        <w:t xml:space="preserve"> k 31. 12.2015</w:t>
      </w:r>
      <w:r w:rsidRPr="009F1E92">
        <w:rPr>
          <w:rFonts w:ascii="Times New Roman" w:hAnsi="Times New Roman" w:cs="Times New Roman"/>
          <w:sz w:val="24"/>
          <w:szCs w:val="24"/>
        </w:rPr>
        <w:t>.</w:t>
      </w:r>
    </w:p>
    <w:p w:rsidR="0078104F" w:rsidRPr="009F1E92" w:rsidRDefault="0078104F" w:rsidP="009F1E92">
      <w:pPr>
        <w:spacing w:after="0" w:line="240" w:lineRule="auto"/>
        <w:jc w:val="both"/>
        <w:rPr>
          <w:rFonts w:ascii="Times New Roman" w:hAnsi="Times New Roman" w:cs="Times New Roman"/>
          <w:sz w:val="24"/>
          <w:szCs w:val="24"/>
        </w:rPr>
      </w:pPr>
    </w:p>
    <w:p w:rsidR="0078104F" w:rsidRPr="009F1E92" w:rsidRDefault="0078104F" w:rsidP="009F1E92">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Tovary a služby boli v uvedenom podprograme čerpané vo funkčnej klasifikácii:</w:t>
      </w:r>
    </w:p>
    <w:p w:rsidR="0078104F" w:rsidRPr="009F1E92" w:rsidRDefault="0078104F" w:rsidP="009F1E92">
      <w:pPr>
        <w:spacing w:after="0" w:line="240" w:lineRule="auto"/>
        <w:rPr>
          <w:rFonts w:ascii="Times New Roman" w:hAnsi="Times New Roman" w:cs="Times New Roman"/>
          <w:sz w:val="24"/>
          <w:szCs w:val="24"/>
        </w:rPr>
      </w:pPr>
      <w:r w:rsidRPr="009F1E92">
        <w:rPr>
          <w:rFonts w:ascii="Times New Roman" w:hAnsi="Times New Roman" w:cs="Times New Roman"/>
          <w:sz w:val="24"/>
          <w:szCs w:val="24"/>
        </w:rPr>
        <w:t>- zahraničná oblasť, v tom: pracoviská mimo sídla služobného úradu MH SR v cudzine,</w:t>
      </w:r>
    </w:p>
    <w:p w:rsidR="0078104F" w:rsidRPr="009F1E92" w:rsidRDefault="0078104F" w:rsidP="009F1E92">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 všeobecná ekonomická a obchodná oblasť, v tom: aparát MH</w:t>
      </w:r>
      <w:r w:rsidR="00A52306">
        <w:rPr>
          <w:rFonts w:ascii="Times New Roman" w:hAnsi="Times New Roman" w:cs="Times New Roman"/>
          <w:sz w:val="24"/>
          <w:szCs w:val="24"/>
        </w:rPr>
        <w:t xml:space="preserve"> </w:t>
      </w:r>
      <w:r w:rsidRPr="009F1E92">
        <w:rPr>
          <w:rFonts w:ascii="Times New Roman" w:hAnsi="Times New Roman" w:cs="Times New Roman"/>
          <w:sz w:val="24"/>
          <w:szCs w:val="24"/>
        </w:rPr>
        <w:t>SR,</w:t>
      </w:r>
    </w:p>
    <w:p w:rsidR="0078104F" w:rsidRPr="009F1E92" w:rsidRDefault="0078104F" w:rsidP="009F1E92">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 kultúrne služby,</w:t>
      </w:r>
    </w:p>
    <w:p w:rsidR="0078104F" w:rsidRPr="009F1E92" w:rsidRDefault="0078104F" w:rsidP="009F1E92">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 vysielacie a vydavateľské služby,</w:t>
      </w:r>
    </w:p>
    <w:p w:rsidR="00E473F1" w:rsidRDefault="0078104F" w:rsidP="009F1E92">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 vzdelávanie inde neklasifikované</w:t>
      </w:r>
      <w:r w:rsidR="00CA3148">
        <w:rPr>
          <w:rFonts w:ascii="Times New Roman" w:hAnsi="Times New Roman" w:cs="Times New Roman"/>
          <w:sz w:val="24"/>
          <w:szCs w:val="24"/>
        </w:rPr>
        <w:t>,</w:t>
      </w:r>
    </w:p>
    <w:p w:rsidR="0078104F" w:rsidRPr="009F1E92" w:rsidRDefault="00E473F1" w:rsidP="009F1E9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nakladanie s odpadmi</w:t>
      </w:r>
      <w:r w:rsidR="0078104F" w:rsidRPr="009F1E92">
        <w:rPr>
          <w:rFonts w:ascii="Times New Roman" w:hAnsi="Times New Roman" w:cs="Times New Roman"/>
          <w:sz w:val="24"/>
          <w:szCs w:val="24"/>
        </w:rPr>
        <w:t>.</w:t>
      </w:r>
    </w:p>
    <w:p w:rsidR="00B412D4" w:rsidRPr="009F1E92" w:rsidRDefault="00B412D4" w:rsidP="009F1E92">
      <w:pPr>
        <w:spacing w:after="0" w:line="240" w:lineRule="auto"/>
        <w:jc w:val="both"/>
        <w:rPr>
          <w:rFonts w:ascii="Times New Roman" w:hAnsi="Times New Roman" w:cs="Times New Roman"/>
          <w:sz w:val="24"/>
          <w:szCs w:val="24"/>
        </w:rPr>
      </w:pPr>
    </w:p>
    <w:p w:rsidR="0078104F" w:rsidRPr="009F1E92" w:rsidRDefault="0078104F" w:rsidP="009F1E92">
      <w:pPr>
        <w:spacing w:after="0" w:line="240" w:lineRule="auto"/>
        <w:jc w:val="both"/>
        <w:rPr>
          <w:rFonts w:ascii="Times New Roman" w:hAnsi="Times New Roman" w:cs="Times New Roman"/>
          <w:sz w:val="24"/>
          <w:szCs w:val="24"/>
        </w:rPr>
      </w:pPr>
      <w:r w:rsidRPr="009F1E92">
        <w:rPr>
          <w:rFonts w:ascii="Times New Roman" w:hAnsi="Times New Roman" w:cs="Times New Roman"/>
          <w:sz w:val="24"/>
          <w:szCs w:val="24"/>
        </w:rPr>
        <w:t>Čerpanie podľa podpoložiek ekonomickej klasifikácie 630 je uvedené v nasledovnej tabuľke:</w:t>
      </w:r>
    </w:p>
    <w:p w:rsidR="000275A9" w:rsidRPr="007D774A" w:rsidRDefault="0078104F" w:rsidP="00BC0FAE">
      <w:pPr>
        <w:spacing w:after="0" w:line="240" w:lineRule="auto"/>
        <w:ind w:firstLine="540"/>
        <w:jc w:val="right"/>
        <w:rPr>
          <w:rFonts w:ascii="Times New Roman" w:hAnsi="Times New Roman" w:cs="Times New Roman"/>
          <w:sz w:val="24"/>
          <w:szCs w:val="24"/>
        </w:rPr>
      </w:pP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000275A9" w:rsidRPr="00E91F66">
        <w:rPr>
          <w:rFonts w:ascii="Times New Roman" w:hAnsi="Times New Roman" w:cs="Times New Roman"/>
          <w:sz w:val="24"/>
          <w:szCs w:val="24"/>
        </w:rPr>
        <w:t>v eur</w:t>
      </w:r>
      <w:r w:rsidR="000275A9">
        <w:rPr>
          <w:rFonts w:ascii="Times New Roman" w:hAnsi="Times New Roman" w:cs="Times New Roman"/>
          <w:sz w:val="24"/>
          <w:szCs w:val="24"/>
        </w:rPr>
        <w:t>ách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50"/>
        <w:gridCol w:w="1480"/>
        <w:gridCol w:w="1639"/>
        <w:gridCol w:w="1417"/>
        <w:gridCol w:w="1559"/>
      </w:tblGrid>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b/>
              </w:rPr>
            </w:pPr>
            <w:r w:rsidRPr="003A6376">
              <w:rPr>
                <w:rFonts w:ascii="Times New Roman" w:hAnsi="Times New Roman" w:cs="Times New Roman"/>
                <w:b/>
              </w:rPr>
              <w:t>Ekonomická</w:t>
            </w:r>
          </w:p>
          <w:p w:rsidR="00E473F1" w:rsidRPr="003A6376" w:rsidRDefault="00E473F1" w:rsidP="009F1E92">
            <w:pPr>
              <w:spacing w:after="0" w:line="240" w:lineRule="auto"/>
              <w:jc w:val="both"/>
              <w:rPr>
                <w:rFonts w:ascii="Times New Roman" w:hAnsi="Times New Roman" w:cs="Times New Roman"/>
                <w:b/>
              </w:rPr>
            </w:pPr>
            <w:r w:rsidRPr="003A6376">
              <w:rPr>
                <w:rFonts w:ascii="Times New Roman" w:hAnsi="Times New Roman" w:cs="Times New Roman"/>
                <w:b/>
              </w:rPr>
              <w:t>klasifikácia</w:t>
            </w:r>
          </w:p>
        </w:tc>
        <w:tc>
          <w:tcPr>
            <w:tcW w:w="850" w:type="dxa"/>
          </w:tcPr>
          <w:p w:rsidR="00E473F1" w:rsidRPr="003A6376" w:rsidRDefault="00E473F1" w:rsidP="0059693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Zdroj</w:t>
            </w:r>
          </w:p>
        </w:tc>
        <w:tc>
          <w:tcPr>
            <w:tcW w:w="1480" w:type="dxa"/>
            <w:shd w:val="clear" w:color="auto" w:fill="auto"/>
          </w:tcPr>
          <w:p w:rsidR="00E473F1" w:rsidRPr="003A6376" w:rsidRDefault="00E473F1" w:rsidP="0059693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Schválený</w:t>
            </w:r>
          </w:p>
          <w:p w:rsidR="00E473F1" w:rsidRPr="003A6376" w:rsidRDefault="00E473F1" w:rsidP="0059693B">
            <w:pPr>
              <w:spacing w:after="0" w:line="240" w:lineRule="auto"/>
              <w:jc w:val="center"/>
              <w:rPr>
                <w:rFonts w:ascii="Times New Roman" w:hAnsi="Times New Roman" w:cs="Times New Roman"/>
                <w:b/>
              </w:rPr>
            </w:pPr>
            <w:r w:rsidRPr="003A6376">
              <w:rPr>
                <w:rFonts w:ascii="Times New Roman" w:eastAsia="Times New Roman" w:hAnsi="Times New Roman" w:cs="Times New Roman"/>
                <w:b/>
              </w:rPr>
              <w:t>rozpočet k 1.1.2015</w:t>
            </w:r>
          </w:p>
        </w:tc>
        <w:tc>
          <w:tcPr>
            <w:tcW w:w="1639" w:type="dxa"/>
            <w:shd w:val="clear" w:color="auto" w:fill="auto"/>
          </w:tcPr>
          <w:p w:rsidR="00E473F1" w:rsidRPr="003A6376" w:rsidRDefault="00E473F1" w:rsidP="00D35D8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Upravený</w:t>
            </w:r>
          </w:p>
          <w:p w:rsidR="00E473F1" w:rsidRPr="003A6376" w:rsidRDefault="00E473F1" w:rsidP="00D35D8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rozpočet k 31.12.2015</w:t>
            </w:r>
          </w:p>
        </w:tc>
        <w:tc>
          <w:tcPr>
            <w:tcW w:w="1417" w:type="dxa"/>
            <w:shd w:val="clear" w:color="auto" w:fill="auto"/>
          </w:tcPr>
          <w:p w:rsidR="00E473F1" w:rsidRPr="003A6376" w:rsidRDefault="00E473F1" w:rsidP="00D35D8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Čerpanie k</w:t>
            </w:r>
          </w:p>
          <w:p w:rsidR="00E473F1" w:rsidRPr="003A6376" w:rsidRDefault="00E473F1" w:rsidP="00D35D8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31.12.2015</w:t>
            </w:r>
          </w:p>
        </w:tc>
        <w:tc>
          <w:tcPr>
            <w:tcW w:w="1559" w:type="dxa"/>
            <w:shd w:val="clear" w:color="auto" w:fill="auto"/>
          </w:tcPr>
          <w:p w:rsidR="00E473F1" w:rsidRPr="003A6376" w:rsidRDefault="00E473F1" w:rsidP="00D35D8B">
            <w:pPr>
              <w:spacing w:after="0" w:line="240" w:lineRule="auto"/>
              <w:jc w:val="center"/>
              <w:rPr>
                <w:rFonts w:ascii="Times New Roman" w:eastAsia="Times New Roman" w:hAnsi="Times New Roman" w:cs="Times New Roman"/>
                <w:b/>
              </w:rPr>
            </w:pPr>
            <w:r w:rsidRPr="003A6376">
              <w:rPr>
                <w:rFonts w:ascii="Times New Roman" w:eastAsia="Times New Roman" w:hAnsi="Times New Roman" w:cs="Times New Roman"/>
                <w:b/>
              </w:rPr>
              <w:t>% čerpania k uprav. rozpočtu</w:t>
            </w:r>
          </w:p>
        </w:tc>
      </w:tr>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rPr>
            </w:pPr>
            <w:r w:rsidRPr="003A6376">
              <w:rPr>
                <w:rFonts w:ascii="Times New Roman" w:hAnsi="Times New Roman" w:cs="Times New Roman"/>
              </w:rPr>
              <w:t>631 – Cestovné náhrady</w:t>
            </w:r>
          </w:p>
        </w:tc>
        <w:tc>
          <w:tcPr>
            <w:tcW w:w="850" w:type="dxa"/>
          </w:tcPr>
          <w:p w:rsidR="00E473F1" w:rsidRPr="003A6376" w:rsidRDefault="00E473F1" w:rsidP="0000179B">
            <w:pPr>
              <w:spacing w:after="0" w:line="240" w:lineRule="auto"/>
              <w:jc w:val="center"/>
              <w:rPr>
                <w:rFonts w:ascii="Times New Roman" w:hAnsi="Times New Roman" w:cs="Times New Roman"/>
              </w:rPr>
            </w:pPr>
          </w:p>
          <w:p w:rsidR="00E473F1" w:rsidRPr="003A6376" w:rsidRDefault="00E473F1" w:rsidP="0000179B">
            <w:pPr>
              <w:spacing w:after="0" w:line="240" w:lineRule="auto"/>
              <w:jc w:val="center"/>
              <w:rPr>
                <w:rFonts w:ascii="Times New Roman" w:hAnsi="Times New Roman" w:cs="Times New Roman"/>
              </w:rPr>
            </w:pPr>
            <w:r w:rsidRPr="003A6376">
              <w:rPr>
                <w:rFonts w:ascii="Times New Roman" w:hAnsi="Times New Roman" w:cs="Times New Roman"/>
              </w:rPr>
              <w:t>111</w:t>
            </w:r>
          </w:p>
        </w:tc>
        <w:tc>
          <w:tcPr>
            <w:tcW w:w="1480" w:type="dxa"/>
            <w:shd w:val="clear" w:color="auto" w:fill="auto"/>
          </w:tcPr>
          <w:p w:rsidR="00E473F1" w:rsidRPr="003A6376" w:rsidRDefault="00E473F1" w:rsidP="0000179B">
            <w:pPr>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633 955,00</w:t>
            </w:r>
          </w:p>
        </w:tc>
        <w:tc>
          <w:tcPr>
            <w:tcW w:w="1639"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485 425,79</w:t>
            </w:r>
          </w:p>
        </w:tc>
        <w:tc>
          <w:tcPr>
            <w:tcW w:w="1417"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478 841,73</w:t>
            </w:r>
          </w:p>
        </w:tc>
        <w:tc>
          <w:tcPr>
            <w:tcW w:w="1559" w:type="dxa"/>
            <w:shd w:val="clear" w:color="auto" w:fill="auto"/>
          </w:tcPr>
          <w:p w:rsidR="00E473F1" w:rsidRPr="003A6376" w:rsidRDefault="00E473F1" w:rsidP="0000179B">
            <w:pPr>
              <w:spacing w:after="0" w:line="240" w:lineRule="auto"/>
              <w:jc w:val="center"/>
              <w:rPr>
                <w:rFonts w:ascii="Times New Roman" w:hAnsi="Times New Roman" w:cs="Times New Roman"/>
              </w:rPr>
            </w:pPr>
          </w:p>
          <w:p w:rsidR="00E473F1"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E473F1" w:rsidRPr="003A6376">
              <w:rPr>
                <w:rFonts w:ascii="Times New Roman" w:hAnsi="Times New Roman" w:cs="Times New Roman"/>
              </w:rPr>
              <w:t>98,65</w:t>
            </w:r>
          </w:p>
        </w:tc>
      </w:tr>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rPr>
            </w:pPr>
            <w:r w:rsidRPr="003A6376">
              <w:rPr>
                <w:rFonts w:ascii="Times New Roman" w:hAnsi="Times New Roman" w:cs="Times New Roman"/>
              </w:rPr>
              <w:t>632 - Energie, voda a komunikácie</w:t>
            </w:r>
          </w:p>
        </w:tc>
        <w:tc>
          <w:tcPr>
            <w:tcW w:w="850" w:type="dxa"/>
          </w:tcPr>
          <w:p w:rsidR="00E473F1" w:rsidRPr="003A6376" w:rsidRDefault="00E473F1" w:rsidP="0000179B">
            <w:pPr>
              <w:autoSpaceDE w:val="0"/>
              <w:autoSpaceDN w:val="0"/>
              <w:adjustRightInd w:val="0"/>
              <w:spacing w:after="0" w:line="240" w:lineRule="auto"/>
              <w:jc w:val="center"/>
              <w:rPr>
                <w:rFonts w:ascii="Times New Roman" w:hAnsi="Times New Roman" w:cs="Times New Roman"/>
                <w:lang w:eastAsia="sk-SK"/>
              </w:rPr>
            </w:pPr>
          </w:p>
          <w:p w:rsidR="003A6376" w:rsidRPr="003A6376" w:rsidRDefault="003A6376" w:rsidP="0000179B">
            <w:pPr>
              <w:autoSpaceDE w:val="0"/>
              <w:autoSpaceDN w:val="0"/>
              <w:adjustRightInd w:val="0"/>
              <w:spacing w:after="0" w:line="240" w:lineRule="auto"/>
              <w:jc w:val="center"/>
              <w:rPr>
                <w:rFonts w:ascii="Times New Roman" w:hAnsi="Times New Roman" w:cs="Times New Roman"/>
                <w:lang w:eastAsia="sk-SK"/>
              </w:rPr>
            </w:pPr>
            <w:r w:rsidRPr="003A6376">
              <w:rPr>
                <w:rFonts w:ascii="Times New Roman" w:hAnsi="Times New Roman" w:cs="Times New Roman"/>
                <w:lang w:eastAsia="sk-SK"/>
              </w:rPr>
              <w:t>111</w:t>
            </w:r>
          </w:p>
        </w:tc>
        <w:tc>
          <w:tcPr>
            <w:tcW w:w="1480"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573 580,00</w:t>
            </w:r>
          </w:p>
        </w:tc>
        <w:tc>
          <w:tcPr>
            <w:tcW w:w="1639"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498 123,70</w:t>
            </w:r>
          </w:p>
        </w:tc>
        <w:tc>
          <w:tcPr>
            <w:tcW w:w="1417"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487 774,69</w:t>
            </w:r>
          </w:p>
        </w:tc>
        <w:tc>
          <w:tcPr>
            <w:tcW w:w="1559" w:type="dxa"/>
            <w:shd w:val="clear" w:color="auto" w:fill="auto"/>
          </w:tcPr>
          <w:p w:rsidR="00E473F1" w:rsidRPr="003A6376" w:rsidRDefault="00E473F1" w:rsidP="0000179B">
            <w:pPr>
              <w:spacing w:after="0" w:line="240" w:lineRule="auto"/>
              <w:jc w:val="center"/>
              <w:rPr>
                <w:rFonts w:ascii="Times New Roman" w:hAnsi="Times New Roman" w:cs="Times New Roman"/>
              </w:rPr>
            </w:pPr>
          </w:p>
          <w:p w:rsidR="00E473F1"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E473F1" w:rsidRPr="003A6376">
              <w:rPr>
                <w:rFonts w:ascii="Times New Roman" w:hAnsi="Times New Roman" w:cs="Times New Roman"/>
              </w:rPr>
              <w:t>97,93</w:t>
            </w:r>
          </w:p>
        </w:tc>
      </w:tr>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rPr>
            </w:pPr>
            <w:r w:rsidRPr="003A6376">
              <w:rPr>
                <w:rFonts w:ascii="Times New Roman" w:hAnsi="Times New Roman" w:cs="Times New Roman"/>
              </w:rPr>
              <w:t>633 – Materiál</w:t>
            </w:r>
          </w:p>
        </w:tc>
        <w:tc>
          <w:tcPr>
            <w:tcW w:w="850" w:type="dxa"/>
          </w:tcPr>
          <w:p w:rsidR="00E473F1" w:rsidRPr="003A6376" w:rsidRDefault="003A6376" w:rsidP="0000179B">
            <w:pPr>
              <w:autoSpaceDE w:val="0"/>
              <w:autoSpaceDN w:val="0"/>
              <w:adjustRightInd w:val="0"/>
              <w:spacing w:after="0" w:line="240" w:lineRule="auto"/>
              <w:jc w:val="center"/>
              <w:rPr>
                <w:rFonts w:ascii="Times New Roman" w:hAnsi="Times New Roman" w:cs="Times New Roman"/>
                <w:lang w:eastAsia="sk-SK"/>
              </w:rPr>
            </w:pPr>
            <w:r w:rsidRPr="003A6376">
              <w:rPr>
                <w:rFonts w:ascii="Times New Roman" w:hAnsi="Times New Roman" w:cs="Times New Roman"/>
                <w:lang w:eastAsia="sk-SK"/>
              </w:rPr>
              <w:t>111</w:t>
            </w:r>
          </w:p>
          <w:p w:rsidR="003A6376" w:rsidRPr="003A6376" w:rsidRDefault="003A6376" w:rsidP="0000179B">
            <w:pPr>
              <w:autoSpaceDE w:val="0"/>
              <w:autoSpaceDN w:val="0"/>
              <w:adjustRightInd w:val="0"/>
              <w:spacing w:after="0" w:line="240" w:lineRule="auto"/>
              <w:jc w:val="center"/>
              <w:rPr>
                <w:rFonts w:ascii="Times New Roman" w:hAnsi="Times New Roman" w:cs="Times New Roman"/>
                <w:lang w:eastAsia="sk-SK"/>
              </w:rPr>
            </w:pPr>
            <w:r w:rsidRPr="003A6376">
              <w:rPr>
                <w:rFonts w:ascii="Times New Roman" w:hAnsi="Times New Roman" w:cs="Times New Roman"/>
                <w:lang w:eastAsia="sk-SK"/>
              </w:rPr>
              <w:t>11U1</w:t>
            </w:r>
          </w:p>
          <w:p w:rsidR="003A6376" w:rsidRPr="003A6376" w:rsidRDefault="003A6376" w:rsidP="0000179B">
            <w:pPr>
              <w:autoSpaceDE w:val="0"/>
              <w:autoSpaceDN w:val="0"/>
              <w:adjustRightInd w:val="0"/>
              <w:spacing w:after="0" w:line="240" w:lineRule="auto"/>
              <w:jc w:val="center"/>
              <w:rPr>
                <w:rFonts w:ascii="Times New Roman" w:hAnsi="Times New Roman" w:cs="Times New Roman"/>
                <w:lang w:eastAsia="sk-SK"/>
              </w:rPr>
            </w:pPr>
            <w:r w:rsidRPr="003A6376">
              <w:rPr>
                <w:rFonts w:ascii="Times New Roman" w:hAnsi="Times New Roman" w:cs="Times New Roman"/>
                <w:lang w:eastAsia="sk-SK"/>
              </w:rPr>
              <w:t>11U2</w:t>
            </w:r>
          </w:p>
        </w:tc>
        <w:tc>
          <w:tcPr>
            <w:tcW w:w="1480" w:type="dxa"/>
            <w:shd w:val="clear" w:color="auto" w:fill="auto"/>
          </w:tcPr>
          <w:p w:rsidR="00E473F1"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823 400,00</w:t>
            </w:r>
          </w:p>
          <w:p w:rsidR="0000179B" w:rsidRDefault="0000179B" w:rsidP="0000179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00179B" w:rsidRPr="003A6376" w:rsidRDefault="0000179B" w:rsidP="0000179B">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tc>
        <w:tc>
          <w:tcPr>
            <w:tcW w:w="1639" w:type="dxa"/>
            <w:shd w:val="clear" w:color="auto" w:fill="auto"/>
          </w:tcPr>
          <w:p w:rsidR="00E473F1" w:rsidRPr="003A6376" w:rsidRDefault="003A6376"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599 954,26</w:t>
            </w:r>
          </w:p>
          <w:p w:rsidR="003A6376" w:rsidRPr="003A6376" w:rsidRDefault="003A6376"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7 607,50</w:t>
            </w:r>
          </w:p>
          <w:p w:rsidR="003A6376" w:rsidRPr="003A6376" w:rsidRDefault="003A6376"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1 342,50</w:t>
            </w:r>
          </w:p>
        </w:tc>
        <w:tc>
          <w:tcPr>
            <w:tcW w:w="1417" w:type="dxa"/>
            <w:shd w:val="clear" w:color="auto" w:fill="auto"/>
          </w:tcPr>
          <w:p w:rsidR="003A6376" w:rsidRPr="003A6376" w:rsidRDefault="003A6376"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597 940,34</w:t>
            </w:r>
          </w:p>
          <w:p w:rsidR="003A6376" w:rsidRPr="003A6376" w:rsidRDefault="003A6376"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7 607,50</w:t>
            </w:r>
          </w:p>
          <w:p w:rsidR="00E473F1" w:rsidRPr="003A6376" w:rsidRDefault="003A6376"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1 342,50</w:t>
            </w:r>
          </w:p>
        </w:tc>
        <w:tc>
          <w:tcPr>
            <w:tcW w:w="1559" w:type="dxa"/>
            <w:shd w:val="clear" w:color="auto" w:fill="auto"/>
          </w:tcPr>
          <w:p w:rsidR="00E473F1"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E473F1" w:rsidRPr="003A6376">
              <w:rPr>
                <w:rFonts w:ascii="Times New Roman" w:hAnsi="Times New Roman" w:cs="Times New Roman"/>
              </w:rPr>
              <w:t>99,67</w:t>
            </w:r>
          </w:p>
          <w:p w:rsidR="003A6376" w:rsidRPr="003A6376" w:rsidRDefault="003A6376" w:rsidP="0000179B">
            <w:pPr>
              <w:spacing w:after="0" w:line="240" w:lineRule="auto"/>
              <w:jc w:val="center"/>
              <w:rPr>
                <w:rFonts w:ascii="Times New Roman" w:hAnsi="Times New Roman" w:cs="Times New Roman"/>
              </w:rPr>
            </w:pPr>
            <w:r w:rsidRPr="003A6376">
              <w:rPr>
                <w:rFonts w:ascii="Times New Roman" w:hAnsi="Times New Roman" w:cs="Times New Roman"/>
              </w:rPr>
              <w:t>100,00</w:t>
            </w:r>
          </w:p>
          <w:p w:rsidR="003A6376" w:rsidRPr="003A6376" w:rsidRDefault="003A6376" w:rsidP="0000179B">
            <w:pPr>
              <w:spacing w:after="0" w:line="240" w:lineRule="auto"/>
              <w:jc w:val="center"/>
              <w:rPr>
                <w:rFonts w:ascii="Times New Roman" w:hAnsi="Times New Roman" w:cs="Times New Roman"/>
              </w:rPr>
            </w:pPr>
            <w:r w:rsidRPr="003A6376">
              <w:rPr>
                <w:rFonts w:ascii="Times New Roman" w:hAnsi="Times New Roman" w:cs="Times New Roman"/>
              </w:rPr>
              <w:t>100,00</w:t>
            </w:r>
          </w:p>
        </w:tc>
      </w:tr>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rPr>
            </w:pPr>
            <w:r w:rsidRPr="003A6376">
              <w:rPr>
                <w:rFonts w:ascii="Times New Roman" w:hAnsi="Times New Roman" w:cs="Times New Roman"/>
              </w:rPr>
              <w:t>634 – Dopravné</w:t>
            </w:r>
          </w:p>
        </w:tc>
        <w:tc>
          <w:tcPr>
            <w:tcW w:w="850" w:type="dxa"/>
          </w:tcPr>
          <w:p w:rsidR="00E473F1" w:rsidRPr="003A6376" w:rsidRDefault="003A6376" w:rsidP="0000179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111</w:t>
            </w:r>
          </w:p>
        </w:tc>
        <w:tc>
          <w:tcPr>
            <w:tcW w:w="1480"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174 455,00</w:t>
            </w:r>
          </w:p>
        </w:tc>
        <w:tc>
          <w:tcPr>
            <w:tcW w:w="1639" w:type="dxa"/>
            <w:shd w:val="clear" w:color="auto" w:fill="auto"/>
          </w:tcPr>
          <w:p w:rsidR="00E473F1" w:rsidRPr="003A6376" w:rsidRDefault="00485A55"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161 455,86</w:t>
            </w:r>
          </w:p>
        </w:tc>
        <w:tc>
          <w:tcPr>
            <w:tcW w:w="1417" w:type="dxa"/>
            <w:shd w:val="clear" w:color="auto" w:fill="auto"/>
          </w:tcPr>
          <w:p w:rsidR="00E473F1" w:rsidRPr="003A6376" w:rsidRDefault="00485A55"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158 819,28</w:t>
            </w:r>
          </w:p>
        </w:tc>
        <w:tc>
          <w:tcPr>
            <w:tcW w:w="1559" w:type="dxa"/>
            <w:shd w:val="clear" w:color="auto" w:fill="auto"/>
          </w:tcPr>
          <w:p w:rsidR="00E473F1"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485A55" w:rsidRPr="003A6376">
              <w:rPr>
                <w:rFonts w:ascii="Times New Roman" w:hAnsi="Times New Roman" w:cs="Times New Roman"/>
              </w:rPr>
              <w:t>98,37</w:t>
            </w:r>
          </w:p>
        </w:tc>
      </w:tr>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rPr>
            </w:pPr>
            <w:r w:rsidRPr="003A6376">
              <w:rPr>
                <w:rFonts w:ascii="Times New Roman" w:hAnsi="Times New Roman" w:cs="Times New Roman"/>
              </w:rPr>
              <w:t>635 - Rutinná a štandardná údržba</w:t>
            </w:r>
          </w:p>
        </w:tc>
        <w:tc>
          <w:tcPr>
            <w:tcW w:w="850" w:type="dxa"/>
          </w:tcPr>
          <w:p w:rsidR="00E473F1" w:rsidRDefault="00E473F1" w:rsidP="0000179B">
            <w:pPr>
              <w:spacing w:after="0" w:line="240" w:lineRule="auto"/>
              <w:jc w:val="center"/>
              <w:rPr>
                <w:rFonts w:ascii="Times New Roman" w:hAnsi="Times New Roman" w:cs="Times New Roman"/>
              </w:rPr>
            </w:pPr>
          </w:p>
          <w:p w:rsidR="003A6376" w:rsidRPr="003A6376" w:rsidRDefault="003A6376" w:rsidP="0000179B">
            <w:pPr>
              <w:spacing w:after="0" w:line="240" w:lineRule="auto"/>
              <w:jc w:val="center"/>
              <w:rPr>
                <w:rFonts w:ascii="Times New Roman" w:hAnsi="Times New Roman" w:cs="Times New Roman"/>
              </w:rPr>
            </w:pPr>
            <w:r>
              <w:rPr>
                <w:rFonts w:ascii="Times New Roman" w:hAnsi="Times New Roman" w:cs="Times New Roman"/>
              </w:rPr>
              <w:t>111</w:t>
            </w:r>
          </w:p>
        </w:tc>
        <w:tc>
          <w:tcPr>
            <w:tcW w:w="1480" w:type="dxa"/>
            <w:shd w:val="clear" w:color="auto" w:fill="auto"/>
          </w:tcPr>
          <w:p w:rsidR="00E473F1" w:rsidRPr="003A6376" w:rsidRDefault="00E473F1" w:rsidP="0000179B">
            <w:pPr>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476 940,00</w:t>
            </w:r>
          </w:p>
        </w:tc>
        <w:tc>
          <w:tcPr>
            <w:tcW w:w="1639"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1D2EBF" w:rsidRPr="003A6376" w:rsidRDefault="001D2EBF"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317 397,75</w:t>
            </w:r>
          </w:p>
        </w:tc>
        <w:tc>
          <w:tcPr>
            <w:tcW w:w="1417"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1D2EBF" w:rsidRPr="003A6376" w:rsidRDefault="001D2EBF"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317 397,61</w:t>
            </w:r>
          </w:p>
        </w:tc>
        <w:tc>
          <w:tcPr>
            <w:tcW w:w="1559" w:type="dxa"/>
            <w:shd w:val="clear" w:color="auto" w:fill="auto"/>
          </w:tcPr>
          <w:p w:rsidR="00E473F1" w:rsidRPr="003A6376" w:rsidRDefault="00E473F1" w:rsidP="0000179B">
            <w:pPr>
              <w:spacing w:after="0" w:line="240" w:lineRule="auto"/>
              <w:jc w:val="center"/>
              <w:rPr>
                <w:rFonts w:ascii="Times New Roman" w:hAnsi="Times New Roman" w:cs="Times New Roman"/>
              </w:rPr>
            </w:pPr>
          </w:p>
          <w:p w:rsidR="001D2EBF"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1D2EBF" w:rsidRPr="003A6376">
              <w:rPr>
                <w:rFonts w:ascii="Times New Roman" w:hAnsi="Times New Roman" w:cs="Times New Roman"/>
              </w:rPr>
              <w:t>99,99</w:t>
            </w:r>
          </w:p>
        </w:tc>
      </w:tr>
      <w:tr w:rsidR="00E473F1" w:rsidRPr="003A6376" w:rsidTr="00711665">
        <w:tc>
          <w:tcPr>
            <w:tcW w:w="2127" w:type="dxa"/>
            <w:shd w:val="clear" w:color="auto" w:fill="auto"/>
          </w:tcPr>
          <w:p w:rsidR="00E473F1" w:rsidRPr="003A6376" w:rsidRDefault="00E473F1" w:rsidP="009F1E92">
            <w:pPr>
              <w:pStyle w:val="Default"/>
              <w:rPr>
                <w:rFonts w:ascii="Times New Roman" w:eastAsia="Times" w:hAnsi="Times New Roman" w:cs="Times New Roman"/>
                <w:color w:val="auto"/>
                <w:sz w:val="22"/>
                <w:szCs w:val="22"/>
                <w:lang w:eastAsia="en-US"/>
              </w:rPr>
            </w:pPr>
            <w:r w:rsidRPr="003A6376">
              <w:rPr>
                <w:rFonts w:ascii="Times New Roman" w:eastAsia="Times" w:hAnsi="Times New Roman" w:cs="Times New Roman"/>
                <w:color w:val="auto"/>
                <w:sz w:val="22"/>
                <w:szCs w:val="22"/>
                <w:lang w:eastAsia="en-US"/>
              </w:rPr>
              <w:t xml:space="preserve">636 - Nájomné za nájom </w:t>
            </w:r>
          </w:p>
        </w:tc>
        <w:tc>
          <w:tcPr>
            <w:tcW w:w="850" w:type="dxa"/>
          </w:tcPr>
          <w:p w:rsidR="00E473F1" w:rsidRDefault="00E473F1" w:rsidP="0000179B">
            <w:pPr>
              <w:spacing w:after="0" w:line="240" w:lineRule="auto"/>
              <w:jc w:val="center"/>
              <w:rPr>
                <w:rFonts w:ascii="Times New Roman" w:hAnsi="Times New Roman" w:cs="Times New Roman"/>
              </w:rPr>
            </w:pPr>
          </w:p>
          <w:p w:rsidR="003A6376" w:rsidRPr="003A6376" w:rsidRDefault="003A6376" w:rsidP="0000179B">
            <w:pPr>
              <w:spacing w:after="0" w:line="240" w:lineRule="auto"/>
              <w:jc w:val="center"/>
              <w:rPr>
                <w:rFonts w:ascii="Times New Roman" w:hAnsi="Times New Roman" w:cs="Times New Roman"/>
              </w:rPr>
            </w:pPr>
            <w:r>
              <w:rPr>
                <w:rFonts w:ascii="Times New Roman" w:hAnsi="Times New Roman" w:cs="Times New Roman"/>
              </w:rPr>
              <w:t>111</w:t>
            </w:r>
          </w:p>
        </w:tc>
        <w:tc>
          <w:tcPr>
            <w:tcW w:w="1480" w:type="dxa"/>
            <w:shd w:val="clear" w:color="auto" w:fill="auto"/>
          </w:tcPr>
          <w:p w:rsidR="00E473F1" w:rsidRPr="003A6376" w:rsidRDefault="00E473F1" w:rsidP="0000179B">
            <w:pPr>
              <w:spacing w:after="0" w:line="240" w:lineRule="auto"/>
              <w:jc w:val="right"/>
              <w:rPr>
                <w:rFonts w:ascii="Times New Roman" w:hAnsi="Times New Roman" w:cs="Times New Roman"/>
              </w:rPr>
            </w:pPr>
          </w:p>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147 660,00</w:t>
            </w:r>
          </w:p>
        </w:tc>
        <w:tc>
          <w:tcPr>
            <w:tcW w:w="1639"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1D2EBF" w:rsidRPr="003A6376" w:rsidRDefault="001D2EBF"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221 129,53</w:t>
            </w:r>
          </w:p>
        </w:tc>
        <w:tc>
          <w:tcPr>
            <w:tcW w:w="1417"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rPr>
            </w:pPr>
          </w:p>
          <w:p w:rsidR="001D2EBF" w:rsidRPr="003A6376" w:rsidRDefault="001D2EBF"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221 125,72</w:t>
            </w:r>
          </w:p>
        </w:tc>
        <w:tc>
          <w:tcPr>
            <w:tcW w:w="1559" w:type="dxa"/>
            <w:shd w:val="clear" w:color="auto" w:fill="auto"/>
          </w:tcPr>
          <w:p w:rsidR="00E473F1" w:rsidRPr="003A6376" w:rsidRDefault="00E473F1" w:rsidP="0000179B">
            <w:pPr>
              <w:spacing w:after="0" w:line="240" w:lineRule="auto"/>
              <w:jc w:val="center"/>
              <w:rPr>
                <w:rFonts w:ascii="Times New Roman" w:hAnsi="Times New Roman" w:cs="Times New Roman"/>
              </w:rPr>
            </w:pPr>
          </w:p>
          <w:p w:rsidR="001D2EBF"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1D2EBF" w:rsidRPr="003A6376">
              <w:rPr>
                <w:rFonts w:ascii="Times New Roman" w:hAnsi="Times New Roman" w:cs="Times New Roman"/>
              </w:rPr>
              <w:t>99,99</w:t>
            </w:r>
          </w:p>
        </w:tc>
      </w:tr>
      <w:tr w:rsidR="00E473F1" w:rsidRPr="003A6376" w:rsidTr="00711665">
        <w:tc>
          <w:tcPr>
            <w:tcW w:w="2127" w:type="dxa"/>
            <w:shd w:val="clear" w:color="auto" w:fill="auto"/>
          </w:tcPr>
          <w:p w:rsidR="00E473F1" w:rsidRPr="003A6376" w:rsidRDefault="00E473F1" w:rsidP="009F1E92">
            <w:pPr>
              <w:spacing w:after="0" w:line="240" w:lineRule="auto"/>
              <w:jc w:val="both"/>
              <w:rPr>
                <w:rFonts w:ascii="Times New Roman" w:hAnsi="Times New Roman" w:cs="Times New Roman"/>
              </w:rPr>
            </w:pPr>
            <w:r w:rsidRPr="003A6376">
              <w:rPr>
                <w:rFonts w:ascii="Times New Roman" w:hAnsi="Times New Roman" w:cs="Times New Roman"/>
              </w:rPr>
              <w:t xml:space="preserve">637 – Služby </w:t>
            </w:r>
          </w:p>
        </w:tc>
        <w:tc>
          <w:tcPr>
            <w:tcW w:w="850" w:type="dxa"/>
          </w:tcPr>
          <w:p w:rsidR="00E473F1" w:rsidRPr="003A6376" w:rsidRDefault="003A6376" w:rsidP="0000179B">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111</w:t>
            </w:r>
          </w:p>
        </w:tc>
        <w:tc>
          <w:tcPr>
            <w:tcW w:w="1480" w:type="dxa"/>
            <w:shd w:val="clear" w:color="auto" w:fill="auto"/>
          </w:tcPr>
          <w:p w:rsidR="00E473F1" w:rsidRPr="003A6376" w:rsidRDefault="00E473F1"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3 659 423,00</w:t>
            </w:r>
          </w:p>
        </w:tc>
        <w:tc>
          <w:tcPr>
            <w:tcW w:w="1639" w:type="dxa"/>
            <w:shd w:val="clear" w:color="auto" w:fill="auto"/>
          </w:tcPr>
          <w:p w:rsidR="00E473F1" w:rsidRPr="003A6376" w:rsidRDefault="001D2EBF"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4 994 761,54</w:t>
            </w:r>
          </w:p>
        </w:tc>
        <w:tc>
          <w:tcPr>
            <w:tcW w:w="1417" w:type="dxa"/>
            <w:shd w:val="clear" w:color="auto" w:fill="auto"/>
          </w:tcPr>
          <w:p w:rsidR="00E473F1" w:rsidRPr="003A6376" w:rsidRDefault="001D2EBF" w:rsidP="0000179B">
            <w:pPr>
              <w:autoSpaceDE w:val="0"/>
              <w:autoSpaceDN w:val="0"/>
              <w:adjustRightInd w:val="0"/>
              <w:spacing w:after="0" w:line="240" w:lineRule="auto"/>
              <w:jc w:val="right"/>
              <w:rPr>
                <w:rFonts w:ascii="Times New Roman" w:hAnsi="Times New Roman" w:cs="Times New Roman"/>
                <w:lang w:eastAsia="sk-SK"/>
              </w:rPr>
            </w:pPr>
            <w:r w:rsidRPr="003A6376">
              <w:rPr>
                <w:rFonts w:ascii="Times New Roman" w:hAnsi="Times New Roman" w:cs="Times New Roman"/>
                <w:lang w:eastAsia="sk-SK"/>
              </w:rPr>
              <w:t>4 958 132,20</w:t>
            </w:r>
          </w:p>
        </w:tc>
        <w:tc>
          <w:tcPr>
            <w:tcW w:w="1559" w:type="dxa"/>
            <w:shd w:val="clear" w:color="auto" w:fill="auto"/>
          </w:tcPr>
          <w:p w:rsidR="00E473F1" w:rsidRPr="003A6376" w:rsidRDefault="0000179B" w:rsidP="0000179B">
            <w:pPr>
              <w:spacing w:after="0" w:line="240" w:lineRule="auto"/>
              <w:jc w:val="center"/>
              <w:rPr>
                <w:rFonts w:ascii="Times New Roman" w:hAnsi="Times New Roman" w:cs="Times New Roman"/>
              </w:rPr>
            </w:pPr>
            <w:r>
              <w:rPr>
                <w:rFonts w:ascii="Times New Roman" w:hAnsi="Times New Roman" w:cs="Times New Roman"/>
              </w:rPr>
              <w:t xml:space="preserve">  </w:t>
            </w:r>
            <w:r w:rsidR="003A6376" w:rsidRPr="003A6376">
              <w:rPr>
                <w:rFonts w:ascii="Times New Roman" w:hAnsi="Times New Roman" w:cs="Times New Roman"/>
              </w:rPr>
              <w:t>99,27</w:t>
            </w:r>
          </w:p>
        </w:tc>
      </w:tr>
      <w:tr w:rsidR="00E473F1" w:rsidRPr="0000179B" w:rsidTr="00711665">
        <w:tc>
          <w:tcPr>
            <w:tcW w:w="2127" w:type="dxa"/>
            <w:shd w:val="clear" w:color="auto" w:fill="auto"/>
          </w:tcPr>
          <w:p w:rsidR="00E473F1" w:rsidRPr="0000179B" w:rsidRDefault="00E473F1" w:rsidP="009F1E92">
            <w:pPr>
              <w:spacing w:after="0" w:line="240" w:lineRule="auto"/>
              <w:jc w:val="both"/>
              <w:rPr>
                <w:rFonts w:ascii="Times New Roman" w:hAnsi="Times New Roman" w:cs="Times New Roman"/>
                <w:b/>
              </w:rPr>
            </w:pPr>
            <w:r w:rsidRPr="0000179B">
              <w:rPr>
                <w:rFonts w:ascii="Times New Roman" w:hAnsi="Times New Roman" w:cs="Times New Roman"/>
                <w:b/>
              </w:rPr>
              <w:t>630 spolu</w:t>
            </w:r>
          </w:p>
        </w:tc>
        <w:tc>
          <w:tcPr>
            <w:tcW w:w="850" w:type="dxa"/>
          </w:tcPr>
          <w:p w:rsidR="00E473F1" w:rsidRPr="0000179B" w:rsidRDefault="00E473F1" w:rsidP="0000179B">
            <w:pPr>
              <w:spacing w:after="0" w:line="240" w:lineRule="auto"/>
              <w:jc w:val="center"/>
              <w:rPr>
                <w:rFonts w:ascii="Times New Roman" w:hAnsi="Times New Roman" w:cs="Times New Roman"/>
                <w:b/>
                <w:lang w:eastAsia="sk-SK"/>
              </w:rPr>
            </w:pPr>
          </w:p>
        </w:tc>
        <w:tc>
          <w:tcPr>
            <w:tcW w:w="1480" w:type="dxa"/>
            <w:shd w:val="clear" w:color="auto" w:fill="auto"/>
          </w:tcPr>
          <w:p w:rsidR="00E473F1" w:rsidRPr="0000179B" w:rsidRDefault="00E473F1" w:rsidP="0000179B">
            <w:pPr>
              <w:spacing w:after="0" w:line="240" w:lineRule="auto"/>
              <w:jc w:val="right"/>
              <w:rPr>
                <w:rFonts w:ascii="Times New Roman" w:hAnsi="Times New Roman" w:cs="Times New Roman"/>
                <w:b/>
              </w:rPr>
            </w:pPr>
            <w:r w:rsidRPr="0000179B">
              <w:rPr>
                <w:rFonts w:ascii="Times New Roman" w:hAnsi="Times New Roman" w:cs="Times New Roman"/>
                <w:b/>
                <w:lang w:eastAsia="sk-SK"/>
              </w:rPr>
              <w:t>6 489 413,00</w:t>
            </w:r>
          </w:p>
        </w:tc>
        <w:tc>
          <w:tcPr>
            <w:tcW w:w="1639" w:type="dxa"/>
            <w:shd w:val="clear" w:color="auto" w:fill="auto"/>
          </w:tcPr>
          <w:p w:rsidR="00E473F1" w:rsidRPr="0000179B" w:rsidRDefault="003A6376" w:rsidP="0000179B">
            <w:pPr>
              <w:autoSpaceDE w:val="0"/>
              <w:autoSpaceDN w:val="0"/>
              <w:adjustRightInd w:val="0"/>
              <w:spacing w:after="0" w:line="240" w:lineRule="auto"/>
              <w:jc w:val="right"/>
              <w:rPr>
                <w:rFonts w:ascii="Times New Roman" w:hAnsi="Times New Roman" w:cs="Times New Roman"/>
                <w:b/>
                <w:lang w:eastAsia="sk-SK"/>
              </w:rPr>
            </w:pPr>
            <w:r w:rsidRPr="0000179B">
              <w:rPr>
                <w:rFonts w:ascii="Times New Roman" w:hAnsi="Times New Roman" w:cs="Times New Roman"/>
                <w:b/>
                <w:lang w:eastAsia="sk-SK"/>
              </w:rPr>
              <w:t>7 287 198,43</w:t>
            </w:r>
          </w:p>
        </w:tc>
        <w:tc>
          <w:tcPr>
            <w:tcW w:w="1417" w:type="dxa"/>
            <w:shd w:val="clear" w:color="auto" w:fill="auto"/>
          </w:tcPr>
          <w:p w:rsidR="00E473F1" w:rsidRPr="0000179B" w:rsidRDefault="003A6376" w:rsidP="0000179B">
            <w:pPr>
              <w:autoSpaceDE w:val="0"/>
              <w:autoSpaceDN w:val="0"/>
              <w:adjustRightInd w:val="0"/>
              <w:spacing w:after="0" w:line="240" w:lineRule="auto"/>
              <w:jc w:val="right"/>
              <w:rPr>
                <w:rFonts w:ascii="Times New Roman" w:hAnsi="Times New Roman" w:cs="Times New Roman"/>
                <w:b/>
                <w:lang w:eastAsia="sk-SK"/>
              </w:rPr>
            </w:pPr>
            <w:r w:rsidRPr="0000179B">
              <w:rPr>
                <w:rFonts w:ascii="Times New Roman" w:hAnsi="Times New Roman" w:cs="Times New Roman"/>
                <w:b/>
                <w:lang w:eastAsia="sk-SK"/>
              </w:rPr>
              <w:t>7 228 981,57</w:t>
            </w:r>
          </w:p>
        </w:tc>
        <w:tc>
          <w:tcPr>
            <w:tcW w:w="1559" w:type="dxa"/>
            <w:shd w:val="clear" w:color="auto" w:fill="auto"/>
          </w:tcPr>
          <w:p w:rsidR="00E473F1" w:rsidRPr="0000179B" w:rsidRDefault="0000179B" w:rsidP="0000179B">
            <w:pPr>
              <w:spacing w:after="0" w:line="240" w:lineRule="auto"/>
              <w:jc w:val="center"/>
              <w:rPr>
                <w:rFonts w:ascii="Times New Roman" w:hAnsi="Times New Roman" w:cs="Times New Roman"/>
                <w:b/>
              </w:rPr>
            </w:pPr>
            <w:r w:rsidRPr="0000179B">
              <w:rPr>
                <w:rFonts w:ascii="Times New Roman" w:hAnsi="Times New Roman" w:cs="Times New Roman"/>
                <w:b/>
              </w:rPr>
              <w:t xml:space="preserve">  </w:t>
            </w:r>
            <w:r w:rsidR="003A6376" w:rsidRPr="0000179B">
              <w:rPr>
                <w:rFonts w:ascii="Times New Roman" w:hAnsi="Times New Roman" w:cs="Times New Roman"/>
                <w:b/>
              </w:rPr>
              <w:t>99,21</w:t>
            </w:r>
          </w:p>
        </w:tc>
      </w:tr>
    </w:tbl>
    <w:p w:rsidR="000953C7" w:rsidRDefault="000953C7" w:rsidP="009F1E92">
      <w:pPr>
        <w:autoSpaceDE w:val="0"/>
        <w:autoSpaceDN w:val="0"/>
        <w:adjustRightInd w:val="0"/>
        <w:spacing w:after="0" w:line="240" w:lineRule="auto"/>
        <w:jc w:val="both"/>
        <w:rPr>
          <w:rFonts w:ascii="Times New Roman" w:hAnsi="Times New Roman" w:cs="Times New Roman"/>
          <w:sz w:val="24"/>
          <w:szCs w:val="24"/>
        </w:rPr>
      </w:pPr>
    </w:p>
    <w:p w:rsidR="004108B7" w:rsidRPr="004108B7" w:rsidRDefault="004108B7" w:rsidP="004108B7">
      <w:pPr>
        <w:autoSpaceDE w:val="0"/>
        <w:autoSpaceDN w:val="0"/>
        <w:adjustRightInd w:val="0"/>
        <w:spacing w:after="0" w:line="240" w:lineRule="auto"/>
        <w:jc w:val="both"/>
        <w:rPr>
          <w:rFonts w:ascii="Times New Roman" w:hAnsi="Times New Roman" w:cs="Times New Roman"/>
          <w:sz w:val="24"/>
          <w:szCs w:val="24"/>
        </w:rPr>
      </w:pPr>
      <w:r w:rsidRPr="004108B7">
        <w:rPr>
          <w:rFonts w:ascii="Times New Roman" w:hAnsi="Times New Roman" w:cs="Times New Roman"/>
          <w:i/>
          <w:sz w:val="24"/>
          <w:szCs w:val="24"/>
        </w:rPr>
        <w:t>V kategórii 631 – Cestovné náhrady</w:t>
      </w:r>
      <w:r w:rsidRPr="004108B7">
        <w:rPr>
          <w:rFonts w:ascii="Times New Roman" w:hAnsi="Times New Roman" w:cs="Times New Roman"/>
          <w:sz w:val="24"/>
          <w:szCs w:val="24"/>
        </w:rPr>
        <w:t xml:space="preserve"> boli rozpočto</w:t>
      </w:r>
      <w:r>
        <w:rPr>
          <w:rFonts w:ascii="Times New Roman" w:hAnsi="Times New Roman" w:cs="Times New Roman"/>
          <w:sz w:val="24"/>
          <w:szCs w:val="24"/>
        </w:rPr>
        <w:t xml:space="preserve">vé prostriedky čerpané v sume                    </w:t>
      </w:r>
      <w:r w:rsidRPr="004108B7">
        <w:rPr>
          <w:rFonts w:ascii="Times New Roman" w:hAnsi="Times New Roman" w:cs="Times New Roman"/>
          <w:sz w:val="24"/>
          <w:szCs w:val="24"/>
          <w:lang w:eastAsia="sk-SK"/>
        </w:rPr>
        <w:t xml:space="preserve">478 841,73 </w:t>
      </w:r>
      <w:r w:rsidRPr="004108B7">
        <w:rPr>
          <w:rFonts w:ascii="Times New Roman" w:hAnsi="Times New Roman" w:cs="Times New Roman"/>
          <w:sz w:val="24"/>
          <w:szCs w:val="24"/>
        </w:rPr>
        <w:t>eur.</w:t>
      </w:r>
    </w:p>
    <w:p w:rsidR="004108B7" w:rsidRPr="004108B7" w:rsidRDefault="004108B7" w:rsidP="004108B7">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4108B7">
        <w:rPr>
          <w:rFonts w:ascii="Times New Roman" w:hAnsi="Times New Roman" w:cs="Times New Roman"/>
          <w:sz w:val="24"/>
          <w:szCs w:val="24"/>
        </w:rPr>
        <w:t xml:space="preserve">Najvyššie čerpanie </w:t>
      </w:r>
      <w:r>
        <w:rPr>
          <w:rFonts w:ascii="Times New Roman" w:hAnsi="Times New Roman" w:cs="Times New Roman"/>
          <w:sz w:val="24"/>
          <w:szCs w:val="24"/>
        </w:rPr>
        <w:t xml:space="preserve">výdavkov </w:t>
      </w:r>
      <w:r w:rsidRPr="004108B7">
        <w:rPr>
          <w:rFonts w:ascii="Times New Roman" w:hAnsi="Times New Roman" w:cs="Times New Roman"/>
          <w:sz w:val="24"/>
          <w:szCs w:val="24"/>
        </w:rPr>
        <w:t xml:space="preserve">bolo </w:t>
      </w:r>
      <w:r>
        <w:rPr>
          <w:rFonts w:ascii="Times New Roman" w:hAnsi="Times New Roman" w:cs="Times New Roman"/>
          <w:sz w:val="24"/>
          <w:szCs w:val="24"/>
        </w:rPr>
        <w:t>na</w:t>
      </w:r>
      <w:r w:rsidRPr="004108B7">
        <w:rPr>
          <w:rFonts w:ascii="Times New Roman" w:hAnsi="Times New Roman" w:cs="Times New Roman"/>
          <w:sz w:val="24"/>
          <w:szCs w:val="24"/>
        </w:rPr>
        <w:t xml:space="preserve"> zahraničné cestovné náhrady v</w:t>
      </w:r>
      <w:r>
        <w:rPr>
          <w:rFonts w:ascii="Times New Roman" w:hAnsi="Times New Roman" w:cs="Times New Roman"/>
          <w:sz w:val="24"/>
          <w:szCs w:val="24"/>
        </w:rPr>
        <w:t> </w:t>
      </w:r>
      <w:r w:rsidRPr="004108B7">
        <w:rPr>
          <w:rFonts w:ascii="Times New Roman" w:hAnsi="Times New Roman" w:cs="Times New Roman"/>
          <w:sz w:val="24"/>
          <w:szCs w:val="24"/>
        </w:rPr>
        <w:t>sume</w:t>
      </w:r>
      <w:r>
        <w:rPr>
          <w:rFonts w:ascii="Times New Roman" w:hAnsi="Times New Roman" w:cs="Times New Roman"/>
          <w:sz w:val="24"/>
          <w:szCs w:val="24"/>
        </w:rPr>
        <w:t xml:space="preserve">                 </w:t>
      </w:r>
      <w:r w:rsidRPr="004108B7">
        <w:rPr>
          <w:rFonts w:ascii="Times New Roman" w:hAnsi="Times New Roman" w:cs="Times New Roman"/>
          <w:sz w:val="24"/>
          <w:szCs w:val="24"/>
        </w:rPr>
        <w:t xml:space="preserve"> </w:t>
      </w:r>
      <w:r w:rsidRPr="004108B7">
        <w:rPr>
          <w:rFonts w:ascii="Times New Roman" w:hAnsi="Times New Roman" w:cs="Times New Roman"/>
          <w:sz w:val="24"/>
          <w:szCs w:val="24"/>
          <w:lang w:eastAsia="sk-SK"/>
        </w:rPr>
        <w:t xml:space="preserve">448 096,84 </w:t>
      </w:r>
      <w:r w:rsidRPr="004108B7">
        <w:rPr>
          <w:rFonts w:ascii="Times New Roman" w:hAnsi="Times New Roman" w:cs="Times New Roman"/>
          <w:sz w:val="24"/>
          <w:szCs w:val="24"/>
        </w:rPr>
        <w:t xml:space="preserve">eur v súvislosti s realizáciou zahraničných pracovných ciest zamestnancov </w:t>
      </w:r>
      <w:r>
        <w:rPr>
          <w:rFonts w:ascii="Times New Roman" w:hAnsi="Times New Roman" w:cs="Times New Roman"/>
          <w:sz w:val="24"/>
          <w:szCs w:val="24"/>
        </w:rPr>
        <w:t xml:space="preserve">       </w:t>
      </w:r>
      <w:r w:rsidRPr="004108B7">
        <w:rPr>
          <w:rFonts w:ascii="Times New Roman" w:hAnsi="Times New Roman" w:cs="Times New Roman"/>
          <w:sz w:val="24"/>
          <w:szCs w:val="24"/>
        </w:rPr>
        <w:t>MH SR. Zahraničné pracovné cesty boli uskutočnené zamestnancami úradu do Belgicka, Bosny a Hercegoviny, Bulharska, Čiernej hory, Českej republiky, Dánska, Fínska, Francúzska, Holandska, Chorvátska, Indie, Írska, Islandu,  Izraela, Lotyšska, Luxemburska, Maďarska, Nemeckej spolkovej republiky, Poľska, Rakúska, Ruskej federácie, Spojených arabských emirátov, Slovinska, Španielska, Švajčiarska, Švédska, Talianska, Ukrajiny, USA, Veľkej Británie, Bieloruska, Litvy a Rumunska. Cestovné výdavky na zahraničné pracovné cesty boli čerpané za zamestnancov úradu MH SR a zamestnancov stálej misie Ženeva.</w:t>
      </w:r>
    </w:p>
    <w:p w:rsidR="004108B7" w:rsidRPr="004108B7" w:rsidRDefault="004108B7" w:rsidP="004108B7">
      <w:pPr>
        <w:spacing w:after="0" w:line="240" w:lineRule="auto"/>
        <w:ind w:firstLine="567"/>
        <w:jc w:val="both"/>
        <w:rPr>
          <w:rFonts w:ascii="Times New Roman" w:hAnsi="Times New Roman" w:cs="Times New Roman"/>
          <w:sz w:val="24"/>
          <w:szCs w:val="24"/>
        </w:rPr>
      </w:pPr>
      <w:r w:rsidRPr="004108B7">
        <w:rPr>
          <w:rFonts w:ascii="Times New Roman" w:hAnsi="Times New Roman" w:cs="Times New Roman"/>
          <w:sz w:val="24"/>
          <w:szCs w:val="24"/>
        </w:rPr>
        <w:t>Na čerpaní schváleného limitu rozpočtových  výdavkov sa najvyššou mierou podieľali členovia vedenia a  ich priami podriadení, sekcia energetiky, sekcia priemyslu a obchodu, sekcia zahraničnoobchodnej politiky a  európskych záležitostí, sekcia inovácií a podnikateľského prostredia, Centrum pre chemické látky, odbor výkonu obchodných opatrení, odbor ochrany spotrebiteľa,  sekcia podporných programov.</w:t>
      </w:r>
    </w:p>
    <w:p w:rsidR="004108B7" w:rsidRPr="004108B7" w:rsidRDefault="004108B7" w:rsidP="004108B7">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4108B7">
        <w:rPr>
          <w:rFonts w:ascii="Times New Roman" w:hAnsi="Times New Roman" w:cs="Times New Roman"/>
          <w:sz w:val="24"/>
          <w:szCs w:val="24"/>
        </w:rPr>
        <w:t xml:space="preserve">Na tuzemské pracovné náhrady bolo vyčerpaných </w:t>
      </w:r>
      <w:r w:rsidRPr="004108B7">
        <w:rPr>
          <w:rFonts w:ascii="Times New Roman" w:hAnsi="Times New Roman" w:cs="Times New Roman"/>
          <w:sz w:val="24"/>
          <w:szCs w:val="24"/>
          <w:lang w:eastAsia="sk-SK"/>
        </w:rPr>
        <w:t>30 744,89 eur v súvislosti s účasťou na seminároch, školeniach, kontrolách a výkone vládneho auditu.</w:t>
      </w:r>
    </w:p>
    <w:p w:rsidR="0078104F" w:rsidRDefault="0078104F" w:rsidP="009F1E92">
      <w:pPr>
        <w:autoSpaceDE w:val="0"/>
        <w:autoSpaceDN w:val="0"/>
        <w:adjustRightInd w:val="0"/>
        <w:spacing w:after="0" w:line="240" w:lineRule="auto"/>
        <w:jc w:val="both"/>
        <w:rPr>
          <w:rFonts w:ascii="Times New Roman" w:hAnsi="Times New Roman" w:cs="Times New Roman"/>
          <w:sz w:val="24"/>
          <w:szCs w:val="24"/>
        </w:rPr>
      </w:pPr>
    </w:p>
    <w:p w:rsidR="00575C96" w:rsidRPr="00575C96" w:rsidRDefault="00575C96" w:rsidP="00575C96">
      <w:pPr>
        <w:autoSpaceDE w:val="0"/>
        <w:autoSpaceDN w:val="0"/>
        <w:adjustRightInd w:val="0"/>
        <w:spacing w:after="0" w:line="240" w:lineRule="auto"/>
        <w:jc w:val="both"/>
        <w:rPr>
          <w:rFonts w:ascii="Times New Roman" w:hAnsi="Times New Roman" w:cs="Times New Roman"/>
          <w:sz w:val="24"/>
          <w:szCs w:val="24"/>
        </w:rPr>
      </w:pPr>
      <w:r w:rsidRPr="00575C96">
        <w:rPr>
          <w:rFonts w:ascii="Times New Roman" w:hAnsi="Times New Roman" w:cs="Times New Roman"/>
          <w:i/>
          <w:sz w:val="24"/>
          <w:szCs w:val="24"/>
        </w:rPr>
        <w:t xml:space="preserve">V kategórii 632 – Energie, voda a komunikácie </w:t>
      </w:r>
      <w:r w:rsidRPr="00575C96">
        <w:rPr>
          <w:rFonts w:ascii="Times New Roman" w:hAnsi="Times New Roman" w:cs="Times New Roman"/>
          <w:sz w:val="24"/>
          <w:szCs w:val="24"/>
        </w:rPr>
        <w:t xml:space="preserve">boli rozpočtové prostriedky čerpané v sume                       487 774,69 eur. </w:t>
      </w:r>
    </w:p>
    <w:p w:rsidR="00575C96" w:rsidRPr="00575C96" w:rsidRDefault="00575C96" w:rsidP="00575C96">
      <w:pPr>
        <w:autoSpaceDE w:val="0"/>
        <w:autoSpaceDN w:val="0"/>
        <w:adjustRightInd w:val="0"/>
        <w:spacing w:after="0" w:line="240" w:lineRule="auto"/>
        <w:ind w:firstLine="708"/>
        <w:jc w:val="both"/>
        <w:rPr>
          <w:rFonts w:ascii="Times New Roman" w:hAnsi="Times New Roman" w:cs="Times New Roman"/>
          <w:sz w:val="24"/>
          <w:szCs w:val="24"/>
        </w:rPr>
      </w:pPr>
      <w:r w:rsidRPr="00575C96">
        <w:rPr>
          <w:rFonts w:ascii="Times New Roman" w:hAnsi="Times New Roman" w:cs="Times New Roman"/>
          <w:sz w:val="24"/>
          <w:szCs w:val="24"/>
        </w:rPr>
        <w:t xml:space="preserve">Najvyššie  čerpanie bolo za tepelnú a elektrickú energiu (327 917,55 eur), poštové a telekomunikačné služby (131 248,95 eur) a vodné a stočné (24 934,41 eur). Poplatky za komunikačné a počítačové siete – nákup WEB štandard, </w:t>
      </w:r>
      <w:proofErr w:type="spellStart"/>
      <w:r w:rsidRPr="00575C96">
        <w:rPr>
          <w:rFonts w:ascii="Times New Roman" w:hAnsi="Times New Roman" w:cs="Times New Roman"/>
          <w:sz w:val="24"/>
          <w:szCs w:val="24"/>
        </w:rPr>
        <w:t>Mysql</w:t>
      </w:r>
      <w:proofErr w:type="spellEnd"/>
      <w:r w:rsidRPr="00575C96">
        <w:rPr>
          <w:rFonts w:ascii="Times New Roman" w:hAnsi="Times New Roman" w:cs="Times New Roman"/>
          <w:sz w:val="24"/>
          <w:szCs w:val="24"/>
        </w:rPr>
        <w:t xml:space="preserve"> databázy, domény  boli uhradené v sume 3 673,78 eur. V rámci výdavkov uvedenej ekonomickej kategórie boli čerpané prostriedky na prenájom parkoviska a čerpanie elektrickej energie na nabíjanie automobilov v rámci 2. ročníka medzinárodného podujatia </w:t>
      </w:r>
      <w:proofErr w:type="spellStart"/>
      <w:r w:rsidRPr="00575C96">
        <w:rPr>
          <w:rFonts w:ascii="Times New Roman" w:hAnsi="Times New Roman" w:cs="Times New Roman"/>
          <w:sz w:val="24"/>
          <w:szCs w:val="24"/>
        </w:rPr>
        <w:t>eTourEurope</w:t>
      </w:r>
      <w:proofErr w:type="spellEnd"/>
      <w:r w:rsidRPr="00575C96">
        <w:rPr>
          <w:rFonts w:ascii="Times New Roman" w:hAnsi="Times New Roman" w:cs="Times New Roman"/>
          <w:sz w:val="24"/>
          <w:szCs w:val="24"/>
        </w:rPr>
        <w:t xml:space="preserve"> v sume 51,62 eur.</w:t>
      </w:r>
    </w:p>
    <w:p w:rsidR="00575C96" w:rsidRDefault="00575C96" w:rsidP="009F1E92">
      <w:pPr>
        <w:autoSpaceDE w:val="0"/>
        <w:autoSpaceDN w:val="0"/>
        <w:adjustRightInd w:val="0"/>
        <w:spacing w:after="0" w:line="240" w:lineRule="auto"/>
        <w:jc w:val="both"/>
        <w:rPr>
          <w:rFonts w:ascii="Times New Roman" w:hAnsi="Times New Roman" w:cs="Times New Roman"/>
          <w:sz w:val="24"/>
          <w:szCs w:val="24"/>
        </w:rPr>
      </w:pPr>
    </w:p>
    <w:p w:rsidR="00575C96" w:rsidRPr="00575C96" w:rsidRDefault="00575C96" w:rsidP="00575C96">
      <w:pPr>
        <w:autoSpaceDE w:val="0"/>
        <w:autoSpaceDN w:val="0"/>
        <w:adjustRightInd w:val="0"/>
        <w:spacing w:after="0" w:line="240" w:lineRule="auto"/>
        <w:jc w:val="both"/>
        <w:rPr>
          <w:rFonts w:ascii="Times New Roman" w:hAnsi="Times New Roman" w:cs="Times New Roman"/>
          <w:sz w:val="24"/>
          <w:szCs w:val="24"/>
        </w:rPr>
      </w:pPr>
      <w:r w:rsidRPr="00575C96">
        <w:rPr>
          <w:rFonts w:ascii="Times New Roman" w:hAnsi="Times New Roman" w:cs="Times New Roman"/>
          <w:i/>
          <w:sz w:val="24"/>
          <w:szCs w:val="24"/>
        </w:rPr>
        <w:t xml:space="preserve">V kategórii 633 – Materiál </w:t>
      </w:r>
      <w:r w:rsidRPr="00575C96">
        <w:rPr>
          <w:rFonts w:ascii="Times New Roman" w:hAnsi="Times New Roman" w:cs="Times New Roman"/>
          <w:sz w:val="24"/>
          <w:szCs w:val="24"/>
        </w:rPr>
        <w:t xml:space="preserve">boli rozpočtové prostriedky čerpané v sume </w:t>
      </w:r>
      <w:r>
        <w:rPr>
          <w:rFonts w:ascii="Times New Roman" w:hAnsi="Times New Roman" w:cs="Times New Roman"/>
          <w:sz w:val="24"/>
          <w:szCs w:val="24"/>
        </w:rPr>
        <w:t>606 890,34</w:t>
      </w:r>
      <w:r w:rsidRPr="00575C96">
        <w:rPr>
          <w:rFonts w:ascii="Times New Roman" w:hAnsi="Times New Roman" w:cs="Times New Roman"/>
          <w:sz w:val="24"/>
          <w:szCs w:val="24"/>
        </w:rPr>
        <w:t xml:space="preserve"> eur.    </w:t>
      </w:r>
    </w:p>
    <w:p w:rsidR="00575C96" w:rsidRPr="00575C96" w:rsidRDefault="00575C96" w:rsidP="00575C96">
      <w:pPr>
        <w:autoSpaceDE w:val="0"/>
        <w:autoSpaceDN w:val="0"/>
        <w:adjustRightInd w:val="0"/>
        <w:spacing w:after="0" w:line="240" w:lineRule="auto"/>
        <w:jc w:val="both"/>
        <w:rPr>
          <w:rFonts w:ascii="Times New Roman" w:hAnsi="Times New Roman" w:cs="Times New Roman"/>
          <w:sz w:val="24"/>
          <w:szCs w:val="24"/>
        </w:rPr>
      </w:pPr>
      <w:r w:rsidRPr="00575C96">
        <w:rPr>
          <w:rFonts w:ascii="Times New Roman" w:hAnsi="Times New Roman" w:cs="Times New Roman"/>
          <w:sz w:val="24"/>
          <w:szCs w:val="24"/>
        </w:rPr>
        <w:tab/>
        <w:t xml:space="preserve">Najvyššie čerpanie rozpočtových prostriedkov bolo na nákup softvéru </w:t>
      </w:r>
      <w:r w:rsidR="00711665">
        <w:rPr>
          <w:rFonts w:ascii="Times New Roman" w:hAnsi="Times New Roman" w:cs="Times New Roman"/>
          <w:sz w:val="24"/>
          <w:szCs w:val="24"/>
        </w:rPr>
        <w:t xml:space="preserve">                    </w:t>
      </w:r>
      <w:r w:rsidRPr="00575C96">
        <w:rPr>
          <w:rFonts w:ascii="Times New Roman" w:hAnsi="Times New Roman" w:cs="Times New Roman"/>
          <w:sz w:val="24"/>
          <w:szCs w:val="24"/>
        </w:rPr>
        <w:t xml:space="preserve">(216 666,59 eur) a výpočtovej techniky – tablety, server </w:t>
      </w:r>
      <w:proofErr w:type="spellStart"/>
      <w:r w:rsidRPr="00575C96">
        <w:rPr>
          <w:rFonts w:ascii="Times New Roman" w:hAnsi="Times New Roman" w:cs="Times New Roman"/>
          <w:sz w:val="24"/>
          <w:szCs w:val="24"/>
        </w:rPr>
        <w:t>NAS</w:t>
      </w:r>
      <w:proofErr w:type="spellEnd"/>
      <w:r w:rsidRPr="00575C96">
        <w:rPr>
          <w:rFonts w:ascii="Times New Roman" w:hAnsi="Times New Roman" w:cs="Times New Roman"/>
          <w:sz w:val="24"/>
          <w:szCs w:val="24"/>
        </w:rPr>
        <w:t>, počítače, monitory, notebooky (123 833,63 eur),</w:t>
      </w:r>
      <w:r w:rsidR="00711665">
        <w:rPr>
          <w:rFonts w:ascii="Times New Roman" w:hAnsi="Times New Roman" w:cs="Times New Roman"/>
          <w:sz w:val="24"/>
          <w:szCs w:val="24"/>
        </w:rPr>
        <w:t xml:space="preserve"> </w:t>
      </w:r>
      <w:r w:rsidRPr="00575C96">
        <w:rPr>
          <w:rFonts w:ascii="Times New Roman" w:hAnsi="Times New Roman" w:cs="Times New Roman"/>
          <w:sz w:val="24"/>
          <w:szCs w:val="24"/>
        </w:rPr>
        <w:t xml:space="preserve">všeobecného materiálu – kancelársky a xeroxový papier, kancelárske potreby, obálky, nákup tonerov  (121 563,16 eur), na nákup interiérového vybavenia, nábytku, spotrebičov, kobercov, žalúzií (45 428,01 eur), na nákup kníh a dennej tlače, publikácií v anglickom jazyku (31 474,51 eur),  telekomunikačnej techniky (12 309,86 eur). Výdavky   na reprezentačné boli vyčerpané v sume 26 558,67 eur a súviseli s poskytnutí občerstvenia podávaného na zasadnutí pracovnej skupiny pre stratégiu </w:t>
      </w:r>
      <w:proofErr w:type="spellStart"/>
      <w:r w:rsidRPr="00575C96">
        <w:rPr>
          <w:rFonts w:ascii="Times New Roman" w:hAnsi="Times New Roman" w:cs="Times New Roman"/>
          <w:sz w:val="24"/>
          <w:szCs w:val="24"/>
        </w:rPr>
        <w:t>VEV</w:t>
      </w:r>
      <w:proofErr w:type="spellEnd"/>
      <w:r w:rsidRPr="00575C96">
        <w:rPr>
          <w:rFonts w:ascii="Times New Roman" w:hAnsi="Times New Roman" w:cs="Times New Roman"/>
          <w:sz w:val="24"/>
          <w:szCs w:val="24"/>
        </w:rPr>
        <w:t xml:space="preserve">, na otvorení výstavy Združenia zdravotne postihnutých , na zasadnutí komisie koordinácie </w:t>
      </w:r>
      <w:proofErr w:type="spellStart"/>
      <w:r w:rsidRPr="00575C96">
        <w:rPr>
          <w:rFonts w:ascii="Times New Roman" w:hAnsi="Times New Roman" w:cs="Times New Roman"/>
          <w:sz w:val="24"/>
          <w:szCs w:val="24"/>
        </w:rPr>
        <w:t>biopalív</w:t>
      </w:r>
      <w:proofErr w:type="spellEnd"/>
      <w:r w:rsidRPr="00575C96">
        <w:rPr>
          <w:rFonts w:ascii="Times New Roman" w:hAnsi="Times New Roman" w:cs="Times New Roman"/>
          <w:sz w:val="24"/>
          <w:szCs w:val="24"/>
        </w:rPr>
        <w:t xml:space="preserve"> v doprave, na zasadnutí pracovnej skupiny V4 pre energetiku, na fóre V4 pre integráciu trhu s plynom, na  konferencii </w:t>
      </w:r>
      <w:proofErr w:type="spellStart"/>
      <w:r w:rsidRPr="00575C96">
        <w:rPr>
          <w:rFonts w:ascii="Times New Roman" w:hAnsi="Times New Roman" w:cs="Times New Roman"/>
          <w:sz w:val="24"/>
          <w:szCs w:val="24"/>
        </w:rPr>
        <w:t>CERN</w:t>
      </w:r>
      <w:proofErr w:type="spellEnd"/>
      <w:r w:rsidRPr="00575C96">
        <w:rPr>
          <w:rFonts w:ascii="Times New Roman" w:hAnsi="Times New Roman" w:cs="Times New Roman"/>
          <w:sz w:val="24"/>
          <w:szCs w:val="24"/>
        </w:rPr>
        <w:t xml:space="preserve">, na  informačnom dni programu INTERREG a INTERREG EUROPE, na spotrebiteľskom seminári pre učiteľov stredných škôl, na zasadnutí Rady vlády pre </w:t>
      </w:r>
      <w:proofErr w:type="spellStart"/>
      <w:r w:rsidRPr="00575C96">
        <w:rPr>
          <w:rFonts w:ascii="Times New Roman" w:hAnsi="Times New Roman" w:cs="Times New Roman"/>
          <w:sz w:val="24"/>
          <w:szCs w:val="24"/>
        </w:rPr>
        <w:t>PEI</w:t>
      </w:r>
      <w:proofErr w:type="spellEnd"/>
      <w:r w:rsidRPr="00575C96">
        <w:rPr>
          <w:rFonts w:ascii="Times New Roman" w:hAnsi="Times New Roman" w:cs="Times New Roman"/>
          <w:sz w:val="24"/>
          <w:szCs w:val="24"/>
        </w:rPr>
        <w:t xml:space="preserve"> pod vedením ministra hospodárstva, na  zasadnutí európskeho spotrebiteľského centra (Írsko, Rakúsko, Veľká Británia), na prijatí podnikateľskej misie z Ruskej federácie, na zasadnutí pracovnej skupiny pre </w:t>
      </w:r>
      <w:proofErr w:type="spellStart"/>
      <w:r w:rsidRPr="00575C96">
        <w:rPr>
          <w:rFonts w:ascii="Times New Roman" w:hAnsi="Times New Roman" w:cs="Times New Roman"/>
          <w:sz w:val="24"/>
          <w:szCs w:val="24"/>
        </w:rPr>
        <w:t>elektromobilitu</w:t>
      </w:r>
      <w:proofErr w:type="spellEnd"/>
      <w:r w:rsidRPr="00575C96">
        <w:rPr>
          <w:rFonts w:ascii="Times New Roman" w:hAnsi="Times New Roman" w:cs="Times New Roman"/>
          <w:sz w:val="24"/>
          <w:szCs w:val="24"/>
        </w:rPr>
        <w:t xml:space="preserve"> – zasadnutie rady SARIO a pod.</w:t>
      </w:r>
    </w:p>
    <w:p w:rsidR="00575C96" w:rsidRDefault="00575C96" w:rsidP="00575C96">
      <w:pPr>
        <w:autoSpaceDE w:val="0"/>
        <w:autoSpaceDN w:val="0"/>
        <w:adjustRightInd w:val="0"/>
        <w:spacing w:after="0" w:line="240" w:lineRule="auto"/>
        <w:jc w:val="both"/>
        <w:rPr>
          <w:rFonts w:ascii="Times New Roman" w:hAnsi="Times New Roman" w:cs="Times New Roman"/>
          <w:sz w:val="24"/>
          <w:szCs w:val="24"/>
        </w:rPr>
      </w:pPr>
      <w:r w:rsidRPr="00575C96">
        <w:rPr>
          <w:rFonts w:ascii="Times New Roman" w:hAnsi="Times New Roman" w:cs="Times New Roman"/>
          <w:sz w:val="24"/>
          <w:szCs w:val="24"/>
        </w:rPr>
        <w:t xml:space="preserve">Ostatné výdavky v celkovej sume 20 105,91  eur boli vyčerpané na nákup pracovných odevov a pomôcok, nákup, aktualizáciu a rozšírenie licencií, úhradu licenčného poplatku </w:t>
      </w:r>
      <w:proofErr w:type="spellStart"/>
      <w:r w:rsidRPr="00575C96">
        <w:rPr>
          <w:rFonts w:ascii="Times New Roman" w:hAnsi="Times New Roman" w:cs="Times New Roman"/>
          <w:sz w:val="24"/>
          <w:szCs w:val="24"/>
        </w:rPr>
        <w:t>ADMIS</w:t>
      </w:r>
      <w:proofErr w:type="spellEnd"/>
      <w:r w:rsidRPr="00575C96">
        <w:rPr>
          <w:rFonts w:ascii="Times New Roman" w:hAnsi="Times New Roman" w:cs="Times New Roman"/>
          <w:sz w:val="24"/>
          <w:szCs w:val="24"/>
        </w:rPr>
        <w:t xml:space="preserve">, </w:t>
      </w:r>
      <w:proofErr w:type="spellStart"/>
      <w:r w:rsidRPr="00575C96">
        <w:rPr>
          <w:rFonts w:ascii="Times New Roman" w:hAnsi="Times New Roman" w:cs="Times New Roman"/>
          <w:sz w:val="24"/>
          <w:szCs w:val="24"/>
        </w:rPr>
        <w:t>security</w:t>
      </w:r>
      <w:proofErr w:type="spellEnd"/>
      <w:r w:rsidRPr="00575C96">
        <w:rPr>
          <w:rFonts w:ascii="Times New Roman" w:hAnsi="Times New Roman" w:cs="Times New Roman"/>
          <w:sz w:val="24"/>
          <w:szCs w:val="24"/>
        </w:rPr>
        <w:t xml:space="preserve"> </w:t>
      </w:r>
      <w:proofErr w:type="spellStart"/>
      <w:r w:rsidRPr="00575C96">
        <w:rPr>
          <w:rFonts w:ascii="Times New Roman" w:hAnsi="Times New Roman" w:cs="Times New Roman"/>
          <w:sz w:val="24"/>
          <w:szCs w:val="24"/>
        </w:rPr>
        <w:t>pack</w:t>
      </w:r>
      <w:proofErr w:type="spellEnd"/>
      <w:r w:rsidRPr="00575C96">
        <w:rPr>
          <w:rFonts w:ascii="Times New Roman" w:hAnsi="Times New Roman" w:cs="Times New Roman"/>
          <w:sz w:val="24"/>
          <w:szCs w:val="24"/>
        </w:rPr>
        <w:t>, a pod.</w:t>
      </w:r>
    </w:p>
    <w:p w:rsidR="00575C96" w:rsidRDefault="00575C96" w:rsidP="00575C9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V rámci uvedenej ekonomickej klasifikácie boli čerpané aj rozpočtové prostriedky </w:t>
      </w:r>
      <w:r w:rsidRPr="00575C96">
        <w:rPr>
          <w:rFonts w:ascii="Times New Roman" w:hAnsi="Times New Roman" w:cs="Times New Roman"/>
          <w:sz w:val="24"/>
          <w:szCs w:val="24"/>
        </w:rPr>
        <w:t>Kohézneho fondu v sume 8 950,00 eur</w:t>
      </w:r>
      <w:r>
        <w:rPr>
          <w:rFonts w:ascii="Times New Roman" w:hAnsi="Times New Roman" w:cs="Times New Roman"/>
          <w:sz w:val="24"/>
          <w:szCs w:val="24"/>
        </w:rPr>
        <w:t>, o ktoré bol navýšený rozpočet kapitoly MH SR z úrovne MF SR</w:t>
      </w:r>
      <w:r w:rsidRPr="00575C96">
        <w:rPr>
          <w:rFonts w:ascii="Times New Roman" w:hAnsi="Times New Roman" w:cs="Times New Roman"/>
          <w:sz w:val="24"/>
          <w:szCs w:val="24"/>
        </w:rPr>
        <w:t xml:space="preserve">. Rozpočtové prostriedky boli MH SR poskytnuté vo forme nenávratného finančného príspevku na základe „Žiadosti o nenávratný finančný príspevok č. </w:t>
      </w:r>
      <w:proofErr w:type="spellStart"/>
      <w:r w:rsidRPr="00575C96">
        <w:rPr>
          <w:rFonts w:ascii="Times New Roman" w:hAnsi="Times New Roman" w:cs="Times New Roman"/>
          <w:sz w:val="24"/>
          <w:szCs w:val="24"/>
        </w:rPr>
        <w:t>NFP</w:t>
      </w:r>
      <w:proofErr w:type="spellEnd"/>
      <w:r w:rsidRPr="00575C96">
        <w:rPr>
          <w:rFonts w:ascii="Times New Roman" w:hAnsi="Times New Roman" w:cs="Times New Roman"/>
          <w:sz w:val="24"/>
          <w:szCs w:val="24"/>
        </w:rPr>
        <w:t xml:space="preserve"> 24140111569“. Z uvedených prostriedkov bol hradený nákup zberných nádob v rámci Operačného programu Životné prostredie so zameraním na podporu aktivít v oblasti separovaného zberu, ktorého cieľom je zavedenie triedeného zberu na úrovni subjektov štátnej správy. Rozpočtové prostriedky boli vyčerpané vo výške 100,00 % z upraveného rozpočtu.</w:t>
      </w:r>
    </w:p>
    <w:p w:rsidR="00096994" w:rsidRDefault="00096994" w:rsidP="00575C96">
      <w:pPr>
        <w:autoSpaceDE w:val="0"/>
        <w:autoSpaceDN w:val="0"/>
        <w:adjustRightInd w:val="0"/>
        <w:spacing w:after="0" w:line="240" w:lineRule="auto"/>
        <w:jc w:val="both"/>
        <w:rPr>
          <w:rFonts w:ascii="Times New Roman" w:hAnsi="Times New Roman" w:cs="Times New Roman"/>
          <w:sz w:val="24"/>
          <w:szCs w:val="24"/>
        </w:rPr>
      </w:pPr>
    </w:p>
    <w:p w:rsidR="00096994" w:rsidRPr="009F1E92" w:rsidRDefault="00096994" w:rsidP="0044523B">
      <w:pPr>
        <w:autoSpaceDE w:val="0"/>
        <w:autoSpaceDN w:val="0"/>
        <w:adjustRightInd w:val="0"/>
        <w:spacing w:after="0" w:line="240" w:lineRule="auto"/>
        <w:jc w:val="both"/>
        <w:rPr>
          <w:rFonts w:ascii="Times New Roman" w:hAnsi="Times New Roman" w:cs="Times New Roman"/>
          <w:sz w:val="24"/>
          <w:szCs w:val="24"/>
        </w:rPr>
      </w:pPr>
      <w:r w:rsidRPr="00321108">
        <w:rPr>
          <w:rFonts w:ascii="Times New Roman" w:hAnsi="Times New Roman" w:cs="Times New Roman"/>
          <w:sz w:val="24"/>
          <w:szCs w:val="24"/>
        </w:rPr>
        <w:t>V kategórii 634 – Dopravné</w:t>
      </w:r>
      <w:r w:rsidRPr="009F1E92">
        <w:rPr>
          <w:rFonts w:ascii="Times New Roman" w:hAnsi="Times New Roman" w:cs="Times New Roman"/>
          <w:sz w:val="24"/>
          <w:szCs w:val="24"/>
        </w:rPr>
        <w:t xml:space="preserve"> boli rozpočtové prostriedky čerpané </w:t>
      </w:r>
      <w:r>
        <w:rPr>
          <w:rFonts w:ascii="Times New Roman" w:hAnsi="Times New Roman" w:cs="Times New Roman"/>
          <w:sz w:val="24"/>
          <w:szCs w:val="24"/>
        </w:rPr>
        <w:t>v sume</w:t>
      </w:r>
      <w:r w:rsidRPr="009F1E92">
        <w:rPr>
          <w:rFonts w:ascii="Times New Roman" w:hAnsi="Times New Roman" w:cs="Times New Roman"/>
          <w:sz w:val="24"/>
          <w:szCs w:val="24"/>
        </w:rPr>
        <w:t xml:space="preserve"> </w:t>
      </w:r>
      <w:r w:rsidRPr="00321108">
        <w:rPr>
          <w:rFonts w:ascii="Times New Roman" w:hAnsi="Times New Roman" w:cs="Times New Roman"/>
          <w:sz w:val="24"/>
          <w:szCs w:val="24"/>
        </w:rPr>
        <w:t xml:space="preserve">158 819,28 </w:t>
      </w:r>
      <w:r w:rsidRPr="009F1E92">
        <w:rPr>
          <w:rFonts w:ascii="Times New Roman" w:hAnsi="Times New Roman" w:cs="Times New Roman"/>
          <w:sz w:val="24"/>
          <w:szCs w:val="24"/>
        </w:rPr>
        <w:t xml:space="preserve">eur.  </w:t>
      </w:r>
      <w:r>
        <w:rPr>
          <w:rFonts w:ascii="Times New Roman" w:hAnsi="Times New Roman" w:cs="Times New Roman"/>
          <w:sz w:val="24"/>
          <w:szCs w:val="24"/>
        </w:rPr>
        <w:t xml:space="preserve">   </w:t>
      </w:r>
      <w:r w:rsidRPr="009F1E92">
        <w:rPr>
          <w:rFonts w:ascii="Times New Roman" w:hAnsi="Times New Roman" w:cs="Times New Roman"/>
          <w:sz w:val="24"/>
          <w:szCs w:val="24"/>
        </w:rPr>
        <w:t>Čerpanie výdavkov v tejto kategórii súvisí s prevádzkou,  údržbou a servisom služobných motorových vozidiel úradu MH SR. Z rozpočtových prostriedkov v uvedenej kategórii boli uhradené aj diaľničné známky a poistenie služobných motorových vozidiel  úradu MH SR a na pracovisk</w:t>
      </w:r>
      <w:r>
        <w:rPr>
          <w:rFonts w:ascii="Times New Roman" w:hAnsi="Times New Roman" w:cs="Times New Roman"/>
          <w:sz w:val="24"/>
          <w:szCs w:val="24"/>
        </w:rPr>
        <w:t>ách</w:t>
      </w:r>
      <w:r w:rsidRPr="009F1E92">
        <w:rPr>
          <w:rFonts w:ascii="Times New Roman" w:hAnsi="Times New Roman" w:cs="Times New Roman"/>
          <w:sz w:val="24"/>
          <w:szCs w:val="24"/>
        </w:rPr>
        <w:t xml:space="preserve"> mimo sídla služobného úradu.</w:t>
      </w:r>
    </w:p>
    <w:p w:rsidR="00096994" w:rsidRPr="00575C96" w:rsidRDefault="00096994" w:rsidP="00096994">
      <w:pPr>
        <w:autoSpaceDE w:val="0"/>
        <w:autoSpaceDN w:val="0"/>
        <w:adjustRightInd w:val="0"/>
        <w:spacing w:after="0" w:line="240" w:lineRule="auto"/>
        <w:jc w:val="both"/>
        <w:rPr>
          <w:rFonts w:ascii="Times New Roman" w:hAnsi="Times New Roman" w:cs="Times New Roman"/>
          <w:sz w:val="24"/>
          <w:szCs w:val="24"/>
        </w:rPr>
      </w:pPr>
    </w:p>
    <w:p w:rsidR="00E21CCE" w:rsidRPr="00E21CCE" w:rsidRDefault="00E21CCE" w:rsidP="00E21CCE">
      <w:pPr>
        <w:autoSpaceDE w:val="0"/>
        <w:autoSpaceDN w:val="0"/>
        <w:adjustRightInd w:val="0"/>
        <w:spacing w:after="0" w:line="240" w:lineRule="auto"/>
        <w:jc w:val="both"/>
        <w:rPr>
          <w:rFonts w:ascii="Times New Roman" w:hAnsi="Times New Roman" w:cs="Times New Roman"/>
          <w:sz w:val="24"/>
          <w:szCs w:val="24"/>
        </w:rPr>
      </w:pPr>
      <w:r w:rsidRPr="002B1EBE">
        <w:rPr>
          <w:i/>
          <w:szCs w:val="24"/>
          <w:lang w:eastAsia="sk-SK"/>
        </w:rPr>
        <w:t>V kategórii 635 - Rutinná a štandardná údržba</w:t>
      </w:r>
      <w:r w:rsidRPr="002B1EBE">
        <w:rPr>
          <w:szCs w:val="24"/>
          <w:lang w:eastAsia="sk-SK"/>
        </w:rPr>
        <w:t xml:space="preserve"> boli rozpočtové prostriedky čerpané </w:t>
      </w:r>
      <w:r w:rsidRPr="002B1EBE">
        <w:rPr>
          <w:szCs w:val="24"/>
        </w:rPr>
        <w:t>v sume</w:t>
      </w:r>
      <w:r w:rsidRPr="00695344">
        <w:rPr>
          <w:szCs w:val="24"/>
        </w:rPr>
        <w:t xml:space="preserve">                       </w:t>
      </w:r>
      <w:r w:rsidRPr="00E21CCE">
        <w:rPr>
          <w:rFonts w:ascii="Times New Roman" w:hAnsi="Times New Roman" w:cs="Times New Roman"/>
          <w:sz w:val="24"/>
          <w:szCs w:val="24"/>
        </w:rPr>
        <w:t xml:space="preserve">317 397,61 eur. </w:t>
      </w:r>
    </w:p>
    <w:p w:rsidR="00E21CCE" w:rsidRPr="00E21CCE" w:rsidRDefault="00E21CCE" w:rsidP="00E21CCE">
      <w:pPr>
        <w:spacing w:after="0" w:line="240" w:lineRule="auto"/>
        <w:ind w:firstLine="567"/>
        <w:jc w:val="both"/>
        <w:rPr>
          <w:rFonts w:ascii="Times New Roman" w:hAnsi="Times New Roman" w:cs="Times New Roman"/>
          <w:sz w:val="24"/>
          <w:szCs w:val="24"/>
        </w:rPr>
      </w:pPr>
      <w:r w:rsidRPr="00E21CCE">
        <w:rPr>
          <w:rFonts w:ascii="Times New Roman" w:hAnsi="Times New Roman" w:cs="Times New Roman"/>
          <w:sz w:val="24"/>
          <w:szCs w:val="24"/>
        </w:rPr>
        <w:t xml:space="preserve">Najvyššia suma výdavkov  bola vyčerpaná na údržbu softvéru  (125 438,53 eur), na údržbu výpočtovej techniky (71 798,40 eur), na údržbu prevádzkových  zariadení v objekte ministerstva, vrátane elektrospotrebičov, klimatizácií, vykurovacích telies a vzduchotechniky, opravu a údržbu kopírovacích strojov (46 772,54 eur), na údržbu budovy, kontrolu a údržbu agregátu CO krytu, údržbu výťahov a vymaľovanie kancelárií (28 196,04 eur). Na údržbu telekomunikačnej  techniky sa vyčerpalo 14 212,66 eur. Za servisné práce na integrovanom zabezpečovacom systéme objektu MH SR sa vyčerpalo 30 441,82 eur. Výdavky v sume 537,62 eur boli vyčerpané na servis a opravu interiérového vybavenia. </w:t>
      </w:r>
    </w:p>
    <w:p w:rsidR="00E21CCE" w:rsidRDefault="00E21CCE" w:rsidP="00575C96">
      <w:pPr>
        <w:autoSpaceDE w:val="0"/>
        <w:autoSpaceDN w:val="0"/>
        <w:adjustRightInd w:val="0"/>
        <w:spacing w:after="0" w:line="240" w:lineRule="auto"/>
        <w:jc w:val="both"/>
        <w:rPr>
          <w:rFonts w:ascii="Times New Roman" w:hAnsi="Times New Roman" w:cs="Times New Roman"/>
          <w:sz w:val="24"/>
          <w:szCs w:val="24"/>
        </w:rPr>
      </w:pPr>
    </w:p>
    <w:p w:rsidR="00E21CCE" w:rsidRPr="00E21CCE" w:rsidRDefault="00E21CCE" w:rsidP="00E21CCE">
      <w:pPr>
        <w:autoSpaceDE w:val="0"/>
        <w:autoSpaceDN w:val="0"/>
        <w:adjustRightInd w:val="0"/>
        <w:spacing w:after="0" w:line="240" w:lineRule="auto"/>
        <w:jc w:val="both"/>
        <w:rPr>
          <w:rFonts w:ascii="Times New Roman" w:hAnsi="Times New Roman" w:cs="Times New Roman"/>
          <w:sz w:val="24"/>
          <w:szCs w:val="24"/>
          <w:lang w:eastAsia="sk-SK"/>
        </w:rPr>
      </w:pPr>
      <w:r w:rsidRPr="00E21CCE">
        <w:rPr>
          <w:rFonts w:ascii="Times New Roman" w:hAnsi="Times New Roman" w:cs="Times New Roman"/>
          <w:i/>
          <w:sz w:val="24"/>
          <w:szCs w:val="24"/>
          <w:lang w:eastAsia="sk-SK"/>
        </w:rPr>
        <w:t>V kategórii 636 - Nájomné za nájom</w:t>
      </w:r>
      <w:r w:rsidRPr="00E21CCE">
        <w:rPr>
          <w:rFonts w:ascii="Times New Roman" w:hAnsi="Times New Roman" w:cs="Times New Roman"/>
          <w:sz w:val="24"/>
          <w:szCs w:val="24"/>
          <w:lang w:eastAsia="sk-SK"/>
        </w:rPr>
        <w:t xml:space="preserve"> boli rozpočtové prostriedky čerpané </w:t>
      </w:r>
      <w:r w:rsidRPr="00E21CCE">
        <w:rPr>
          <w:rFonts w:ascii="Times New Roman" w:hAnsi="Times New Roman" w:cs="Times New Roman"/>
          <w:sz w:val="24"/>
          <w:szCs w:val="24"/>
        </w:rPr>
        <w:t xml:space="preserve">v sume </w:t>
      </w:r>
      <w:r w:rsidR="00711665">
        <w:rPr>
          <w:rFonts w:ascii="Times New Roman" w:hAnsi="Times New Roman" w:cs="Times New Roman"/>
          <w:sz w:val="24"/>
          <w:szCs w:val="24"/>
        </w:rPr>
        <w:t xml:space="preserve">               </w:t>
      </w:r>
      <w:r w:rsidRPr="00E21CCE">
        <w:rPr>
          <w:rFonts w:ascii="Times New Roman" w:hAnsi="Times New Roman" w:cs="Times New Roman"/>
          <w:sz w:val="24"/>
          <w:szCs w:val="24"/>
        </w:rPr>
        <w:t xml:space="preserve"> </w:t>
      </w:r>
      <w:r w:rsidRPr="00E21CCE">
        <w:rPr>
          <w:rFonts w:ascii="Times New Roman" w:hAnsi="Times New Roman" w:cs="Times New Roman"/>
          <w:sz w:val="24"/>
          <w:szCs w:val="24"/>
          <w:lang w:eastAsia="sk-SK"/>
        </w:rPr>
        <w:t xml:space="preserve">221 125,72 </w:t>
      </w:r>
      <w:r w:rsidRPr="00E21CCE">
        <w:rPr>
          <w:rFonts w:ascii="Times New Roman" w:hAnsi="Times New Roman" w:cs="Times New Roman"/>
          <w:sz w:val="24"/>
          <w:szCs w:val="24"/>
        </w:rPr>
        <w:t>eur.</w:t>
      </w:r>
    </w:p>
    <w:p w:rsidR="00E21CCE" w:rsidRPr="00E21CCE" w:rsidRDefault="00E21CCE" w:rsidP="00E21CCE">
      <w:pPr>
        <w:autoSpaceDE w:val="0"/>
        <w:autoSpaceDN w:val="0"/>
        <w:adjustRightInd w:val="0"/>
        <w:spacing w:after="0" w:line="240" w:lineRule="auto"/>
        <w:ind w:firstLine="567"/>
        <w:jc w:val="both"/>
        <w:rPr>
          <w:rFonts w:ascii="Times New Roman" w:hAnsi="Times New Roman" w:cs="Times New Roman"/>
          <w:sz w:val="24"/>
          <w:szCs w:val="24"/>
        </w:rPr>
      </w:pPr>
      <w:r w:rsidRPr="00E21CCE">
        <w:rPr>
          <w:rFonts w:ascii="Times New Roman" w:hAnsi="Times New Roman" w:cs="Times New Roman"/>
          <w:sz w:val="24"/>
          <w:szCs w:val="24"/>
        </w:rPr>
        <w:t xml:space="preserve">Čerpanie v sume 215 486,75  eur súviselo s úhradou nájmu za budovy pre pracoviská mimo sídla služobného úradu MH SR v cudzine, s nájmom miestností pri príležitosti konania pracovných stretnutí so zástupcami startupov, na zasadnutie a konferenciu energetickej efektívnosti v rámci </w:t>
      </w:r>
      <w:proofErr w:type="spellStart"/>
      <w:r w:rsidRPr="00E21CCE">
        <w:rPr>
          <w:rFonts w:ascii="Times New Roman" w:hAnsi="Times New Roman" w:cs="Times New Roman"/>
          <w:sz w:val="24"/>
          <w:szCs w:val="24"/>
        </w:rPr>
        <w:t>CEEC</w:t>
      </w:r>
      <w:proofErr w:type="spellEnd"/>
      <w:r w:rsidRPr="00E21CCE">
        <w:rPr>
          <w:rFonts w:ascii="Times New Roman" w:hAnsi="Times New Roman" w:cs="Times New Roman"/>
          <w:sz w:val="24"/>
          <w:szCs w:val="24"/>
        </w:rPr>
        <w:t xml:space="preserve"> summitu a s nájmom za výstavné plochy na  výstavách  v rámci národného a mimo národného projektu: </w:t>
      </w:r>
      <w:proofErr w:type="spellStart"/>
      <w:r w:rsidRPr="00E21CCE">
        <w:rPr>
          <w:rFonts w:ascii="Times New Roman" w:hAnsi="Times New Roman" w:cs="Times New Roman"/>
          <w:sz w:val="24"/>
          <w:szCs w:val="24"/>
        </w:rPr>
        <w:t>Hannover</w:t>
      </w:r>
      <w:proofErr w:type="spellEnd"/>
      <w:r w:rsidRPr="00E21CCE">
        <w:rPr>
          <w:rFonts w:ascii="Times New Roman" w:hAnsi="Times New Roman" w:cs="Times New Roman"/>
          <w:sz w:val="24"/>
          <w:szCs w:val="24"/>
        </w:rPr>
        <w:t xml:space="preserve"> </w:t>
      </w:r>
      <w:proofErr w:type="spellStart"/>
      <w:r w:rsidRPr="00E21CCE">
        <w:rPr>
          <w:rFonts w:ascii="Times New Roman" w:hAnsi="Times New Roman" w:cs="Times New Roman"/>
          <w:sz w:val="24"/>
          <w:szCs w:val="24"/>
        </w:rPr>
        <w:t>Messe</w:t>
      </w:r>
      <w:proofErr w:type="spellEnd"/>
      <w:r w:rsidRPr="00E21CCE">
        <w:rPr>
          <w:rFonts w:ascii="Times New Roman" w:hAnsi="Times New Roman" w:cs="Times New Roman"/>
          <w:sz w:val="24"/>
          <w:szCs w:val="24"/>
        </w:rPr>
        <w:t xml:space="preserve">, Mosbuild Moskva, </w:t>
      </w:r>
      <w:proofErr w:type="spellStart"/>
      <w:r w:rsidRPr="00E21CCE">
        <w:rPr>
          <w:rFonts w:ascii="Times New Roman" w:hAnsi="Times New Roman" w:cs="Times New Roman"/>
          <w:sz w:val="24"/>
          <w:szCs w:val="24"/>
        </w:rPr>
        <w:t>Metalworking</w:t>
      </w:r>
      <w:proofErr w:type="spellEnd"/>
      <w:r w:rsidRPr="00E21CCE">
        <w:rPr>
          <w:rFonts w:ascii="Times New Roman" w:hAnsi="Times New Roman" w:cs="Times New Roman"/>
          <w:sz w:val="24"/>
          <w:szCs w:val="24"/>
        </w:rPr>
        <w:t xml:space="preserve"> Minsk, </w:t>
      </w:r>
      <w:proofErr w:type="spellStart"/>
      <w:r w:rsidRPr="00E21CCE">
        <w:rPr>
          <w:rFonts w:ascii="Times New Roman" w:hAnsi="Times New Roman" w:cs="Times New Roman"/>
          <w:sz w:val="24"/>
          <w:szCs w:val="24"/>
        </w:rPr>
        <w:t>Metaloobrabotka</w:t>
      </w:r>
      <w:proofErr w:type="spellEnd"/>
      <w:r w:rsidRPr="00E21CCE">
        <w:rPr>
          <w:rFonts w:ascii="Times New Roman" w:hAnsi="Times New Roman" w:cs="Times New Roman"/>
          <w:sz w:val="24"/>
          <w:szCs w:val="24"/>
        </w:rPr>
        <w:t xml:space="preserve"> Moskva, </w:t>
      </w:r>
      <w:proofErr w:type="spellStart"/>
      <w:r w:rsidRPr="00E21CCE">
        <w:rPr>
          <w:rFonts w:ascii="Times New Roman" w:hAnsi="Times New Roman" w:cs="Times New Roman"/>
          <w:sz w:val="24"/>
          <w:szCs w:val="24"/>
        </w:rPr>
        <w:t>Sajam</w:t>
      </w:r>
      <w:proofErr w:type="spellEnd"/>
      <w:r w:rsidRPr="00E21CCE">
        <w:rPr>
          <w:rFonts w:ascii="Times New Roman" w:hAnsi="Times New Roman" w:cs="Times New Roman"/>
          <w:sz w:val="24"/>
          <w:szCs w:val="24"/>
        </w:rPr>
        <w:t xml:space="preserve"> Technike Belehrad, </w:t>
      </w:r>
      <w:proofErr w:type="spellStart"/>
      <w:r w:rsidRPr="00E21CCE">
        <w:rPr>
          <w:rFonts w:ascii="Times New Roman" w:hAnsi="Times New Roman" w:cs="Times New Roman"/>
          <w:sz w:val="24"/>
          <w:szCs w:val="24"/>
        </w:rPr>
        <w:t>MSV</w:t>
      </w:r>
      <w:proofErr w:type="spellEnd"/>
      <w:r w:rsidRPr="00E21CCE">
        <w:rPr>
          <w:rFonts w:ascii="Times New Roman" w:hAnsi="Times New Roman" w:cs="Times New Roman"/>
          <w:sz w:val="24"/>
          <w:szCs w:val="24"/>
        </w:rPr>
        <w:t xml:space="preserve"> Brno, </w:t>
      </w:r>
      <w:proofErr w:type="spellStart"/>
      <w:r w:rsidRPr="00E21CCE">
        <w:rPr>
          <w:rFonts w:ascii="Times New Roman" w:hAnsi="Times New Roman" w:cs="Times New Roman"/>
          <w:sz w:val="24"/>
          <w:szCs w:val="24"/>
        </w:rPr>
        <w:t>MSV</w:t>
      </w:r>
      <w:proofErr w:type="spellEnd"/>
      <w:r w:rsidRPr="00E21CCE">
        <w:rPr>
          <w:rFonts w:ascii="Times New Roman" w:hAnsi="Times New Roman" w:cs="Times New Roman"/>
          <w:sz w:val="24"/>
          <w:szCs w:val="24"/>
        </w:rPr>
        <w:t xml:space="preserve"> Nitra, Autosalón Nitra, Web Summit Dublin, </w:t>
      </w:r>
      <w:proofErr w:type="spellStart"/>
      <w:r w:rsidRPr="00E21CCE">
        <w:rPr>
          <w:rFonts w:ascii="Times New Roman" w:hAnsi="Times New Roman" w:cs="Times New Roman"/>
          <w:sz w:val="24"/>
          <w:szCs w:val="24"/>
        </w:rPr>
        <w:t>FIHAV</w:t>
      </w:r>
      <w:proofErr w:type="spellEnd"/>
      <w:r w:rsidRPr="00E21CCE">
        <w:rPr>
          <w:rFonts w:ascii="Times New Roman" w:hAnsi="Times New Roman" w:cs="Times New Roman"/>
          <w:sz w:val="24"/>
          <w:szCs w:val="24"/>
        </w:rPr>
        <w:t xml:space="preserve"> Havana a Mladý tvorca. Za prenájom zariadení a tlmočníckej techniky bolo vyčerpaných 5 638,97 eur. Z výdavkov v uvedenej ekonomickej klasifikácii boli čerpané výdavky na nájomné za prenájom plochy na výstave Mladý tvorca v sume 76 643,20 eur.</w:t>
      </w:r>
    </w:p>
    <w:p w:rsidR="00942C0D" w:rsidRDefault="00942C0D" w:rsidP="009F1E92">
      <w:pPr>
        <w:autoSpaceDE w:val="0"/>
        <w:autoSpaceDN w:val="0"/>
        <w:adjustRightInd w:val="0"/>
        <w:spacing w:after="0" w:line="240" w:lineRule="auto"/>
        <w:jc w:val="both"/>
        <w:rPr>
          <w:rFonts w:ascii="Times New Roman" w:hAnsi="Times New Roman" w:cs="Times New Roman"/>
          <w:sz w:val="24"/>
          <w:szCs w:val="24"/>
        </w:rPr>
      </w:pPr>
    </w:p>
    <w:p w:rsidR="00E21CCE" w:rsidRPr="00E21CCE" w:rsidRDefault="00E21CCE" w:rsidP="00E21CCE">
      <w:pPr>
        <w:autoSpaceDE w:val="0"/>
        <w:autoSpaceDN w:val="0"/>
        <w:adjustRightInd w:val="0"/>
        <w:spacing w:after="0" w:line="240" w:lineRule="auto"/>
        <w:jc w:val="both"/>
        <w:rPr>
          <w:rFonts w:ascii="Times New Roman" w:hAnsi="Times New Roman" w:cs="Times New Roman"/>
          <w:sz w:val="24"/>
          <w:szCs w:val="24"/>
        </w:rPr>
      </w:pPr>
      <w:r w:rsidRPr="00E21CCE">
        <w:rPr>
          <w:rFonts w:ascii="Times New Roman" w:hAnsi="Times New Roman" w:cs="Times New Roman"/>
          <w:i/>
          <w:sz w:val="24"/>
          <w:szCs w:val="24"/>
        </w:rPr>
        <w:t>V kategórii 637 – Služby</w:t>
      </w:r>
      <w:r w:rsidRPr="00E21CCE">
        <w:rPr>
          <w:rFonts w:ascii="Times New Roman" w:hAnsi="Times New Roman" w:cs="Times New Roman"/>
          <w:sz w:val="24"/>
          <w:szCs w:val="24"/>
        </w:rPr>
        <w:t xml:space="preserve"> </w:t>
      </w:r>
      <w:r w:rsidRPr="00E21CCE">
        <w:rPr>
          <w:rFonts w:ascii="Times New Roman" w:hAnsi="Times New Roman" w:cs="Times New Roman"/>
          <w:sz w:val="24"/>
          <w:szCs w:val="24"/>
          <w:lang w:eastAsia="sk-SK"/>
        </w:rPr>
        <w:t xml:space="preserve">boli rozpočtové prostriedky čerpané </w:t>
      </w:r>
      <w:r w:rsidRPr="00E21CCE">
        <w:rPr>
          <w:rFonts w:ascii="Times New Roman" w:hAnsi="Times New Roman" w:cs="Times New Roman"/>
          <w:sz w:val="24"/>
          <w:szCs w:val="24"/>
        </w:rPr>
        <w:t xml:space="preserve">v sume </w:t>
      </w:r>
      <w:r w:rsidRPr="00E21CCE">
        <w:rPr>
          <w:rFonts w:ascii="Times New Roman" w:hAnsi="Times New Roman" w:cs="Times New Roman"/>
          <w:sz w:val="24"/>
          <w:szCs w:val="24"/>
          <w:lang w:eastAsia="sk-SK"/>
        </w:rPr>
        <w:t xml:space="preserve">4 958 132,20 </w:t>
      </w:r>
      <w:r w:rsidRPr="00E21CCE">
        <w:rPr>
          <w:rFonts w:ascii="Times New Roman" w:hAnsi="Times New Roman" w:cs="Times New Roman"/>
          <w:sz w:val="24"/>
          <w:szCs w:val="24"/>
        </w:rPr>
        <w:t xml:space="preserve">eur. </w:t>
      </w:r>
    </w:p>
    <w:p w:rsidR="00E21CCE" w:rsidRPr="00E21CCE" w:rsidRDefault="00E21CCE" w:rsidP="00E21CCE">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E21CCE">
        <w:rPr>
          <w:rFonts w:ascii="Times New Roman" w:hAnsi="Times New Roman" w:cs="Times New Roman"/>
          <w:sz w:val="24"/>
          <w:szCs w:val="24"/>
        </w:rPr>
        <w:t xml:space="preserve">Najvyššie čerpanie v rámci uvedenej klasifikácie bolo na všeobecné a </w:t>
      </w:r>
      <w:r w:rsidRPr="00E21CCE">
        <w:rPr>
          <w:rFonts w:ascii="Times New Roman" w:hAnsi="Times New Roman" w:cs="Times New Roman"/>
          <w:sz w:val="24"/>
          <w:szCs w:val="24"/>
          <w:lang w:eastAsia="sk-SK"/>
        </w:rPr>
        <w:t xml:space="preserve"> špeciálne služby        (3 943 101,26 eur), v rámci ktorých boli zrealizované úhrady za právne služby, za tlmočenie pri prijatí zahraničných delegácií, preklady zmlúv, dohôd, dokumentov a materiálov v súvislosti s členstvom v EÚ,  za výkon strážnej služby, notárske služby, služby Centrálneho depozitára cenných papierov SR, výstavbu stánkov a  za technické pripojenia stánkov na výstavách. Na odmenách  zamestnancov mimopracovného pomeru bolo vyčerpaných </w:t>
      </w:r>
      <w:r w:rsidR="00985C6E">
        <w:rPr>
          <w:rFonts w:ascii="Times New Roman" w:hAnsi="Times New Roman" w:cs="Times New Roman"/>
          <w:sz w:val="24"/>
          <w:szCs w:val="24"/>
          <w:lang w:eastAsia="sk-SK"/>
        </w:rPr>
        <w:t xml:space="preserve">         </w:t>
      </w:r>
      <w:r w:rsidRPr="00E21CCE">
        <w:rPr>
          <w:rFonts w:ascii="Times New Roman" w:hAnsi="Times New Roman" w:cs="Times New Roman"/>
          <w:sz w:val="24"/>
          <w:szCs w:val="24"/>
          <w:lang w:eastAsia="sk-SK"/>
        </w:rPr>
        <w:t>204 027,35 eur. Ďalšie výdavky v sume 189 236,89 eur  boli čerpané za stravovanie zamestnancov úradu ministerstva.  Poplatky a odvody boli vyčerpané v sume 179 150,55 eur. MH SR uhradilo poplatky Centrálnemu depozitárovi cenných papierov za služby súvisiace s prechodom akcií energetických podnikov z Fondu národného majetku (</w:t>
      </w:r>
      <w:proofErr w:type="spellStart"/>
      <w:r w:rsidRPr="00E21CCE">
        <w:rPr>
          <w:rFonts w:ascii="Times New Roman" w:hAnsi="Times New Roman" w:cs="Times New Roman"/>
          <w:sz w:val="24"/>
          <w:szCs w:val="24"/>
          <w:lang w:eastAsia="sk-SK"/>
        </w:rPr>
        <w:t>FNM</w:t>
      </w:r>
      <w:proofErr w:type="spellEnd"/>
      <w:r w:rsidRPr="00E21CCE">
        <w:rPr>
          <w:rFonts w:ascii="Times New Roman" w:hAnsi="Times New Roman" w:cs="Times New Roman"/>
          <w:sz w:val="24"/>
          <w:szCs w:val="24"/>
          <w:lang w:eastAsia="sk-SK"/>
        </w:rPr>
        <w:t xml:space="preserve">) na MH SR a tiež boli zrealizované platby za vedenie účtov v Štátnej pokladnici. Čerpanie v sume </w:t>
      </w:r>
      <w:r w:rsidR="00916F6B">
        <w:rPr>
          <w:rFonts w:ascii="Times New Roman" w:hAnsi="Times New Roman" w:cs="Times New Roman"/>
          <w:sz w:val="24"/>
          <w:szCs w:val="24"/>
          <w:lang w:eastAsia="sk-SK"/>
        </w:rPr>
        <w:t xml:space="preserve">        </w:t>
      </w:r>
      <w:r w:rsidRPr="00E21CCE">
        <w:rPr>
          <w:rFonts w:ascii="Times New Roman" w:hAnsi="Times New Roman" w:cs="Times New Roman"/>
          <w:sz w:val="24"/>
          <w:szCs w:val="24"/>
          <w:lang w:eastAsia="sk-SK"/>
        </w:rPr>
        <w:t>124 735,58 eur bolo vykázané za propagáciu a inzerciu, v rámci ktorej boli uhradené aj náklady na registráciu účasti na výstavách a zápis do katalógu vystavovateľov a tiež na prezentáciu medzinárodného festivalu Tradičných ľudových umeleckých remesiel. Prídel do sociálneho fondu bol vytvorený v sume 110 302,03 eur. Za organizované školenia, kurzy, semináre bolo vyčerpaných 94 215,56 eur, v rámci ktorých boli čerpané výdavky na prípravu a realizáciu konferencie TATRA SUMMIT 2015 v sume  10 000,00 eur.  Dane boli uhradené v sume  46 243,66 eur. Reprezentačné  výdavky boli vyčerpané v sume  36 127,77 eur,  výdavky    na  súťaže boli vyčerpané v sume 16 715,09 eur, na  úhradu poistného za majetok MH SR sa vyčerpalo  11 685,37 eur a na štúdie, na expertízy a odborné znalecké posudky sa vyčerpalo      2 591,09 eur.</w:t>
      </w:r>
    </w:p>
    <w:p w:rsidR="00E21CCE" w:rsidRPr="00E21CCE" w:rsidRDefault="00E21CCE" w:rsidP="00E21CCE">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E21CCE">
        <w:rPr>
          <w:rFonts w:ascii="Times New Roman" w:hAnsi="Times New Roman" w:cs="Times New Roman"/>
          <w:sz w:val="24"/>
          <w:szCs w:val="24"/>
          <w:lang w:eastAsia="sk-SK"/>
        </w:rPr>
        <w:t>V rámci výdavkov na propagáciu, reklamu a inzerciu boli čerpané prostriedky aj na prezentáciu medzinárodného festivalu Tradičných ľudových umeleckých remesiel.</w:t>
      </w:r>
    </w:p>
    <w:p w:rsidR="00916F6B" w:rsidRPr="00E21CCE" w:rsidRDefault="00E21CCE" w:rsidP="00916F6B">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E21CCE">
        <w:rPr>
          <w:rFonts w:ascii="Times New Roman" w:hAnsi="Times New Roman" w:cs="Times New Roman"/>
          <w:sz w:val="24"/>
          <w:szCs w:val="24"/>
          <w:lang w:eastAsia="sk-SK"/>
        </w:rPr>
        <w:t>V rámci uvedenej ekonomickej klasifikácie boli hradené aj platby za tlač vizitiek a výrobu pečiatok pre zamestnancov úradu, majetkové poistenie, pracovná zdravotná služba, upratovacie služby, servis rohoží, sťahovacie a remeselnícke práce, sklenárske služby, servis zelene, odvoz vyradeného majetku a komunálneho odpadu, činnosti spojené so zabezpečením požiarno-bezpečnostných systémov, úhrady DPH a  výdavky za poistenie liečebných nákladov zamestnancov MH SR pri ich vyslaní na zahraničnú pracovnú cestu.</w:t>
      </w:r>
    </w:p>
    <w:p w:rsidR="00E21CCE" w:rsidRDefault="00E21CCE" w:rsidP="00E21CCE">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E21CCE">
        <w:rPr>
          <w:rFonts w:ascii="Times New Roman" w:hAnsi="Times New Roman" w:cs="Times New Roman"/>
          <w:sz w:val="24"/>
          <w:szCs w:val="24"/>
          <w:lang w:eastAsia="sk-SK"/>
        </w:rPr>
        <w:t>Zo zdrojov štátneho rozpočtu boli v roku 2015 v ekonomickej kategórii služby hradené aj výdavky na Elektronizáciu služieb OPIS v sume 19 783,44 eur, v rámci ktorých boli uhradené výdavky za konzultačné služby a práce a bezpečnostný audit C</w:t>
      </w:r>
      <w:r w:rsidR="00916F6B">
        <w:rPr>
          <w:rFonts w:ascii="Times New Roman" w:hAnsi="Times New Roman" w:cs="Times New Roman"/>
          <w:sz w:val="24"/>
          <w:szCs w:val="24"/>
          <w:lang w:eastAsia="sk-SK"/>
        </w:rPr>
        <w:t>entra pre chemické látky a prípravky (</w:t>
      </w:r>
      <w:r w:rsidRPr="00E21CCE">
        <w:rPr>
          <w:rFonts w:ascii="Times New Roman" w:hAnsi="Times New Roman" w:cs="Times New Roman"/>
          <w:sz w:val="24"/>
          <w:szCs w:val="24"/>
          <w:lang w:eastAsia="sk-SK"/>
        </w:rPr>
        <w:t>CHLP</w:t>
      </w:r>
      <w:r w:rsidR="00916F6B">
        <w:rPr>
          <w:rFonts w:ascii="Times New Roman" w:hAnsi="Times New Roman" w:cs="Times New Roman"/>
          <w:sz w:val="24"/>
          <w:szCs w:val="24"/>
          <w:lang w:eastAsia="sk-SK"/>
        </w:rPr>
        <w:t>)</w:t>
      </w:r>
      <w:r w:rsidRPr="00E21CCE">
        <w:rPr>
          <w:rFonts w:ascii="Times New Roman" w:hAnsi="Times New Roman" w:cs="Times New Roman"/>
          <w:sz w:val="24"/>
          <w:szCs w:val="24"/>
          <w:lang w:eastAsia="sk-SK"/>
        </w:rPr>
        <w:t>.</w:t>
      </w:r>
    </w:p>
    <w:p w:rsidR="00916F6B" w:rsidRPr="00E21CCE" w:rsidRDefault="00916F6B" w:rsidP="00E21CCE">
      <w:pPr>
        <w:autoSpaceDE w:val="0"/>
        <w:autoSpaceDN w:val="0"/>
        <w:adjustRightInd w:val="0"/>
        <w:spacing w:after="0" w:line="240" w:lineRule="auto"/>
        <w:ind w:firstLine="567"/>
        <w:jc w:val="both"/>
        <w:rPr>
          <w:rFonts w:ascii="Times New Roman" w:hAnsi="Times New Roman" w:cs="Times New Roman"/>
          <w:sz w:val="24"/>
          <w:szCs w:val="24"/>
          <w:lang w:eastAsia="sk-SK"/>
        </w:rPr>
      </w:pPr>
    </w:p>
    <w:p w:rsidR="00E21CCE" w:rsidRDefault="00E21CCE" w:rsidP="00E21CCE">
      <w:pPr>
        <w:spacing w:after="0" w:line="240" w:lineRule="auto"/>
        <w:ind w:firstLine="567"/>
        <w:jc w:val="both"/>
        <w:rPr>
          <w:rFonts w:ascii="Times New Roman" w:hAnsi="Times New Roman" w:cs="Times New Roman"/>
          <w:sz w:val="24"/>
          <w:szCs w:val="24"/>
        </w:rPr>
      </w:pPr>
      <w:r w:rsidRPr="00E21CCE">
        <w:rPr>
          <w:rFonts w:ascii="Times New Roman" w:hAnsi="Times New Roman" w:cs="Times New Roman"/>
          <w:sz w:val="24"/>
          <w:szCs w:val="24"/>
          <w:lang w:eastAsia="sk-SK"/>
        </w:rPr>
        <w:t xml:space="preserve">V rámci  bežných výdavkov uvedeného podprogramu boli v roku 2015 uhrádzané aj výdavky, ktoré boli použité na </w:t>
      </w:r>
      <w:r w:rsidRPr="00E21CCE">
        <w:rPr>
          <w:rFonts w:ascii="Times New Roman" w:hAnsi="Times New Roman" w:cs="Times New Roman"/>
          <w:sz w:val="24"/>
          <w:szCs w:val="24"/>
        </w:rPr>
        <w:t xml:space="preserve">prvotné úhrady oprávnených výdavkov vynaložených v rámci realizácie oprávnených aktivít technickej pomoci OP KaHR v období roka 2015, konkrétne výdavkov na odmeny a odvody do poisťovní za externých zamestnancov, s ktorými boli uzavreté dohody o vykonaní práce, pracovnej činnosti v celkovej sume 193 719,69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na publicitu a informovanosť o OP KaHR (inzercia oznamov, článkov, služby externej firmy, výroba TV spotov na propagáciu výsledkov OP KaHR a vysielanie TV spotov v televíziách) v sume 111 100,01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na vzdelávanie zamestnancov sekcie podporných programov v sume 21 686,64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za služby externej firmy za technické zabezpečenie stánkov pre propagáciu OP KaHR na výstavách a veľtrhoch v sume 17 993,00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na zakúpenie nábytku pre sekciu štrukturálnych fondov EÚ v sume 16 959,20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za služby znaleckej organizácie za vypracovanie odborných posudkov za účelom posúdenia hospodárnosti v rámci projektov OP KaHR v sume                16 588,80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za tlačené informačné materiály o OP KaHR v sume 9 959,28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za nájom plochy na výstavách a veľtrhoch na umiestnenie stánku pre propagáciou OP KaHR v sume 4 632,00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na zahraničné cestovné náhrady v sume                    4 233,33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za občerstvenie na prednáškach k vyhlásenej výzve OP KaHR v sume 555,75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súvisiacich so zabezpečením zasadnutia Monitorovacieho výboru pre Vedomostnú ekonomiku v sume 325,55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výdavkov za preklad v sume       306,00 </w:t>
      </w:r>
      <w:r w:rsidRPr="00E21CCE">
        <w:rPr>
          <w:rFonts w:ascii="Times New Roman" w:hAnsi="Times New Roman" w:cs="Times New Roman"/>
          <w:sz w:val="24"/>
          <w:szCs w:val="24"/>
          <w:lang w:eastAsia="sk-SK"/>
        </w:rPr>
        <w:t>eur</w:t>
      </w:r>
      <w:r w:rsidRPr="00E21CCE">
        <w:rPr>
          <w:rFonts w:ascii="Times New Roman" w:hAnsi="Times New Roman" w:cs="Times New Roman"/>
          <w:sz w:val="24"/>
          <w:szCs w:val="24"/>
        </w:rPr>
        <w:t xml:space="preserve"> a výdavkov na zakúpenie štatistického softvéru pre proces hodnotenia OP KaHR v sume 6 000,00 </w:t>
      </w:r>
      <w:r w:rsidRPr="00E21CCE">
        <w:rPr>
          <w:rFonts w:ascii="Times New Roman" w:hAnsi="Times New Roman" w:cs="Times New Roman"/>
          <w:sz w:val="24"/>
          <w:szCs w:val="24"/>
          <w:lang w:eastAsia="sk-SK"/>
        </w:rPr>
        <w:t xml:space="preserve">eur. </w:t>
      </w:r>
    </w:p>
    <w:p w:rsidR="00E21CCE" w:rsidRDefault="00E21CCE" w:rsidP="009F1E92">
      <w:pPr>
        <w:autoSpaceDE w:val="0"/>
        <w:autoSpaceDN w:val="0"/>
        <w:adjustRightInd w:val="0"/>
        <w:spacing w:after="0" w:line="240" w:lineRule="auto"/>
        <w:jc w:val="both"/>
        <w:rPr>
          <w:rFonts w:ascii="Times New Roman" w:hAnsi="Times New Roman" w:cs="Times New Roman"/>
          <w:sz w:val="24"/>
          <w:szCs w:val="24"/>
        </w:rPr>
      </w:pPr>
    </w:p>
    <w:p w:rsidR="0078104F" w:rsidRPr="009F1E92" w:rsidRDefault="0078104F" w:rsidP="009F1E92">
      <w:pPr>
        <w:autoSpaceDE w:val="0"/>
        <w:autoSpaceDN w:val="0"/>
        <w:adjustRightInd w:val="0"/>
        <w:spacing w:after="0" w:line="240" w:lineRule="auto"/>
        <w:jc w:val="both"/>
        <w:rPr>
          <w:rFonts w:ascii="Times New Roman" w:hAnsi="Times New Roman" w:cs="Times New Roman"/>
          <w:i/>
          <w:sz w:val="24"/>
          <w:szCs w:val="24"/>
          <w:lang w:eastAsia="sk-SK"/>
        </w:rPr>
      </w:pPr>
      <w:r w:rsidRPr="009F1E92">
        <w:rPr>
          <w:rFonts w:ascii="Times New Roman" w:hAnsi="Times New Roman" w:cs="Times New Roman"/>
          <w:i/>
          <w:sz w:val="24"/>
          <w:szCs w:val="24"/>
        </w:rPr>
        <w:t>07L 05 Administrácia rozpočtových organizácií rezortu MH SR</w:t>
      </w:r>
    </w:p>
    <w:p w:rsidR="0078104F" w:rsidRPr="009F1E92" w:rsidRDefault="0078104F" w:rsidP="009F1E92">
      <w:pPr>
        <w:spacing w:after="0" w:line="240" w:lineRule="auto"/>
        <w:ind w:right="26" w:firstLine="567"/>
        <w:jc w:val="both"/>
        <w:rPr>
          <w:rFonts w:ascii="Times New Roman" w:hAnsi="Times New Roman" w:cs="Times New Roman"/>
          <w:sz w:val="24"/>
          <w:szCs w:val="24"/>
        </w:rPr>
      </w:pPr>
    </w:p>
    <w:p w:rsidR="0078104F" w:rsidRPr="003577E0" w:rsidRDefault="0078104F" w:rsidP="00916F6B">
      <w:pPr>
        <w:spacing w:after="0" w:line="240" w:lineRule="auto"/>
        <w:ind w:firstLine="708"/>
        <w:jc w:val="both"/>
        <w:rPr>
          <w:rFonts w:ascii="Times New Roman" w:hAnsi="Times New Roman" w:cs="Times New Roman"/>
          <w:sz w:val="24"/>
          <w:szCs w:val="24"/>
        </w:rPr>
      </w:pPr>
      <w:r w:rsidRPr="009F1E92">
        <w:rPr>
          <w:rFonts w:ascii="Times New Roman" w:hAnsi="Times New Roman" w:cs="Times New Roman"/>
          <w:sz w:val="24"/>
          <w:szCs w:val="24"/>
        </w:rPr>
        <w:t xml:space="preserve">Rozpočet podriadených    rozpočtových   organizácií </w:t>
      </w:r>
      <w:r w:rsidR="00047A29" w:rsidRPr="009F1E92">
        <w:rPr>
          <w:rFonts w:ascii="Times New Roman" w:hAnsi="Times New Roman" w:cs="Times New Roman"/>
          <w:sz w:val="24"/>
          <w:szCs w:val="24"/>
        </w:rPr>
        <w:t>na tovary   a   služby</w:t>
      </w:r>
      <w:r w:rsidRPr="009F1E92">
        <w:rPr>
          <w:rFonts w:ascii="Times New Roman" w:hAnsi="Times New Roman" w:cs="Times New Roman"/>
          <w:sz w:val="24"/>
          <w:szCs w:val="24"/>
        </w:rPr>
        <w:t xml:space="preserve"> bol  </w:t>
      </w:r>
      <w:r w:rsidR="00E16A55" w:rsidRPr="009F1E92">
        <w:rPr>
          <w:rFonts w:ascii="Times New Roman" w:hAnsi="Times New Roman" w:cs="Times New Roman"/>
          <w:sz w:val="24"/>
          <w:szCs w:val="24"/>
        </w:rPr>
        <w:t xml:space="preserve">na zdroji 111 </w:t>
      </w:r>
      <w:r w:rsidRPr="009F1E92">
        <w:rPr>
          <w:rFonts w:ascii="Times New Roman" w:hAnsi="Times New Roman" w:cs="Times New Roman"/>
          <w:sz w:val="24"/>
          <w:szCs w:val="24"/>
        </w:rPr>
        <w:t>schválen</w:t>
      </w:r>
      <w:r w:rsidR="00047A29">
        <w:rPr>
          <w:rFonts w:ascii="Times New Roman" w:hAnsi="Times New Roman" w:cs="Times New Roman"/>
          <w:sz w:val="24"/>
          <w:szCs w:val="24"/>
        </w:rPr>
        <w:t>ý</w:t>
      </w:r>
      <w:r w:rsidRPr="009F1E92">
        <w:rPr>
          <w:rFonts w:ascii="Times New Roman" w:hAnsi="Times New Roman" w:cs="Times New Roman"/>
          <w:sz w:val="24"/>
          <w:szCs w:val="24"/>
        </w:rPr>
        <w:t xml:space="preserve">   </w:t>
      </w:r>
      <w:r w:rsidR="00D911BF">
        <w:rPr>
          <w:rFonts w:ascii="Times New Roman" w:hAnsi="Times New Roman" w:cs="Times New Roman"/>
          <w:sz w:val="24"/>
          <w:szCs w:val="24"/>
        </w:rPr>
        <w:t xml:space="preserve">v sume </w:t>
      </w:r>
      <w:r w:rsidRPr="009F1E92">
        <w:rPr>
          <w:rFonts w:ascii="Times New Roman" w:hAnsi="Times New Roman" w:cs="Times New Roman"/>
          <w:sz w:val="24"/>
          <w:szCs w:val="24"/>
        </w:rPr>
        <w:t xml:space="preserve"> </w:t>
      </w:r>
      <w:r w:rsidR="00FD221F">
        <w:rPr>
          <w:rFonts w:ascii="Times New Roman" w:hAnsi="Times New Roman" w:cs="Times New Roman"/>
          <w:sz w:val="24"/>
          <w:szCs w:val="24"/>
        </w:rPr>
        <w:t xml:space="preserve">1 573 059,00 </w:t>
      </w:r>
      <w:r w:rsidRPr="009F1E92">
        <w:rPr>
          <w:rFonts w:ascii="Times New Roman" w:hAnsi="Times New Roman" w:cs="Times New Roman"/>
          <w:sz w:val="24"/>
          <w:szCs w:val="24"/>
        </w:rPr>
        <w:t>eur a rozpočtovými opatreniami bol upraven</w:t>
      </w:r>
      <w:r w:rsidR="00047A29">
        <w:rPr>
          <w:rFonts w:ascii="Times New Roman" w:hAnsi="Times New Roman" w:cs="Times New Roman"/>
          <w:sz w:val="24"/>
          <w:szCs w:val="24"/>
        </w:rPr>
        <w:t>ý</w:t>
      </w:r>
      <w:r w:rsidRPr="009F1E92">
        <w:rPr>
          <w:rFonts w:ascii="Times New Roman" w:hAnsi="Times New Roman" w:cs="Times New Roman"/>
          <w:sz w:val="24"/>
          <w:szCs w:val="24"/>
        </w:rPr>
        <w:t xml:space="preserve"> na </w:t>
      </w:r>
      <w:r w:rsidR="00D911BF">
        <w:rPr>
          <w:rFonts w:ascii="Times New Roman" w:hAnsi="Times New Roman" w:cs="Times New Roman"/>
          <w:sz w:val="24"/>
          <w:szCs w:val="24"/>
        </w:rPr>
        <w:t>sumu</w:t>
      </w:r>
      <w:r w:rsidR="003577E0">
        <w:rPr>
          <w:rFonts w:ascii="Times New Roman" w:hAnsi="Times New Roman" w:cs="Times New Roman"/>
          <w:sz w:val="24"/>
          <w:szCs w:val="24"/>
        </w:rPr>
        <w:t xml:space="preserve">  </w:t>
      </w:r>
      <w:r w:rsidR="003577E0" w:rsidRPr="003577E0">
        <w:rPr>
          <w:rFonts w:ascii="Times New Roman" w:hAnsi="Times New Roman" w:cs="Times New Roman"/>
          <w:sz w:val="24"/>
          <w:szCs w:val="24"/>
        </w:rPr>
        <w:t xml:space="preserve">1 555 676,95 </w:t>
      </w:r>
      <w:r w:rsidRPr="009F1E92">
        <w:rPr>
          <w:rFonts w:ascii="Times New Roman" w:hAnsi="Times New Roman" w:cs="Times New Roman"/>
          <w:sz w:val="24"/>
          <w:szCs w:val="24"/>
        </w:rPr>
        <w:t xml:space="preserve">eur. Čerpanie bolo vykázané </w:t>
      </w:r>
      <w:r w:rsidR="00FD221F">
        <w:rPr>
          <w:rFonts w:ascii="Times New Roman" w:hAnsi="Times New Roman" w:cs="Times New Roman"/>
          <w:sz w:val="24"/>
          <w:szCs w:val="24"/>
        </w:rPr>
        <w:t>v</w:t>
      </w:r>
      <w:r w:rsidR="003577E0">
        <w:rPr>
          <w:rFonts w:ascii="Times New Roman" w:hAnsi="Times New Roman" w:cs="Times New Roman"/>
          <w:sz w:val="24"/>
          <w:szCs w:val="24"/>
        </w:rPr>
        <w:t> </w:t>
      </w:r>
      <w:r w:rsidR="00FD221F">
        <w:rPr>
          <w:rFonts w:ascii="Times New Roman" w:hAnsi="Times New Roman" w:cs="Times New Roman"/>
          <w:sz w:val="24"/>
          <w:szCs w:val="24"/>
        </w:rPr>
        <w:t>sume</w:t>
      </w:r>
      <w:r w:rsidR="003577E0">
        <w:rPr>
          <w:rFonts w:ascii="Times New Roman" w:hAnsi="Times New Roman" w:cs="Times New Roman"/>
          <w:sz w:val="24"/>
          <w:szCs w:val="24"/>
        </w:rPr>
        <w:t xml:space="preserve"> </w:t>
      </w:r>
      <w:r w:rsidR="003577E0" w:rsidRPr="003577E0">
        <w:rPr>
          <w:rFonts w:ascii="Times New Roman" w:hAnsi="Times New Roman" w:cs="Times New Roman"/>
          <w:sz w:val="24"/>
          <w:szCs w:val="24"/>
        </w:rPr>
        <w:t>1 525 098,83</w:t>
      </w:r>
      <w:r w:rsidRPr="009F1E92">
        <w:rPr>
          <w:rFonts w:ascii="Times New Roman" w:hAnsi="Times New Roman" w:cs="Times New Roman"/>
          <w:sz w:val="24"/>
          <w:szCs w:val="24"/>
        </w:rPr>
        <w:t xml:space="preserve"> eur, t. j. </w:t>
      </w:r>
      <w:r w:rsidR="003577E0">
        <w:rPr>
          <w:rFonts w:ascii="Times New Roman" w:hAnsi="Times New Roman" w:cs="Times New Roman"/>
          <w:sz w:val="24"/>
          <w:szCs w:val="24"/>
        </w:rPr>
        <w:t xml:space="preserve">98,03 </w:t>
      </w:r>
      <w:r w:rsidRPr="009F1E92">
        <w:rPr>
          <w:rFonts w:ascii="Times New Roman" w:hAnsi="Times New Roman" w:cs="Times New Roman"/>
          <w:sz w:val="24"/>
          <w:szCs w:val="24"/>
        </w:rPr>
        <w:t>%</w:t>
      </w:r>
      <w:r w:rsidR="003577E0">
        <w:rPr>
          <w:rFonts w:ascii="Times New Roman" w:hAnsi="Times New Roman" w:cs="Times New Roman"/>
          <w:sz w:val="24"/>
          <w:szCs w:val="24"/>
        </w:rPr>
        <w:t xml:space="preserve"> k upravenému rozpočtu k 31. 12</w:t>
      </w:r>
      <w:r w:rsidRPr="009F1E92">
        <w:rPr>
          <w:rFonts w:ascii="Times New Roman" w:hAnsi="Times New Roman" w:cs="Times New Roman"/>
          <w:sz w:val="24"/>
          <w:szCs w:val="24"/>
        </w:rPr>
        <w:t>.</w:t>
      </w:r>
      <w:r w:rsidR="003577E0">
        <w:rPr>
          <w:rFonts w:ascii="Times New Roman" w:hAnsi="Times New Roman" w:cs="Times New Roman"/>
          <w:sz w:val="24"/>
          <w:szCs w:val="24"/>
        </w:rPr>
        <w:t xml:space="preserve"> 2015.</w:t>
      </w:r>
      <w:r w:rsidRPr="009F1E92">
        <w:rPr>
          <w:rFonts w:ascii="Times New Roman" w:hAnsi="Times New Roman" w:cs="Times New Roman"/>
          <w:sz w:val="24"/>
          <w:szCs w:val="24"/>
        </w:rPr>
        <w:t xml:space="preserve"> Prostriedky boli čerpané na zabezpečenie chodu organizácií vyplývajúcich zo zmluvných vzťahov a z plnenia úloh vychádzajúcich z činností jednotlivých organizácií. </w:t>
      </w:r>
    </w:p>
    <w:p w:rsidR="0078104F" w:rsidRPr="009F1E92" w:rsidRDefault="0078104F" w:rsidP="009F1E92">
      <w:pPr>
        <w:autoSpaceDE w:val="0"/>
        <w:autoSpaceDN w:val="0"/>
        <w:adjustRightInd w:val="0"/>
        <w:spacing w:after="0" w:line="240" w:lineRule="auto"/>
        <w:ind w:firstLine="567"/>
        <w:jc w:val="both"/>
        <w:rPr>
          <w:rFonts w:ascii="Times New Roman" w:hAnsi="Times New Roman" w:cs="Times New Roman"/>
          <w:sz w:val="24"/>
          <w:szCs w:val="24"/>
        </w:rPr>
      </w:pPr>
    </w:p>
    <w:p w:rsidR="00D911BF" w:rsidRDefault="0078104F" w:rsidP="003577E0">
      <w:pPr>
        <w:autoSpaceDE w:val="0"/>
        <w:autoSpaceDN w:val="0"/>
        <w:adjustRightInd w:val="0"/>
        <w:spacing w:after="0" w:line="240" w:lineRule="auto"/>
        <w:jc w:val="both"/>
        <w:rPr>
          <w:rFonts w:ascii="Times New Roman" w:hAnsi="Times New Roman" w:cs="Times New Roman"/>
          <w:sz w:val="24"/>
          <w:szCs w:val="24"/>
          <w:lang w:eastAsia="sk-SK"/>
        </w:rPr>
      </w:pPr>
      <w:r w:rsidRPr="009F1E92">
        <w:rPr>
          <w:rFonts w:ascii="Times New Roman" w:hAnsi="Times New Roman" w:cs="Times New Roman"/>
          <w:sz w:val="24"/>
          <w:szCs w:val="24"/>
        </w:rPr>
        <w:t>Čerpania ekonomickej klasifikácie 630</w:t>
      </w:r>
      <w:r w:rsidR="00FD221F">
        <w:rPr>
          <w:rFonts w:ascii="Times New Roman" w:hAnsi="Times New Roman" w:cs="Times New Roman"/>
          <w:sz w:val="24"/>
          <w:szCs w:val="24"/>
        </w:rPr>
        <w:t xml:space="preserve"> </w:t>
      </w:r>
      <w:r w:rsidR="00FD221F" w:rsidRPr="009F1E92">
        <w:rPr>
          <w:rFonts w:ascii="Times New Roman" w:hAnsi="Times New Roman" w:cs="Times New Roman"/>
          <w:sz w:val="24"/>
          <w:szCs w:val="24"/>
        </w:rPr>
        <w:t>podľa podpoložiek</w:t>
      </w:r>
      <w:r w:rsidRPr="009F1E92">
        <w:rPr>
          <w:rFonts w:ascii="Times New Roman" w:hAnsi="Times New Roman" w:cs="Times New Roman"/>
          <w:sz w:val="24"/>
          <w:szCs w:val="24"/>
        </w:rPr>
        <w:t xml:space="preserve"> je uvedené v nasledovnom prehľade:</w:t>
      </w:r>
      <w:r w:rsidR="00D911BF" w:rsidRPr="00D911BF">
        <w:rPr>
          <w:rFonts w:ascii="Times New Roman" w:hAnsi="Times New Roman" w:cs="Times New Roman"/>
          <w:sz w:val="24"/>
          <w:szCs w:val="24"/>
          <w:lang w:eastAsia="sk-SK"/>
        </w:rPr>
        <w:t xml:space="preserve"> </w:t>
      </w:r>
    </w:p>
    <w:p w:rsidR="00D911BF" w:rsidRPr="00D911BF" w:rsidRDefault="003577E0" w:rsidP="003577E0">
      <w:pPr>
        <w:spacing w:after="0" w:line="240" w:lineRule="auto"/>
        <w:jc w:val="right"/>
        <w:rPr>
          <w:rFonts w:ascii="Times New Roman" w:hAnsi="Times New Roman" w:cs="Times New Roman"/>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417"/>
        <w:gridCol w:w="1418"/>
        <w:gridCol w:w="1417"/>
      </w:tblGrid>
      <w:tr w:rsidR="00D911BF" w:rsidRPr="00D911BF" w:rsidTr="00EE6303">
        <w:tc>
          <w:tcPr>
            <w:tcW w:w="2410" w:type="dxa"/>
            <w:shd w:val="clear" w:color="auto" w:fill="auto"/>
          </w:tcPr>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Ekonomická</w:t>
            </w:r>
          </w:p>
          <w:p w:rsidR="00D911BF" w:rsidRPr="00D911BF" w:rsidRDefault="00D911BF" w:rsidP="00D911BF">
            <w:pPr>
              <w:spacing w:after="0" w:line="240" w:lineRule="auto"/>
              <w:jc w:val="both"/>
              <w:rPr>
                <w:rFonts w:ascii="Times New Roman" w:hAnsi="Times New Roman" w:cs="Times New Roman"/>
                <w:b/>
              </w:rPr>
            </w:pPr>
            <w:r>
              <w:rPr>
                <w:rFonts w:ascii="Times New Roman" w:hAnsi="Times New Roman" w:cs="Times New Roman"/>
                <w:b/>
              </w:rPr>
              <w:t>k</w:t>
            </w:r>
            <w:r w:rsidRPr="00D911BF">
              <w:rPr>
                <w:rFonts w:ascii="Times New Roman" w:hAnsi="Times New Roman" w:cs="Times New Roman"/>
                <w:b/>
              </w:rPr>
              <w:t>lasifikácia</w:t>
            </w:r>
          </w:p>
        </w:tc>
        <w:tc>
          <w:tcPr>
            <w:tcW w:w="851" w:type="dxa"/>
          </w:tcPr>
          <w:p w:rsidR="00D911BF" w:rsidRPr="00D911BF" w:rsidRDefault="00D911BF" w:rsidP="00D911BF">
            <w:pPr>
              <w:spacing w:after="0" w:line="240" w:lineRule="auto"/>
              <w:jc w:val="both"/>
              <w:rPr>
                <w:rFonts w:ascii="Times New Roman" w:hAnsi="Times New Roman" w:cs="Times New Roman"/>
                <w:b/>
              </w:rPr>
            </w:pPr>
            <w:r>
              <w:rPr>
                <w:rFonts w:ascii="Times New Roman" w:hAnsi="Times New Roman" w:cs="Times New Roman"/>
                <w:b/>
              </w:rPr>
              <w:t>Zdroj</w:t>
            </w:r>
          </w:p>
        </w:tc>
        <w:tc>
          <w:tcPr>
            <w:tcW w:w="1559" w:type="dxa"/>
            <w:shd w:val="clear" w:color="auto" w:fill="auto"/>
          </w:tcPr>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Schválený</w:t>
            </w:r>
          </w:p>
          <w:p w:rsidR="00D911BF" w:rsidRDefault="00EE6303" w:rsidP="00D911BF">
            <w:pPr>
              <w:spacing w:after="0" w:line="240" w:lineRule="auto"/>
              <w:jc w:val="both"/>
              <w:rPr>
                <w:rFonts w:ascii="Times New Roman" w:hAnsi="Times New Roman" w:cs="Times New Roman"/>
                <w:b/>
              </w:rPr>
            </w:pPr>
            <w:r>
              <w:rPr>
                <w:rFonts w:ascii="Times New Roman" w:hAnsi="Times New Roman" w:cs="Times New Roman"/>
                <w:b/>
              </w:rPr>
              <w:t>r</w:t>
            </w:r>
            <w:r w:rsidR="00D911BF" w:rsidRPr="00D911BF">
              <w:rPr>
                <w:rFonts w:ascii="Times New Roman" w:hAnsi="Times New Roman" w:cs="Times New Roman"/>
                <w:b/>
              </w:rPr>
              <w:t>ozpočet</w:t>
            </w:r>
          </w:p>
          <w:p w:rsidR="00EE6303" w:rsidRPr="00D911BF" w:rsidRDefault="00EE6303" w:rsidP="00EE6303">
            <w:pPr>
              <w:spacing w:after="0" w:line="240" w:lineRule="auto"/>
              <w:jc w:val="both"/>
              <w:rPr>
                <w:rFonts w:ascii="Times New Roman" w:hAnsi="Times New Roman" w:cs="Times New Roman"/>
                <w:b/>
              </w:rPr>
            </w:pPr>
            <w:r>
              <w:rPr>
                <w:rFonts w:ascii="Times New Roman" w:hAnsi="Times New Roman" w:cs="Times New Roman"/>
                <w:b/>
              </w:rPr>
              <w:t>k 1.1.2015</w:t>
            </w:r>
          </w:p>
        </w:tc>
        <w:tc>
          <w:tcPr>
            <w:tcW w:w="1417" w:type="dxa"/>
            <w:shd w:val="clear" w:color="auto" w:fill="auto"/>
          </w:tcPr>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Upravený</w:t>
            </w:r>
          </w:p>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rozpočet k 31.12.2015</w:t>
            </w:r>
          </w:p>
        </w:tc>
        <w:tc>
          <w:tcPr>
            <w:tcW w:w="1418" w:type="dxa"/>
            <w:shd w:val="clear" w:color="auto" w:fill="auto"/>
          </w:tcPr>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Čerpanie k</w:t>
            </w:r>
          </w:p>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31.12.2015</w:t>
            </w:r>
          </w:p>
        </w:tc>
        <w:tc>
          <w:tcPr>
            <w:tcW w:w="1417" w:type="dxa"/>
            <w:shd w:val="clear" w:color="auto" w:fill="auto"/>
          </w:tcPr>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 čerpania k</w:t>
            </w:r>
            <w:r w:rsidR="00EE6303">
              <w:rPr>
                <w:rFonts w:ascii="Times New Roman" w:hAnsi="Times New Roman" w:cs="Times New Roman"/>
                <w:b/>
              </w:rPr>
              <w:t xml:space="preserve"> </w:t>
            </w:r>
            <w:r w:rsidRPr="00D911BF">
              <w:rPr>
                <w:rFonts w:ascii="Times New Roman" w:hAnsi="Times New Roman" w:cs="Times New Roman"/>
                <w:b/>
              </w:rPr>
              <w:t>uprav. rozpočtu</w:t>
            </w:r>
          </w:p>
        </w:tc>
      </w:tr>
      <w:tr w:rsidR="00D911BF" w:rsidRPr="00D911BF" w:rsidTr="00EE6303">
        <w:trPr>
          <w:trHeight w:val="541"/>
        </w:trPr>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631 - Cestovné náhrady</w:t>
            </w:r>
          </w:p>
        </w:tc>
        <w:tc>
          <w:tcPr>
            <w:tcW w:w="851" w:type="dxa"/>
          </w:tcPr>
          <w:p w:rsid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p w:rsidR="00147059" w:rsidRPr="00147059" w:rsidRDefault="00147059" w:rsidP="00EE6303">
            <w:pPr>
              <w:spacing w:after="0" w:line="240" w:lineRule="auto"/>
              <w:jc w:val="center"/>
              <w:rPr>
                <w:rFonts w:ascii="Times New Roman" w:hAnsi="Times New Roman" w:cs="Times New Roman"/>
              </w:rPr>
            </w:pPr>
            <w:r>
              <w:rPr>
                <w:rFonts w:ascii="Times New Roman" w:hAnsi="Times New Roman" w:cs="Times New Roman"/>
              </w:rPr>
              <w:t>72c</w:t>
            </w:r>
          </w:p>
        </w:tc>
        <w:tc>
          <w:tcPr>
            <w:tcW w:w="1559" w:type="dxa"/>
            <w:shd w:val="clear" w:color="auto" w:fill="auto"/>
          </w:tcPr>
          <w:p w:rsidR="00D911BF"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125 396,00</w:t>
            </w:r>
          </w:p>
          <w:p w:rsidR="00147059" w:rsidRPr="00147059" w:rsidRDefault="00147059" w:rsidP="00147059">
            <w:pPr>
              <w:spacing w:after="0" w:line="240" w:lineRule="auto"/>
              <w:jc w:val="right"/>
              <w:rPr>
                <w:rFonts w:ascii="Times New Roman" w:hAnsi="Times New Roman" w:cs="Times New Roman"/>
              </w:rPr>
            </w:pPr>
            <w:r>
              <w:rPr>
                <w:rFonts w:ascii="Times New Roman" w:hAnsi="Times New Roman" w:cs="Times New Roman"/>
              </w:rPr>
              <w:t>0,00</w:t>
            </w:r>
          </w:p>
        </w:tc>
        <w:tc>
          <w:tcPr>
            <w:tcW w:w="1417" w:type="dxa"/>
            <w:shd w:val="clear" w:color="auto" w:fill="auto"/>
          </w:tcPr>
          <w:p w:rsidR="00D911BF"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136 578,27</w:t>
            </w:r>
          </w:p>
          <w:p w:rsidR="00147059" w:rsidRPr="00147059" w:rsidRDefault="00147059" w:rsidP="00147059">
            <w:pPr>
              <w:spacing w:after="0" w:line="240" w:lineRule="auto"/>
              <w:jc w:val="right"/>
              <w:rPr>
                <w:rFonts w:ascii="Times New Roman" w:hAnsi="Times New Roman" w:cs="Times New Roman"/>
              </w:rPr>
            </w:pPr>
            <w:r>
              <w:rPr>
                <w:rFonts w:ascii="Times New Roman" w:hAnsi="Times New Roman" w:cs="Times New Roman"/>
              </w:rPr>
              <w:t>0,00</w:t>
            </w:r>
          </w:p>
        </w:tc>
        <w:tc>
          <w:tcPr>
            <w:tcW w:w="1418" w:type="dxa"/>
            <w:shd w:val="clear" w:color="auto" w:fill="auto"/>
          </w:tcPr>
          <w:p w:rsidR="00D911BF"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130 477,39</w:t>
            </w:r>
          </w:p>
          <w:p w:rsidR="00147059" w:rsidRPr="00147059" w:rsidRDefault="00147059" w:rsidP="00147059">
            <w:pPr>
              <w:spacing w:after="0" w:line="240" w:lineRule="auto"/>
              <w:jc w:val="right"/>
              <w:rPr>
                <w:rFonts w:ascii="Times New Roman" w:hAnsi="Times New Roman" w:cs="Times New Roman"/>
              </w:rPr>
            </w:pPr>
            <w:r>
              <w:rPr>
                <w:rFonts w:ascii="Times New Roman" w:hAnsi="Times New Roman" w:cs="Times New Roman"/>
              </w:rPr>
              <w:t>512,90</w:t>
            </w:r>
          </w:p>
        </w:tc>
        <w:tc>
          <w:tcPr>
            <w:tcW w:w="1417" w:type="dxa"/>
            <w:shd w:val="clear" w:color="auto" w:fill="auto"/>
          </w:tcPr>
          <w:p w:rsidR="00D911BF"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95,54</w:t>
            </w:r>
          </w:p>
          <w:p w:rsidR="00147059" w:rsidRPr="00147059" w:rsidRDefault="00147059" w:rsidP="00147059">
            <w:pPr>
              <w:spacing w:after="0" w:line="240" w:lineRule="auto"/>
              <w:jc w:val="center"/>
              <w:rPr>
                <w:rFonts w:ascii="Times New Roman" w:hAnsi="Times New Roman" w:cs="Times New Roman"/>
              </w:rPr>
            </w:pPr>
            <w:r>
              <w:rPr>
                <w:rFonts w:ascii="Times New Roman" w:hAnsi="Times New Roman" w:cs="Times New Roman"/>
              </w:rPr>
              <w:t>-</w:t>
            </w:r>
          </w:p>
        </w:tc>
      </w:tr>
      <w:tr w:rsidR="00D911BF" w:rsidRPr="00D911BF" w:rsidTr="00EE6303">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632 -Energie, voda a komunikácie</w:t>
            </w:r>
          </w:p>
        </w:tc>
        <w:tc>
          <w:tcPr>
            <w:tcW w:w="851" w:type="dxa"/>
          </w:tcPr>
          <w:p w:rsidR="00147059" w:rsidRDefault="00147059" w:rsidP="00EE6303">
            <w:pPr>
              <w:spacing w:after="0" w:line="240" w:lineRule="auto"/>
              <w:jc w:val="center"/>
              <w:rPr>
                <w:rFonts w:ascii="Times New Roman" w:hAnsi="Times New Roman" w:cs="Times New Roman"/>
              </w:rPr>
            </w:pPr>
          </w:p>
          <w:p w:rsidR="00D911BF" w:rsidRP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tc>
        <w:tc>
          <w:tcPr>
            <w:tcW w:w="1559"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325 582,00</w:t>
            </w:r>
          </w:p>
        </w:tc>
        <w:tc>
          <w:tcPr>
            <w:tcW w:w="1417"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343 088,82</w:t>
            </w:r>
          </w:p>
        </w:tc>
        <w:tc>
          <w:tcPr>
            <w:tcW w:w="1418"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339 473,81</w:t>
            </w:r>
          </w:p>
        </w:tc>
        <w:tc>
          <w:tcPr>
            <w:tcW w:w="1417" w:type="dxa"/>
            <w:shd w:val="clear" w:color="auto" w:fill="auto"/>
          </w:tcPr>
          <w:p w:rsidR="00D911BF" w:rsidRPr="00147059" w:rsidRDefault="00D911BF" w:rsidP="00147059">
            <w:pPr>
              <w:spacing w:after="0" w:line="240" w:lineRule="auto"/>
              <w:jc w:val="center"/>
              <w:rPr>
                <w:rFonts w:ascii="Times New Roman" w:hAnsi="Times New Roman" w:cs="Times New Roman"/>
              </w:rPr>
            </w:pPr>
          </w:p>
          <w:p w:rsidR="00D911BF" w:rsidRPr="00147059"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98,95</w:t>
            </w:r>
          </w:p>
        </w:tc>
      </w:tr>
      <w:tr w:rsidR="00D911BF" w:rsidRPr="00D911BF" w:rsidTr="00EE6303">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633 -  Materiál</w:t>
            </w:r>
          </w:p>
        </w:tc>
        <w:tc>
          <w:tcPr>
            <w:tcW w:w="851" w:type="dxa"/>
          </w:tcPr>
          <w:p w:rsidR="00D911BF" w:rsidRP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tc>
        <w:tc>
          <w:tcPr>
            <w:tcW w:w="1559"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180 023,00</w:t>
            </w:r>
          </w:p>
        </w:tc>
        <w:tc>
          <w:tcPr>
            <w:tcW w:w="1417"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196 309,05</w:t>
            </w:r>
          </w:p>
        </w:tc>
        <w:tc>
          <w:tcPr>
            <w:tcW w:w="1418"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191 763,03</w:t>
            </w:r>
          </w:p>
        </w:tc>
        <w:tc>
          <w:tcPr>
            <w:tcW w:w="1417" w:type="dxa"/>
            <w:shd w:val="clear" w:color="auto" w:fill="auto"/>
          </w:tcPr>
          <w:p w:rsidR="00D911BF" w:rsidRPr="00147059"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97,69</w:t>
            </w:r>
          </w:p>
        </w:tc>
      </w:tr>
      <w:tr w:rsidR="00D911BF" w:rsidRPr="00D911BF" w:rsidTr="00EE6303">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 xml:space="preserve">634 – Dopravné </w:t>
            </w:r>
          </w:p>
        </w:tc>
        <w:tc>
          <w:tcPr>
            <w:tcW w:w="851" w:type="dxa"/>
          </w:tcPr>
          <w:p w:rsidR="00D911BF" w:rsidRP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tc>
        <w:tc>
          <w:tcPr>
            <w:tcW w:w="1559"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172 399,00</w:t>
            </w:r>
          </w:p>
        </w:tc>
        <w:tc>
          <w:tcPr>
            <w:tcW w:w="1417"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130 791,92</w:t>
            </w:r>
          </w:p>
        </w:tc>
        <w:tc>
          <w:tcPr>
            <w:tcW w:w="1418"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128 068,61</w:t>
            </w:r>
          </w:p>
        </w:tc>
        <w:tc>
          <w:tcPr>
            <w:tcW w:w="1417" w:type="dxa"/>
            <w:shd w:val="clear" w:color="auto" w:fill="auto"/>
          </w:tcPr>
          <w:p w:rsidR="00D911BF" w:rsidRPr="00147059"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97,92</w:t>
            </w:r>
          </w:p>
        </w:tc>
      </w:tr>
      <w:tr w:rsidR="00D911BF" w:rsidRPr="00D911BF" w:rsidTr="00EE6303">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635 Rutinná a štandardná údržba</w:t>
            </w:r>
          </w:p>
        </w:tc>
        <w:tc>
          <w:tcPr>
            <w:tcW w:w="851" w:type="dxa"/>
          </w:tcPr>
          <w:p w:rsidR="00147059" w:rsidRDefault="00147059" w:rsidP="00EE6303">
            <w:pPr>
              <w:spacing w:after="0" w:line="240" w:lineRule="auto"/>
              <w:jc w:val="center"/>
              <w:rPr>
                <w:rFonts w:ascii="Times New Roman" w:hAnsi="Times New Roman" w:cs="Times New Roman"/>
              </w:rPr>
            </w:pPr>
          </w:p>
          <w:p w:rsidR="00D911BF" w:rsidRP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tc>
        <w:tc>
          <w:tcPr>
            <w:tcW w:w="1559"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146 520,00</w:t>
            </w:r>
          </w:p>
        </w:tc>
        <w:tc>
          <w:tcPr>
            <w:tcW w:w="1417"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142 786,99</w:t>
            </w:r>
          </w:p>
        </w:tc>
        <w:tc>
          <w:tcPr>
            <w:tcW w:w="1418"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137 917,13</w:t>
            </w:r>
          </w:p>
        </w:tc>
        <w:tc>
          <w:tcPr>
            <w:tcW w:w="1417" w:type="dxa"/>
            <w:shd w:val="clear" w:color="auto" w:fill="auto"/>
          </w:tcPr>
          <w:p w:rsidR="00D911BF" w:rsidRPr="00147059" w:rsidRDefault="00D911BF" w:rsidP="00147059">
            <w:pPr>
              <w:spacing w:after="0" w:line="240" w:lineRule="auto"/>
              <w:jc w:val="center"/>
              <w:rPr>
                <w:rFonts w:ascii="Times New Roman" w:hAnsi="Times New Roman" w:cs="Times New Roman"/>
              </w:rPr>
            </w:pPr>
          </w:p>
          <w:p w:rsidR="00D911BF" w:rsidRPr="00147059"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96,59</w:t>
            </w:r>
          </w:p>
        </w:tc>
      </w:tr>
      <w:tr w:rsidR="00D911BF" w:rsidRPr="00D911BF" w:rsidTr="00EE6303">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 xml:space="preserve">636 </w:t>
            </w:r>
            <w:r w:rsidRPr="00147059">
              <w:rPr>
                <w:rFonts w:ascii="Times New Roman" w:hAnsi="Times New Roman" w:cs="Times New Roman"/>
              </w:rPr>
              <w:softHyphen/>
              <w:t>- Nájomné za nájom</w:t>
            </w:r>
          </w:p>
        </w:tc>
        <w:tc>
          <w:tcPr>
            <w:tcW w:w="851" w:type="dxa"/>
          </w:tcPr>
          <w:p w:rsidR="00147059" w:rsidRDefault="00147059" w:rsidP="00EE6303">
            <w:pPr>
              <w:spacing w:after="0" w:line="240" w:lineRule="auto"/>
              <w:jc w:val="center"/>
              <w:rPr>
                <w:rFonts w:ascii="Times New Roman" w:hAnsi="Times New Roman" w:cs="Times New Roman"/>
              </w:rPr>
            </w:pPr>
          </w:p>
          <w:p w:rsidR="00D911BF" w:rsidRP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tc>
        <w:tc>
          <w:tcPr>
            <w:tcW w:w="1559"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128 260,00</w:t>
            </w:r>
          </w:p>
        </w:tc>
        <w:tc>
          <w:tcPr>
            <w:tcW w:w="1417"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79 629,32</w:t>
            </w:r>
          </w:p>
        </w:tc>
        <w:tc>
          <w:tcPr>
            <w:tcW w:w="1418" w:type="dxa"/>
            <w:shd w:val="clear" w:color="auto" w:fill="auto"/>
          </w:tcPr>
          <w:p w:rsidR="00D911BF" w:rsidRPr="00147059" w:rsidRDefault="00D911BF" w:rsidP="00147059">
            <w:pPr>
              <w:spacing w:after="0" w:line="240" w:lineRule="auto"/>
              <w:jc w:val="right"/>
              <w:rPr>
                <w:rFonts w:ascii="Times New Roman" w:hAnsi="Times New Roman" w:cs="Times New Roman"/>
              </w:rPr>
            </w:pPr>
          </w:p>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78 423,01</w:t>
            </w:r>
          </w:p>
        </w:tc>
        <w:tc>
          <w:tcPr>
            <w:tcW w:w="1417" w:type="dxa"/>
            <w:shd w:val="clear" w:color="auto" w:fill="auto"/>
          </w:tcPr>
          <w:p w:rsidR="00D911BF" w:rsidRPr="00147059" w:rsidRDefault="00D911BF" w:rsidP="00147059">
            <w:pPr>
              <w:spacing w:after="0" w:line="240" w:lineRule="auto"/>
              <w:jc w:val="center"/>
              <w:rPr>
                <w:rFonts w:ascii="Times New Roman" w:hAnsi="Times New Roman" w:cs="Times New Roman"/>
              </w:rPr>
            </w:pPr>
          </w:p>
          <w:p w:rsidR="00D911BF" w:rsidRPr="00147059"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98,49</w:t>
            </w:r>
          </w:p>
        </w:tc>
      </w:tr>
      <w:tr w:rsidR="00D911BF" w:rsidRPr="00D911BF" w:rsidTr="00EE6303">
        <w:tc>
          <w:tcPr>
            <w:tcW w:w="2410" w:type="dxa"/>
            <w:shd w:val="clear" w:color="auto" w:fill="auto"/>
          </w:tcPr>
          <w:p w:rsidR="00D911BF" w:rsidRPr="00147059" w:rsidRDefault="00D911BF" w:rsidP="00D911BF">
            <w:pPr>
              <w:spacing w:after="0" w:line="240" w:lineRule="auto"/>
              <w:jc w:val="both"/>
              <w:rPr>
                <w:rFonts w:ascii="Times New Roman" w:hAnsi="Times New Roman" w:cs="Times New Roman"/>
              </w:rPr>
            </w:pPr>
            <w:r w:rsidRPr="00147059">
              <w:rPr>
                <w:rFonts w:ascii="Times New Roman" w:hAnsi="Times New Roman" w:cs="Times New Roman"/>
              </w:rPr>
              <w:t>637 – Služby</w:t>
            </w:r>
          </w:p>
        </w:tc>
        <w:tc>
          <w:tcPr>
            <w:tcW w:w="851" w:type="dxa"/>
          </w:tcPr>
          <w:p w:rsidR="00D911BF" w:rsidRPr="00147059" w:rsidRDefault="00147059" w:rsidP="00EE6303">
            <w:pPr>
              <w:spacing w:after="0" w:line="240" w:lineRule="auto"/>
              <w:jc w:val="center"/>
              <w:rPr>
                <w:rFonts w:ascii="Times New Roman" w:hAnsi="Times New Roman" w:cs="Times New Roman"/>
              </w:rPr>
            </w:pPr>
            <w:r w:rsidRPr="00147059">
              <w:rPr>
                <w:rFonts w:ascii="Times New Roman" w:hAnsi="Times New Roman" w:cs="Times New Roman"/>
              </w:rPr>
              <w:t>111</w:t>
            </w:r>
          </w:p>
        </w:tc>
        <w:tc>
          <w:tcPr>
            <w:tcW w:w="1559"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494 879,00</w:t>
            </w:r>
          </w:p>
        </w:tc>
        <w:tc>
          <w:tcPr>
            <w:tcW w:w="1417"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526 492,58</w:t>
            </w:r>
          </w:p>
        </w:tc>
        <w:tc>
          <w:tcPr>
            <w:tcW w:w="1418" w:type="dxa"/>
            <w:shd w:val="clear" w:color="auto" w:fill="auto"/>
          </w:tcPr>
          <w:p w:rsidR="00D911BF" w:rsidRPr="00147059" w:rsidRDefault="00D911BF" w:rsidP="00147059">
            <w:pPr>
              <w:spacing w:after="0" w:line="240" w:lineRule="auto"/>
              <w:jc w:val="right"/>
              <w:rPr>
                <w:rFonts w:ascii="Times New Roman" w:hAnsi="Times New Roman" w:cs="Times New Roman"/>
              </w:rPr>
            </w:pPr>
            <w:r w:rsidRPr="00147059">
              <w:rPr>
                <w:rFonts w:ascii="Times New Roman" w:hAnsi="Times New Roman" w:cs="Times New Roman"/>
              </w:rPr>
              <w:t>518 462,95</w:t>
            </w:r>
          </w:p>
        </w:tc>
        <w:tc>
          <w:tcPr>
            <w:tcW w:w="1417" w:type="dxa"/>
            <w:shd w:val="clear" w:color="auto" w:fill="auto"/>
          </w:tcPr>
          <w:p w:rsidR="00D911BF" w:rsidRPr="00147059" w:rsidRDefault="00D911BF" w:rsidP="00147059">
            <w:pPr>
              <w:spacing w:after="0" w:line="240" w:lineRule="auto"/>
              <w:jc w:val="center"/>
              <w:rPr>
                <w:rFonts w:ascii="Times New Roman" w:hAnsi="Times New Roman" w:cs="Times New Roman"/>
              </w:rPr>
            </w:pPr>
            <w:r w:rsidRPr="00147059">
              <w:rPr>
                <w:rFonts w:ascii="Times New Roman" w:hAnsi="Times New Roman" w:cs="Times New Roman"/>
              </w:rPr>
              <w:t>98,48</w:t>
            </w:r>
          </w:p>
        </w:tc>
      </w:tr>
      <w:tr w:rsidR="00D911BF" w:rsidRPr="00D911BF" w:rsidTr="00EE6303">
        <w:tc>
          <w:tcPr>
            <w:tcW w:w="2410" w:type="dxa"/>
            <w:shd w:val="clear" w:color="auto" w:fill="auto"/>
          </w:tcPr>
          <w:p w:rsidR="00D911BF" w:rsidRPr="00D911BF" w:rsidRDefault="00D911BF" w:rsidP="00D911BF">
            <w:pPr>
              <w:spacing w:after="0" w:line="240" w:lineRule="auto"/>
              <w:jc w:val="both"/>
              <w:rPr>
                <w:rFonts w:ascii="Times New Roman" w:hAnsi="Times New Roman" w:cs="Times New Roman"/>
                <w:b/>
              </w:rPr>
            </w:pPr>
            <w:r w:rsidRPr="00D911BF">
              <w:rPr>
                <w:rFonts w:ascii="Times New Roman" w:hAnsi="Times New Roman" w:cs="Times New Roman"/>
                <w:b/>
              </w:rPr>
              <w:t>630 spolu</w:t>
            </w:r>
          </w:p>
        </w:tc>
        <w:tc>
          <w:tcPr>
            <w:tcW w:w="851" w:type="dxa"/>
          </w:tcPr>
          <w:p w:rsidR="00D911BF" w:rsidRPr="00D911BF" w:rsidRDefault="00D911BF" w:rsidP="00D911BF">
            <w:pPr>
              <w:spacing w:after="0" w:line="240" w:lineRule="auto"/>
              <w:jc w:val="both"/>
              <w:rPr>
                <w:rFonts w:ascii="Times New Roman" w:hAnsi="Times New Roman" w:cs="Times New Roman"/>
                <w:b/>
              </w:rPr>
            </w:pPr>
          </w:p>
        </w:tc>
        <w:tc>
          <w:tcPr>
            <w:tcW w:w="1559" w:type="dxa"/>
            <w:shd w:val="clear" w:color="auto" w:fill="auto"/>
          </w:tcPr>
          <w:p w:rsidR="00D911BF" w:rsidRPr="00D911BF" w:rsidRDefault="00D911BF" w:rsidP="00147059">
            <w:pPr>
              <w:spacing w:after="0" w:line="240" w:lineRule="auto"/>
              <w:jc w:val="right"/>
              <w:rPr>
                <w:rFonts w:ascii="Times New Roman" w:hAnsi="Times New Roman" w:cs="Times New Roman"/>
                <w:b/>
              </w:rPr>
            </w:pPr>
            <w:r w:rsidRPr="00D911BF">
              <w:rPr>
                <w:rFonts w:ascii="Times New Roman" w:hAnsi="Times New Roman" w:cs="Times New Roman"/>
                <w:b/>
              </w:rPr>
              <w:t>1 573 059,00</w:t>
            </w:r>
          </w:p>
        </w:tc>
        <w:tc>
          <w:tcPr>
            <w:tcW w:w="1417" w:type="dxa"/>
            <w:shd w:val="clear" w:color="auto" w:fill="auto"/>
          </w:tcPr>
          <w:p w:rsidR="00D911BF" w:rsidRPr="00D911BF" w:rsidRDefault="00D911BF" w:rsidP="00147059">
            <w:pPr>
              <w:spacing w:after="0" w:line="240" w:lineRule="auto"/>
              <w:jc w:val="right"/>
              <w:rPr>
                <w:rFonts w:ascii="Times New Roman" w:hAnsi="Times New Roman" w:cs="Times New Roman"/>
                <w:b/>
              </w:rPr>
            </w:pPr>
            <w:r w:rsidRPr="00D911BF">
              <w:rPr>
                <w:rFonts w:ascii="Times New Roman" w:hAnsi="Times New Roman" w:cs="Times New Roman"/>
                <w:b/>
              </w:rPr>
              <w:t>1 555 676,95</w:t>
            </w:r>
          </w:p>
        </w:tc>
        <w:tc>
          <w:tcPr>
            <w:tcW w:w="1418" w:type="dxa"/>
            <w:shd w:val="clear" w:color="auto" w:fill="auto"/>
          </w:tcPr>
          <w:p w:rsidR="00D911BF" w:rsidRPr="00D911BF" w:rsidRDefault="00D911BF" w:rsidP="00612663">
            <w:pPr>
              <w:spacing w:after="0" w:line="240" w:lineRule="auto"/>
              <w:jc w:val="right"/>
              <w:rPr>
                <w:rFonts w:ascii="Times New Roman" w:hAnsi="Times New Roman" w:cs="Times New Roman"/>
                <w:b/>
              </w:rPr>
            </w:pPr>
            <w:r w:rsidRPr="00D911BF">
              <w:rPr>
                <w:rFonts w:ascii="Times New Roman" w:hAnsi="Times New Roman" w:cs="Times New Roman"/>
                <w:b/>
              </w:rPr>
              <w:t>1</w:t>
            </w:r>
            <w:r w:rsidR="00612663">
              <w:rPr>
                <w:rFonts w:ascii="Times New Roman" w:hAnsi="Times New Roman" w:cs="Times New Roman"/>
                <w:b/>
              </w:rPr>
              <w:t> 525 098,83</w:t>
            </w:r>
          </w:p>
        </w:tc>
        <w:tc>
          <w:tcPr>
            <w:tcW w:w="1417" w:type="dxa"/>
            <w:shd w:val="clear" w:color="auto" w:fill="auto"/>
          </w:tcPr>
          <w:p w:rsidR="00D911BF" w:rsidRPr="00D911BF" w:rsidRDefault="00D911BF" w:rsidP="00612663">
            <w:pPr>
              <w:spacing w:after="0" w:line="240" w:lineRule="auto"/>
              <w:jc w:val="center"/>
              <w:rPr>
                <w:rFonts w:ascii="Times New Roman" w:hAnsi="Times New Roman" w:cs="Times New Roman"/>
                <w:b/>
              </w:rPr>
            </w:pPr>
            <w:r w:rsidRPr="00D911BF">
              <w:rPr>
                <w:rFonts w:ascii="Times New Roman" w:hAnsi="Times New Roman" w:cs="Times New Roman"/>
                <w:b/>
              </w:rPr>
              <w:t>98,0</w:t>
            </w:r>
            <w:r w:rsidR="00612663">
              <w:rPr>
                <w:rFonts w:ascii="Times New Roman" w:hAnsi="Times New Roman" w:cs="Times New Roman"/>
                <w:b/>
              </w:rPr>
              <w:t>3</w:t>
            </w:r>
          </w:p>
        </w:tc>
      </w:tr>
    </w:tbl>
    <w:p w:rsidR="00D51FA9" w:rsidRDefault="00D51FA9" w:rsidP="009F1E92">
      <w:pPr>
        <w:autoSpaceDE w:val="0"/>
        <w:autoSpaceDN w:val="0"/>
        <w:adjustRightInd w:val="0"/>
        <w:spacing w:after="0" w:line="240" w:lineRule="auto"/>
        <w:jc w:val="both"/>
        <w:rPr>
          <w:rFonts w:ascii="Times New Roman" w:hAnsi="Times New Roman" w:cs="Times New Roman"/>
          <w:i/>
          <w:sz w:val="24"/>
          <w:szCs w:val="24"/>
        </w:rPr>
      </w:pP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rPr>
        <w:t>V kategórii 631 – Cestovné náhrady</w:t>
      </w:r>
      <w:r w:rsidRPr="00F4406C">
        <w:rPr>
          <w:rFonts w:ascii="Times New Roman" w:hAnsi="Times New Roman" w:cs="Times New Roman"/>
          <w:sz w:val="24"/>
          <w:szCs w:val="24"/>
        </w:rPr>
        <w:t xml:space="preserve"> boli rozpočtové prostriedky čerpané v sume                    </w:t>
      </w:r>
      <w:r w:rsidRPr="00F4406C">
        <w:rPr>
          <w:rFonts w:ascii="Times New Roman" w:hAnsi="Times New Roman" w:cs="Times New Roman"/>
          <w:sz w:val="24"/>
          <w:szCs w:val="24"/>
          <w:lang w:eastAsia="sk-SK"/>
        </w:rPr>
        <w:t xml:space="preserve">130 477,39 </w:t>
      </w:r>
      <w:r w:rsidRPr="00F4406C">
        <w:rPr>
          <w:rFonts w:ascii="Times New Roman" w:hAnsi="Times New Roman" w:cs="Times New Roman"/>
          <w:sz w:val="24"/>
          <w:szCs w:val="24"/>
        </w:rPr>
        <w:t xml:space="preserve">eur, pričom na zahraničné cestovné náhrady bolo vyčerpaných </w:t>
      </w:r>
      <w:r w:rsidRPr="00F4406C">
        <w:rPr>
          <w:rFonts w:ascii="Times New Roman" w:hAnsi="Times New Roman" w:cs="Times New Roman"/>
          <w:sz w:val="24"/>
          <w:szCs w:val="24"/>
          <w:lang w:eastAsia="sk-SK"/>
        </w:rPr>
        <w:t xml:space="preserve">19 423,76 </w:t>
      </w:r>
      <w:r w:rsidRPr="00F4406C">
        <w:rPr>
          <w:rFonts w:ascii="Times New Roman" w:hAnsi="Times New Roman" w:cs="Times New Roman"/>
          <w:sz w:val="24"/>
          <w:szCs w:val="24"/>
        </w:rPr>
        <w:t xml:space="preserve">eur, na  tuzemské pracovné náhrady bolo vyčerpaných </w:t>
      </w:r>
      <w:r w:rsidRPr="00F4406C">
        <w:rPr>
          <w:rFonts w:ascii="Times New Roman" w:hAnsi="Times New Roman" w:cs="Times New Roman"/>
          <w:sz w:val="24"/>
          <w:szCs w:val="24"/>
          <w:lang w:eastAsia="sk-SK"/>
        </w:rPr>
        <w:t xml:space="preserve">108 270,28 eur a pri dočasnom pridelení na výkon práce bolo vyčerpaných 2 783,35 eur. </w:t>
      </w:r>
    </w:p>
    <w:p w:rsidR="00F4406C" w:rsidRPr="00F4406C" w:rsidRDefault="00F4406C" w:rsidP="00F4406C">
      <w:pPr>
        <w:spacing w:after="0" w:line="240" w:lineRule="auto"/>
        <w:jc w:val="both"/>
        <w:rPr>
          <w:rFonts w:ascii="Times New Roman" w:hAnsi="Times New Roman" w:cs="Times New Roman"/>
          <w:sz w:val="24"/>
          <w:szCs w:val="24"/>
        </w:rPr>
      </w:pPr>
      <w:r w:rsidRPr="00F4406C">
        <w:rPr>
          <w:rFonts w:ascii="Times New Roman" w:hAnsi="Times New Roman" w:cs="Times New Roman"/>
          <w:sz w:val="24"/>
          <w:szCs w:val="24"/>
        </w:rPr>
        <w:t xml:space="preserve">Zahraničné pracovné cesty boli zrealizované v Izraeli, Českej republike, Anglicku, Fínsku, Belgicku, Estónsku, Rakúsku, Nemecku, Maďarsku, Portugalsku, Švédsku a Švajčiarsku. </w:t>
      </w:r>
    </w:p>
    <w:p w:rsidR="00C76D98" w:rsidRPr="00916F6B" w:rsidRDefault="00C76D98" w:rsidP="00916F6B">
      <w:pPr>
        <w:autoSpaceDE w:val="0"/>
        <w:autoSpaceDN w:val="0"/>
        <w:adjustRightInd w:val="0"/>
        <w:spacing w:after="0" w:line="240" w:lineRule="auto"/>
        <w:ind w:firstLine="708"/>
        <w:jc w:val="both"/>
        <w:rPr>
          <w:rFonts w:ascii="Times New Roman" w:hAnsi="Times New Roman" w:cs="Times New Roman"/>
          <w:sz w:val="24"/>
          <w:szCs w:val="24"/>
        </w:rPr>
      </w:pPr>
      <w:r w:rsidRPr="00916F6B">
        <w:rPr>
          <w:rFonts w:ascii="Times New Roman" w:hAnsi="Times New Roman" w:cs="Times New Roman"/>
          <w:sz w:val="24"/>
          <w:szCs w:val="24"/>
        </w:rPr>
        <w:t>K 31.</w:t>
      </w:r>
      <w:r w:rsidR="00C310CF" w:rsidRPr="00916F6B">
        <w:rPr>
          <w:rFonts w:ascii="Times New Roman" w:hAnsi="Times New Roman" w:cs="Times New Roman"/>
          <w:sz w:val="24"/>
          <w:szCs w:val="24"/>
        </w:rPr>
        <w:t xml:space="preserve"> </w:t>
      </w:r>
      <w:r w:rsidRPr="00916F6B">
        <w:rPr>
          <w:rFonts w:ascii="Times New Roman" w:hAnsi="Times New Roman" w:cs="Times New Roman"/>
          <w:sz w:val="24"/>
          <w:szCs w:val="24"/>
        </w:rPr>
        <w:t>12.</w:t>
      </w:r>
      <w:r w:rsidR="00C310CF" w:rsidRPr="00916F6B">
        <w:rPr>
          <w:rFonts w:ascii="Times New Roman" w:hAnsi="Times New Roman" w:cs="Times New Roman"/>
          <w:sz w:val="24"/>
          <w:szCs w:val="24"/>
        </w:rPr>
        <w:t xml:space="preserve"> </w:t>
      </w:r>
      <w:r w:rsidRPr="00916F6B">
        <w:rPr>
          <w:rFonts w:ascii="Times New Roman" w:hAnsi="Times New Roman" w:cs="Times New Roman"/>
          <w:sz w:val="24"/>
          <w:szCs w:val="24"/>
        </w:rPr>
        <w:t xml:space="preserve">2015 </w:t>
      </w:r>
      <w:proofErr w:type="spellStart"/>
      <w:r w:rsidRPr="00916F6B">
        <w:rPr>
          <w:rFonts w:ascii="Times New Roman" w:hAnsi="Times New Roman" w:cs="Times New Roman"/>
          <w:sz w:val="24"/>
          <w:szCs w:val="24"/>
        </w:rPr>
        <w:t>SOI</w:t>
      </w:r>
      <w:proofErr w:type="spellEnd"/>
      <w:r w:rsidRPr="00916F6B">
        <w:rPr>
          <w:rFonts w:ascii="Times New Roman" w:hAnsi="Times New Roman" w:cs="Times New Roman"/>
          <w:sz w:val="24"/>
          <w:szCs w:val="24"/>
        </w:rPr>
        <w:t xml:space="preserve">  vyčerpala  mimorozpočtové prostriedky – zahraničné granty v</w:t>
      </w:r>
      <w:r w:rsidR="004A00B3" w:rsidRPr="00916F6B">
        <w:rPr>
          <w:rFonts w:ascii="Times New Roman" w:hAnsi="Times New Roman" w:cs="Times New Roman"/>
          <w:sz w:val="24"/>
          <w:szCs w:val="24"/>
        </w:rPr>
        <w:t> </w:t>
      </w:r>
      <w:r w:rsidRPr="00916F6B">
        <w:rPr>
          <w:rFonts w:ascii="Times New Roman" w:hAnsi="Times New Roman" w:cs="Times New Roman"/>
          <w:sz w:val="24"/>
          <w:szCs w:val="24"/>
        </w:rPr>
        <w:t>sume</w:t>
      </w:r>
      <w:r w:rsidR="004A00B3" w:rsidRPr="00916F6B">
        <w:rPr>
          <w:rFonts w:ascii="Times New Roman" w:hAnsi="Times New Roman" w:cs="Times New Roman"/>
          <w:sz w:val="24"/>
          <w:szCs w:val="24"/>
        </w:rPr>
        <w:t xml:space="preserve"> </w:t>
      </w:r>
      <w:r w:rsidRPr="00916F6B">
        <w:rPr>
          <w:rFonts w:ascii="Times New Roman" w:hAnsi="Times New Roman" w:cs="Times New Roman"/>
          <w:sz w:val="24"/>
          <w:szCs w:val="24"/>
        </w:rPr>
        <w:t xml:space="preserve">512,90  eur pre 1 zamestnanca </w:t>
      </w:r>
      <w:proofErr w:type="spellStart"/>
      <w:r w:rsidRPr="00916F6B">
        <w:rPr>
          <w:rFonts w:ascii="Times New Roman" w:hAnsi="Times New Roman" w:cs="Times New Roman"/>
          <w:sz w:val="24"/>
          <w:szCs w:val="24"/>
        </w:rPr>
        <w:t>SOI</w:t>
      </w:r>
      <w:proofErr w:type="spellEnd"/>
      <w:r w:rsidRPr="00916F6B">
        <w:rPr>
          <w:rFonts w:ascii="Times New Roman" w:hAnsi="Times New Roman" w:cs="Times New Roman"/>
          <w:sz w:val="24"/>
          <w:szCs w:val="24"/>
        </w:rPr>
        <w:t xml:space="preserve">, ktorý sa v mesiacoch máj a október zúčastnil na projekte </w:t>
      </w:r>
      <w:proofErr w:type="spellStart"/>
      <w:r w:rsidRPr="00916F6B">
        <w:rPr>
          <w:rFonts w:ascii="Times New Roman" w:hAnsi="Times New Roman" w:cs="Times New Roman"/>
          <w:sz w:val="24"/>
          <w:szCs w:val="24"/>
        </w:rPr>
        <w:t>EUTS</w:t>
      </w:r>
      <w:proofErr w:type="spellEnd"/>
      <w:r w:rsidRPr="00916F6B">
        <w:rPr>
          <w:rFonts w:ascii="Times New Roman" w:hAnsi="Times New Roman" w:cs="Times New Roman"/>
          <w:sz w:val="24"/>
          <w:szCs w:val="24"/>
        </w:rPr>
        <w:t xml:space="preserve"> III – Európska stratégia pre nekalé obchodné praktiky III v roku 2015.</w:t>
      </w: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rPr>
      </w:pP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lang w:eastAsia="sk-SK"/>
        </w:rPr>
        <w:t>V kategórii 632 – Energie, voda a komunikácie</w:t>
      </w:r>
      <w:r w:rsidRPr="00F4406C">
        <w:rPr>
          <w:rFonts w:ascii="Times New Roman" w:hAnsi="Times New Roman" w:cs="Times New Roman"/>
          <w:sz w:val="24"/>
          <w:szCs w:val="24"/>
          <w:lang w:eastAsia="sk-SK"/>
        </w:rPr>
        <w:t xml:space="preserve"> boli rozpočtové prostriedky čerpané </w:t>
      </w:r>
      <w:r w:rsidRPr="00F4406C">
        <w:rPr>
          <w:rFonts w:ascii="Times New Roman" w:hAnsi="Times New Roman" w:cs="Times New Roman"/>
          <w:sz w:val="24"/>
          <w:szCs w:val="24"/>
        </w:rPr>
        <w:t xml:space="preserve">v sume     </w:t>
      </w:r>
      <w:r w:rsidRPr="00F4406C">
        <w:rPr>
          <w:rFonts w:ascii="Times New Roman" w:hAnsi="Times New Roman" w:cs="Times New Roman"/>
          <w:sz w:val="24"/>
          <w:szCs w:val="24"/>
          <w:lang w:eastAsia="sk-SK"/>
        </w:rPr>
        <w:t>339 473,81 eur a čerpanie bolo vykázané za energie, poštové a telekomunikačné služby a vodné a stočné.</w:t>
      </w: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lang w:eastAsia="sk-SK"/>
        </w:rPr>
        <w:t>V kategórii 633 – Materiál</w:t>
      </w:r>
      <w:r w:rsidRPr="00F4406C">
        <w:rPr>
          <w:rFonts w:ascii="Times New Roman" w:hAnsi="Times New Roman" w:cs="Times New Roman"/>
          <w:sz w:val="24"/>
          <w:szCs w:val="24"/>
          <w:lang w:eastAsia="sk-SK"/>
        </w:rPr>
        <w:t xml:space="preserve"> boli rozpočtové prostriedky čerpané </w:t>
      </w:r>
      <w:r w:rsidRPr="00F4406C">
        <w:rPr>
          <w:rFonts w:ascii="Times New Roman" w:hAnsi="Times New Roman" w:cs="Times New Roman"/>
          <w:sz w:val="24"/>
          <w:szCs w:val="24"/>
        </w:rPr>
        <w:t xml:space="preserve">v sume </w:t>
      </w:r>
      <w:r w:rsidRPr="00F4406C">
        <w:rPr>
          <w:rFonts w:ascii="Times New Roman" w:hAnsi="Times New Roman" w:cs="Times New Roman"/>
          <w:sz w:val="24"/>
          <w:szCs w:val="24"/>
          <w:lang w:eastAsia="sk-SK"/>
        </w:rPr>
        <w:t xml:space="preserve">191 763,03 </w:t>
      </w:r>
      <w:r w:rsidRPr="00F4406C">
        <w:rPr>
          <w:rFonts w:ascii="Times New Roman" w:hAnsi="Times New Roman" w:cs="Times New Roman"/>
          <w:sz w:val="24"/>
          <w:szCs w:val="24"/>
        </w:rPr>
        <w:t xml:space="preserve">eur. Najvyššie čerpanie   výdavkov   bolo vykázané   na nákup    </w:t>
      </w:r>
      <w:r w:rsidRPr="00F4406C">
        <w:rPr>
          <w:rFonts w:ascii="Times New Roman" w:hAnsi="Times New Roman" w:cs="Times New Roman"/>
          <w:sz w:val="24"/>
          <w:szCs w:val="24"/>
          <w:lang w:eastAsia="sk-SK"/>
        </w:rPr>
        <w:t>výpočtovej techniky v sume       81 663,89 eur, ďalej na nákup  všeobecného   materiálu (tonery, kancelárske potreby, pečiatky) v sume   72 936,98 eur , na nákup kníh a dennej tlače sa vyčerpalo 12 931,01 eur. Na reprezentačné výdavky bolo vyčerpaných 6 209,13 eur. Na úhradu za nákup interiérového vybavenia bolo vyčerpaných  5 991,69 eur. Ostatné výdavky v celkovej sume 12 030,33 eur boli vyčerpané  na nákup softvéru, prevádzkových zariadení, potravín, telekomunikačnej techniky a pod.</w:t>
      </w: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lang w:eastAsia="sk-SK"/>
        </w:rPr>
        <w:t>V kategórii 634 – Dopravné</w:t>
      </w:r>
      <w:r w:rsidRPr="00F4406C">
        <w:rPr>
          <w:rFonts w:ascii="Times New Roman" w:hAnsi="Times New Roman" w:cs="Times New Roman"/>
          <w:sz w:val="24"/>
          <w:szCs w:val="24"/>
          <w:lang w:eastAsia="sk-SK"/>
        </w:rPr>
        <w:t xml:space="preserve"> boli rozpočtové prostriedky čerpané </w:t>
      </w:r>
      <w:r w:rsidRPr="00F4406C">
        <w:rPr>
          <w:rFonts w:ascii="Times New Roman" w:hAnsi="Times New Roman" w:cs="Times New Roman"/>
          <w:sz w:val="24"/>
          <w:szCs w:val="24"/>
        </w:rPr>
        <w:t xml:space="preserve">v sume </w:t>
      </w:r>
      <w:r w:rsidRPr="00F4406C">
        <w:rPr>
          <w:rFonts w:ascii="Times New Roman" w:hAnsi="Times New Roman" w:cs="Times New Roman"/>
          <w:sz w:val="24"/>
          <w:szCs w:val="24"/>
          <w:lang w:eastAsia="sk-SK"/>
        </w:rPr>
        <w:t xml:space="preserve">128 068,61 </w:t>
      </w:r>
      <w:r w:rsidRPr="00F4406C">
        <w:rPr>
          <w:rFonts w:ascii="Times New Roman" w:hAnsi="Times New Roman" w:cs="Times New Roman"/>
          <w:sz w:val="24"/>
          <w:szCs w:val="24"/>
        </w:rPr>
        <w:t>eur. Čerpanie výdavkov v tejto kategórii súvisí s prevádzkou, údržbou, servisom, poistením  služobných motorových vozidiel podriadených rozpočtových organizácií a nákupom diaľničných známok.</w:t>
      </w: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lang w:eastAsia="sk-SK"/>
        </w:rPr>
        <w:t>V kategórii 635 - Rutinná a štandardná údržba</w:t>
      </w:r>
      <w:r w:rsidRPr="00F4406C">
        <w:rPr>
          <w:rFonts w:ascii="Times New Roman" w:hAnsi="Times New Roman" w:cs="Times New Roman"/>
          <w:sz w:val="24"/>
          <w:szCs w:val="24"/>
          <w:lang w:eastAsia="sk-SK"/>
        </w:rPr>
        <w:t xml:space="preserve"> boli rozpočtové prostriedky čerpané </w:t>
      </w:r>
      <w:r w:rsidRPr="00F4406C">
        <w:rPr>
          <w:rFonts w:ascii="Times New Roman" w:hAnsi="Times New Roman" w:cs="Times New Roman"/>
          <w:sz w:val="24"/>
          <w:szCs w:val="24"/>
        </w:rPr>
        <w:t xml:space="preserve">v sume       </w:t>
      </w:r>
      <w:r w:rsidRPr="00F4406C">
        <w:rPr>
          <w:rFonts w:ascii="Times New Roman" w:hAnsi="Times New Roman" w:cs="Times New Roman"/>
          <w:sz w:val="24"/>
          <w:szCs w:val="24"/>
          <w:lang w:eastAsia="sk-SK"/>
        </w:rPr>
        <w:t>137 917,13 e</w:t>
      </w:r>
      <w:r w:rsidRPr="00F4406C">
        <w:rPr>
          <w:rFonts w:ascii="Times New Roman" w:hAnsi="Times New Roman" w:cs="Times New Roman"/>
          <w:sz w:val="24"/>
          <w:szCs w:val="24"/>
        </w:rPr>
        <w:t>ur a čerpanie výdavkov súviselo s údržbou prevádzky budov, prevádzkového zariadenia, kancelárskeho vybavenia, softvéru, výpočtovej, telekomunikačnej a kancelárskej techniky.</w:t>
      </w: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lang w:eastAsia="sk-SK"/>
        </w:rPr>
        <w:t>V kategórii 636 - Nájomné za nájom</w:t>
      </w:r>
      <w:r w:rsidRPr="00F4406C">
        <w:rPr>
          <w:rFonts w:ascii="Times New Roman" w:hAnsi="Times New Roman" w:cs="Times New Roman"/>
          <w:sz w:val="24"/>
          <w:szCs w:val="24"/>
          <w:lang w:eastAsia="sk-SK"/>
        </w:rPr>
        <w:t xml:space="preserve"> boli rozpočtové prostriedky čerpané </w:t>
      </w:r>
      <w:r w:rsidRPr="00F4406C">
        <w:rPr>
          <w:rFonts w:ascii="Times New Roman" w:hAnsi="Times New Roman" w:cs="Times New Roman"/>
          <w:sz w:val="24"/>
          <w:szCs w:val="24"/>
        </w:rPr>
        <w:t xml:space="preserve">v sume                   </w:t>
      </w:r>
      <w:r w:rsidRPr="00F4406C">
        <w:rPr>
          <w:rFonts w:ascii="Times New Roman" w:hAnsi="Times New Roman" w:cs="Times New Roman"/>
          <w:sz w:val="24"/>
          <w:szCs w:val="24"/>
          <w:lang w:eastAsia="sk-SK"/>
        </w:rPr>
        <w:t xml:space="preserve">78 423,01 </w:t>
      </w:r>
      <w:r w:rsidRPr="00F4406C">
        <w:rPr>
          <w:rFonts w:ascii="Times New Roman" w:hAnsi="Times New Roman" w:cs="Times New Roman"/>
          <w:sz w:val="24"/>
          <w:szCs w:val="24"/>
        </w:rPr>
        <w:t xml:space="preserve">eur a súvisia s prenájmom budov, garáži, parkovacích miest, poštových priečinkov. </w:t>
      </w:r>
    </w:p>
    <w:p w:rsidR="00F4406C" w:rsidRPr="00F4406C" w:rsidRDefault="00F4406C" w:rsidP="00F4406C">
      <w:pPr>
        <w:autoSpaceDE w:val="0"/>
        <w:autoSpaceDN w:val="0"/>
        <w:adjustRightInd w:val="0"/>
        <w:spacing w:after="0" w:line="240" w:lineRule="auto"/>
        <w:jc w:val="both"/>
        <w:rPr>
          <w:rFonts w:ascii="Times New Roman" w:hAnsi="Times New Roman" w:cs="Times New Roman"/>
          <w:sz w:val="24"/>
          <w:szCs w:val="24"/>
        </w:rPr>
      </w:pPr>
    </w:p>
    <w:p w:rsidR="00C310CF" w:rsidRDefault="00F4406C" w:rsidP="00F4406C">
      <w:pPr>
        <w:autoSpaceDE w:val="0"/>
        <w:autoSpaceDN w:val="0"/>
        <w:adjustRightInd w:val="0"/>
        <w:spacing w:after="0" w:line="240" w:lineRule="auto"/>
        <w:jc w:val="both"/>
        <w:rPr>
          <w:rFonts w:ascii="Times New Roman" w:hAnsi="Times New Roman" w:cs="Times New Roman"/>
          <w:sz w:val="24"/>
          <w:szCs w:val="24"/>
          <w:lang w:eastAsia="sk-SK"/>
        </w:rPr>
      </w:pPr>
      <w:r w:rsidRPr="00DB03CF">
        <w:rPr>
          <w:rFonts w:ascii="Times New Roman" w:hAnsi="Times New Roman" w:cs="Times New Roman"/>
          <w:i/>
          <w:sz w:val="24"/>
          <w:szCs w:val="24"/>
          <w:lang w:eastAsia="sk-SK"/>
        </w:rPr>
        <w:t>V kategórii 637 – Služby</w:t>
      </w:r>
      <w:r w:rsidRPr="00F4406C">
        <w:rPr>
          <w:rFonts w:ascii="Times New Roman" w:hAnsi="Times New Roman" w:cs="Times New Roman"/>
          <w:sz w:val="24"/>
          <w:szCs w:val="24"/>
          <w:lang w:eastAsia="sk-SK"/>
        </w:rPr>
        <w:t xml:space="preserve">  boli čerpané rozpočtové prostriedky v sume 518 462,95 eur na výdavky, ktoré súviseli s úhradou výdavkov za stravovanie zamestnancov (136 696,15 eur), poistné, všeobecné služby a špeciálne služby  – upratovanie a čistenie, deratizácia priestorov, revízie a kontroly zariadení, ochrana objektov (173 082,94 eur), odmeny zamestnancov mimopracovného pomeru (65 221,01 eur) , prídel do sociálneho fondu     (49 483,02 eur), na úhradu daní (25 611,52 eur), na školenia, kurzy, semináre (22 296,85 eur),  inzerciu              (3 468,82 eur). Na kalibráciu prístrojov, náhradách mzdy, poplatkoch a odvodoch, poistnom, reprezentačných výdavkoch  a pod. sa vyčerpalo 39 748,64 eur. </w:t>
      </w:r>
      <w:proofErr w:type="spellStart"/>
      <w:r w:rsidRPr="00F4406C">
        <w:rPr>
          <w:rFonts w:ascii="Times New Roman" w:hAnsi="Times New Roman" w:cs="Times New Roman"/>
          <w:sz w:val="24"/>
          <w:szCs w:val="24"/>
          <w:lang w:eastAsia="sk-SK"/>
        </w:rPr>
        <w:t>SOI</w:t>
      </w:r>
      <w:proofErr w:type="spellEnd"/>
      <w:r w:rsidRPr="00F4406C">
        <w:rPr>
          <w:rFonts w:ascii="Times New Roman" w:hAnsi="Times New Roman" w:cs="Times New Roman"/>
          <w:sz w:val="24"/>
          <w:szCs w:val="24"/>
          <w:lang w:eastAsia="sk-SK"/>
        </w:rPr>
        <w:t xml:space="preserve"> uhradila pokuty v sume 2 854,00 eur, ktoré jej boli uložené Okresným úradom Bratislava, odborom cestnej dopravy a pozemných komunikácií za porušenie zákona č. 725/2004 Z. z. a Vyhlášky </w:t>
      </w:r>
      <w:proofErr w:type="spellStart"/>
      <w:r w:rsidRPr="00F4406C">
        <w:rPr>
          <w:rFonts w:ascii="Times New Roman" w:hAnsi="Times New Roman" w:cs="Times New Roman"/>
          <w:sz w:val="24"/>
          <w:szCs w:val="24"/>
          <w:lang w:eastAsia="sk-SK"/>
        </w:rPr>
        <w:t>MDPT</w:t>
      </w:r>
      <w:proofErr w:type="spellEnd"/>
      <w:r w:rsidRPr="00F4406C">
        <w:rPr>
          <w:rFonts w:ascii="Times New Roman" w:hAnsi="Times New Roman" w:cs="Times New Roman"/>
          <w:sz w:val="24"/>
          <w:szCs w:val="24"/>
          <w:lang w:eastAsia="sk-SK"/>
        </w:rPr>
        <w:t xml:space="preserve">               č. 578/2006 </w:t>
      </w:r>
      <w:proofErr w:type="spellStart"/>
      <w:r w:rsidRPr="00F4406C">
        <w:rPr>
          <w:rFonts w:ascii="Times New Roman" w:hAnsi="Times New Roman" w:cs="Times New Roman"/>
          <w:sz w:val="24"/>
          <w:szCs w:val="24"/>
          <w:lang w:eastAsia="sk-SK"/>
        </w:rPr>
        <w:t>Z.z</w:t>
      </w:r>
      <w:proofErr w:type="spellEnd"/>
      <w:r w:rsidRPr="00F4406C">
        <w:rPr>
          <w:rFonts w:ascii="Times New Roman" w:hAnsi="Times New Roman" w:cs="Times New Roman"/>
          <w:sz w:val="24"/>
          <w:szCs w:val="24"/>
          <w:lang w:eastAsia="sk-SK"/>
        </w:rPr>
        <w:t xml:space="preserve">. Služobné vozidlá nepoužívané na plnenie úloh organizácie a pripravené na vyradenie  neboli podrobované technickej a emisnej kontrole v zákonných lehotách a neboli na polícii dočasne odhlásené  a vyradené z cestnej premávky. Škoda vzniknutá organizácii bola riešená v škodovej komisii. </w:t>
      </w:r>
    </w:p>
    <w:p w:rsidR="00C310CF" w:rsidRPr="00F4406C" w:rsidRDefault="00C310CF" w:rsidP="00F4406C">
      <w:pPr>
        <w:autoSpaceDE w:val="0"/>
        <w:autoSpaceDN w:val="0"/>
        <w:adjustRightInd w:val="0"/>
        <w:spacing w:after="0" w:line="240" w:lineRule="auto"/>
        <w:jc w:val="both"/>
        <w:rPr>
          <w:rFonts w:ascii="Times New Roman" w:hAnsi="Times New Roman" w:cs="Times New Roman"/>
          <w:sz w:val="24"/>
          <w:szCs w:val="24"/>
          <w:lang w:eastAsia="sk-SK"/>
        </w:rPr>
      </w:pPr>
    </w:p>
    <w:p w:rsidR="00E16A55" w:rsidRDefault="00E16A55" w:rsidP="0065668A">
      <w:pPr>
        <w:autoSpaceDE w:val="0"/>
        <w:autoSpaceDN w:val="0"/>
        <w:adjustRightInd w:val="0"/>
        <w:spacing w:after="0" w:line="240" w:lineRule="auto"/>
        <w:jc w:val="both"/>
        <w:rPr>
          <w:rFonts w:ascii="Times New Roman" w:hAnsi="Times New Roman" w:cs="Times New Roman"/>
          <w:i/>
          <w:sz w:val="24"/>
          <w:szCs w:val="24"/>
        </w:rPr>
      </w:pPr>
      <w:r w:rsidRPr="009F1E92">
        <w:rPr>
          <w:rFonts w:ascii="Times New Roman" w:hAnsi="Times New Roman" w:cs="Times New Roman"/>
          <w:i/>
          <w:sz w:val="24"/>
          <w:szCs w:val="24"/>
        </w:rPr>
        <w:t xml:space="preserve">07L 07 Európske spotrebiteľské centrum </w:t>
      </w:r>
    </w:p>
    <w:p w:rsidR="004A00B3" w:rsidRPr="00674BDD" w:rsidRDefault="004A00B3" w:rsidP="00321108">
      <w:pPr>
        <w:spacing w:after="0" w:line="240" w:lineRule="auto"/>
        <w:ind w:firstLine="540"/>
        <w:jc w:val="right"/>
        <w:rPr>
          <w:rFonts w:ascii="Times New Roman" w:hAnsi="Times New Roman" w:cs="Times New Roman"/>
        </w:rPr>
      </w:pPr>
      <w:r w:rsidRPr="00674BDD">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1559"/>
        <w:gridCol w:w="1417"/>
        <w:gridCol w:w="1418"/>
        <w:gridCol w:w="1417"/>
      </w:tblGrid>
      <w:tr w:rsidR="004A00B3" w:rsidRPr="00674BDD" w:rsidTr="0036403E">
        <w:trPr>
          <w:trHeight w:val="712"/>
        </w:trPr>
        <w:tc>
          <w:tcPr>
            <w:tcW w:w="2268" w:type="dxa"/>
            <w:shd w:val="clear" w:color="auto" w:fill="auto"/>
          </w:tcPr>
          <w:p w:rsidR="004A00B3" w:rsidRPr="00674BDD" w:rsidRDefault="004A00B3" w:rsidP="0036403E">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Ekonomická</w:t>
            </w:r>
          </w:p>
          <w:p w:rsidR="004A00B3" w:rsidRPr="00674BDD" w:rsidRDefault="004A00B3" w:rsidP="0036403E">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klasifikácia</w:t>
            </w:r>
          </w:p>
        </w:tc>
        <w:tc>
          <w:tcPr>
            <w:tcW w:w="993" w:type="dxa"/>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Zdroj</w:t>
            </w:r>
          </w:p>
        </w:tc>
        <w:tc>
          <w:tcPr>
            <w:tcW w:w="1559"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Schválený</w:t>
            </w:r>
          </w:p>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1.1.2015</w:t>
            </w:r>
          </w:p>
        </w:tc>
        <w:tc>
          <w:tcPr>
            <w:tcW w:w="1417"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Upravený</w:t>
            </w:r>
          </w:p>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31.12.2015</w:t>
            </w:r>
          </w:p>
        </w:tc>
        <w:tc>
          <w:tcPr>
            <w:tcW w:w="1418"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Čerpanie k</w:t>
            </w:r>
          </w:p>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31.12.2015</w:t>
            </w:r>
          </w:p>
        </w:tc>
        <w:tc>
          <w:tcPr>
            <w:tcW w:w="1417"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 čerpania k uprav. rozpočtu</w:t>
            </w:r>
          </w:p>
        </w:tc>
      </w:tr>
      <w:tr w:rsidR="004A00B3" w:rsidRPr="00674BDD" w:rsidTr="0036403E">
        <w:tc>
          <w:tcPr>
            <w:tcW w:w="2268" w:type="dxa"/>
            <w:shd w:val="clear" w:color="auto" w:fill="auto"/>
          </w:tcPr>
          <w:p w:rsidR="004A00B3" w:rsidRPr="00674BDD" w:rsidRDefault="004A00B3" w:rsidP="0036403E">
            <w:pPr>
              <w:spacing w:after="0" w:line="240" w:lineRule="auto"/>
              <w:jc w:val="both"/>
              <w:rPr>
                <w:rFonts w:ascii="Times New Roman" w:eastAsia="Times New Roman" w:hAnsi="Times New Roman" w:cs="Times New Roman"/>
              </w:rPr>
            </w:pPr>
            <w:r w:rsidRPr="00674BDD">
              <w:rPr>
                <w:rFonts w:ascii="Times New Roman" w:eastAsia="Times New Roman" w:hAnsi="Times New Roman" w:cs="Times New Roman"/>
              </w:rPr>
              <w:t>630 – tovary a služby</w:t>
            </w:r>
          </w:p>
        </w:tc>
        <w:tc>
          <w:tcPr>
            <w:tcW w:w="993" w:type="dxa"/>
          </w:tcPr>
          <w:p w:rsidR="004A00B3" w:rsidRPr="00674BDD" w:rsidRDefault="004A00B3" w:rsidP="0036403E">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111</w:t>
            </w:r>
          </w:p>
        </w:tc>
        <w:tc>
          <w:tcPr>
            <w:tcW w:w="1559" w:type="dxa"/>
            <w:shd w:val="clear" w:color="auto" w:fill="auto"/>
          </w:tcPr>
          <w:p w:rsidR="004A00B3" w:rsidRPr="00674BDD" w:rsidRDefault="004A00B3" w:rsidP="004A00B3">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22 472,00</w:t>
            </w:r>
          </w:p>
        </w:tc>
        <w:tc>
          <w:tcPr>
            <w:tcW w:w="1417" w:type="dxa"/>
            <w:shd w:val="clear" w:color="auto" w:fill="auto"/>
          </w:tcPr>
          <w:p w:rsidR="004A00B3" w:rsidRPr="00674BDD" w:rsidRDefault="004A00B3" w:rsidP="004A00B3">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10 665,50</w:t>
            </w:r>
          </w:p>
        </w:tc>
        <w:tc>
          <w:tcPr>
            <w:tcW w:w="1418" w:type="dxa"/>
            <w:shd w:val="clear" w:color="auto" w:fill="auto"/>
          </w:tcPr>
          <w:p w:rsidR="004A00B3" w:rsidRPr="00674BDD" w:rsidRDefault="004A00B3" w:rsidP="004A00B3">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10 665,50</w:t>
            </w:r>
          </w:p>
        </w:tc>
        <w:tc>
          <w:tcPr>
            <w:tcW w:w="1417" w:type="dxa"/>
            <w:shd w:val="clear" w:color="auto" w:fill="auto"/>
          </w:tcPr>
          <w:p w:rsidR="004A00B3" w:rsidRPr="00674BDD" w:rsidRDefault="004A00B3" w:rsidP="0036403E">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100,00</w:t>
            </w:r>
          </w:p>
        </w:tc>
      </w:tr>
    </w:tbl>
    <w:p w:rsidR="004A00B3" w:rsidRPr="004A00B3" w:rsidRDefault="004A00B3" w:rsidP="004A00B3">
      <w:pPr>
        <w:spacing w:before="240" w:after="0" w:line="240" w:lineRule="auto"/>
        <w:ind w:firstLine="540"/>
        <w:jc w:val="both"/>
        <w:rPr>
          <w:rFonts w:ascii="Times New Roman" w:hAnsi="Times New Roman" w:cs="Times New Roman"/>
          <w:sz w:val="24"/>
          <w:szCs w:val="24"/>
        </w:rPr>
      </w:pPr>
      <w:r w:rsidRPr="004A00B3">
        <w:rPr>
          <w:rFonts w:ascii="Times New Roman" w:hAnsi="Times New Roman" w:cs="Times New Roman"/>
          <w:sz w:val="24"/>
          <w:szCs w:val="24"/>
        </w:rPr>
        <w:t xml:space="preserve">Európske spotrebiteľské centrum (ďalej len </w:t>
      </w:r>
      <w:proofErr w:type="spellStart"/>
      <w:r w:rsidRPr="004A00B3">
        <w:rPr>
          <w:rFonts w:ascii="Times New Roman" w:hAnsi="Times New Roman" w:cs="Times New Roman"/>
          <w:sz w:val="24"/>
          <w:szCs w:val="24"/>
        </w:rPr>
        <w:t>ESC</w:t>
      </w:r>
      <w:proofErr w:type="spellEnd"/>
      <w:r w:rsidRPr="004A00B3">
        <w:rPr>
          <w:rFonts w:ascii="Times New Roman" w:hAnsi="Times New Roman" w:cs="Times New Roman"/>
          <w:sz w:val="24"/>
          <w:szCs w:val="24"/>
        </w:rPr>
        <w:t xml:space="preserve">) slúži na priblíženie jednotného trhu spotrebiteľom, podporuje cezhraničné nakupovanie a pomáha pri riešení cezhraničných sťažností, poskytuje informácie o národnej a európskej legislatíve a zapája sa do spoločných projektov v rámci siete Európskych spotrebiteľských centier. </w:t>
      </w:r>
    </w:p>
    <w:p w:rsidR="004A00B3" w:rsidRPr="004A00B3" w:rsidRDefault="004A00B3" w:rsidP="004A00B3">
      <w:pPr>
        <w:spacing w:after="0" w:line="240" w:lineRule="auto"/>
        <w:ind w:firstLine="567"/>
        <w:jc w:val="both"/>
        <w:rPr>
          <w:rFonts w:ascii="Times New Roman" w:hAnsi="Times New Roman" w:cs="Times New Roman"/>
          <w:sz w:val="24"/>
          <w:szCs w:val="24"/>
        </w:rPr>
      </w:pPr>
      <w:r w:rsidRPr="004A00B3">
        <w:rPr>
          <w:rFonts w:ascii="Times New Roman" w:hAnsi="Times New Roman" w:cs="Times New Roman"/>
          <w:sz w:val="24"/>
          <w:szCs w:val="24"/>
        </w:rPr>
        <w:t xml:space="preserve">Finančné prostriedky EÚ získava  </w:t>
      </w:r>
      <w:proofErr w:type="spellStart"/>
      <w:r w:rsidRPr="004A00B3">
        <w:rPr>
          <w:rFonts w:ascii="Times New Roman" w:hAnsi="Times New Roman" w:cs="Times New Roman"/>
          <w:sz w:val="24"/>
          <w:szCs w:val="24"/>
        </w:rPr>
        <w:t>ESC</w:t>
      </w:r>
      <w:proofErr w:type="spellEnd"/>
      <w:r w:rsidRPr="004A00B3">
        <w:rPr>
          <w:rFonts w:ascii="Times New Roman" w:hAnsi="Times New Roman" w:cs="Times New Roman"/>
          <w:sz w:val="24"/>
          <w:szCs w:val="24"/>
        </w:rPr>
        <w:t xml:space="preserve"> v zmysle grantu na príslušný rok, ktorý je v súlade s Rámcovou partnerskou zmluvou uzatvorenou s </w:t>
      </w:r>
      <w:proofErr w:type="spellStart"/>
      <w:r w:rsidRPr="004A00B3">
        <w:rPr>
          <w:rFonts w:ascii="Times New Roman" w:hAnsi="Times New Roman" w:cs="Times New Roman"/>
          <w:sz w:val="24"/>
          <w:szCs w:val="24"/>
        </w:rPr>
        <w:t>EK</w:t>
      </w:r>
      <w:proofErr w:type="spellEnd"/>
      <w:r w:rsidRPr="004A00B3">
        <w:rPr>
          <w:rFonts w:ascii="Times New Roman" w:hAnsi="Times New Roman" w:cs="Times New Roman"/>
          <w:sz w:val="24"/>
          <w:szCs w:val="24"/>
        </w:rPr>
        <w:t xml:space="preserve"> v zastúpení Výkonnej agentúry pre spotrebiteľov, zdravie, poľnohospodárstvo a potraviny vo výške 50 % a z rozpočtu kapitoly MH SR tiež vo výške 50 % celkových nákladov. </w:t>
      </w:r>
    </w:p>
    <w:p w:rsidR="004A00B3" w:rsidRPr="004A00B3" w:rsidRDefault="004A00B3" w:rsidP="004A00B3">
      <w:pPr>
        <w:spacing w:after="0" w:line="240" w:lineRule="auto"/>
        <w:ind w:firstLine="567"/>
        <w:jc w:val="both"/>
        <w:rPr>
          <w:rFonts w:ascii="Times New Roman" w:hAnsi="Times New Roman" w:cs="Times New Roman"/>
          <w:sz w:val="24"/>
          <w:szCs w:val="24"/>
        </w:rPr>
      </w:pPr>
      <w:r w:rsidRPr="004A00B3">
        <w:rPr>
          <w:rFonts w:ascii="Times New Roman" w:hAnsi="Times New Roman" w:cs="Times New Roman"/>
          <w:sz w:val="24"/>
          <w:szCs w:val="24"/>
        </w:rPr>
        <w:t xml:space="preserve">Schválená výška bežných výdavkov na rok 2015  z kapitoly MH SR bola v sume  22 472,00 eur. Tieto výdavky predstavovali 50 % celkových nákladov </w:t>
      </w:r>
      <w:proofErr w:type="spellStart"/>
      <w:r w:rsidRPr="004A00B3">
        <w:rPr>
          <w:rFonts w:ascii="Times New Roman" w:hAnsi="Times New Roman" w:cs="Times New Roman"/>
          <w:sz w:val="24"/>
          <w:szCs w:val="24"/>
        </w:rPr>
        <w:t>ESC</w:t>
      </w:r>
      <w:proofErr w:type="spellEnd"/>
      <w:r w:rsidRPr="004A00B3">
        <w:rPr>
          <w:rFonts w:ascii="Times New Roman" w:hAnsi="Times New Roman" w:cs="Times New Roman"/>
          <w:sz w:val="24"/>
          <w:szCs w:val="24"/>
        </w:rPr>
        <w:t>. K 3</w:t>
      </w:r>
      <w:r w:rsidR="00985C6E">
        <w:rPr>
          <w:rFonts w:ascii="Times New Roman" w:hAnsi="Times New Roman" w:cs="Times New Roman"/>
          <w:sz w:val="24"/>
          <w:szCs w:val="24"/>
        </w:rPr>
        <w:t>1</w:t>
      </w:r>
      <w:r w:rsidRPr="004A00B3">
        <w:rPr>
          <w:rFonts w:ascii="Times New Roman" w:hAnsi="Times New Roman" w:cs="Times New Roman"/>
          <w:sz w:val="24"/>
          <w:szCs w:val="24"/>
        </w:rPr>
        <w:t>.</w:t>
      </w:r>
      <w:r w:rsidR="00985C6E">
        <w:rPr>
          <w:rFonts w:ascii="Times New Roman" w:hAnsi="Times New Roman" w:cs="Times New Roman"/>
          <w:sz w:val="24"/>
          <w:szCs w:val="24"/>
        </w:rPr>
        <w:t>12</w:t>
      </w:r>
      <w:r w:rsidRPr="004A00B3">
        <w:rPr>
          <w:rFonts w:ascii="Times New Roman" w:hAnsi="Times New Roman" w:cs="Times New Roman"/>
          <w:sz w:val="24"/>
          <w:szCs w:val="24"/>
        </w:rPr>
        <w:t xml:space="preserve">.2015 bol rozpočet </w:t>
      </w:r>
      <w:proofErr w:type="spellStart"/>
      <w:r w:rsidRPr="004A00B3">
        <w:rPr>
          <w:rFonts w:ascii="Times New Roman" w:hAnsi="Times New Roman" w:cs="Times New Roman"/>
          <w:sz w:val="24"/>
          <w:szCs w:val="24"/>
        </w:rPr>
        <w:t>ESC</w:t>
      </w:r>
      <w:proofErr w:type="spellEnd"/>
      <w:r w:rsidRPr="004A00B3">
        <w:rPr>
          <w:rFonts w:ascii="Times New Roman" w:hAnsi="Times New Roman" w:cs="Times New Roman"/>
          <w:sz w:val="24"/>
          <w:szCs w:val="24"/>
        </w:rPr>
        <w:t xml:space="preserve"> upravený na sumu 10 665,50 eur. </w:t>
      </w:r>
    </w:p>
    <w:p w:rsidR="004A00B3" w:rsidRPr="004A00B3" w:rsidRDefault="004A00B3" w:rsidP="004A00B3">
      <w:pPr>
        <w:autoSpaceDE w:val="0"/>
        <w:autoSpaceDN w:val="0"/>
        <w:spacing w:after="0" w:line="240" w:lineRule="auto"/>
        <w:ind w:firstLine="567"/>
        <w:jc w:val="both"/>
        <w:rPr>
          <w:rFonts w:ascii="Times New Roman" w:hAnsi="Times New Roman" w:cs="Times New Roman"/>
          <w:sz w:val="24"/>
          <w:szCs w:val="24"/>
        </w:rPr>
      </w:pPr>
      <w:r w:rsidRPr="004A00B3">
        <w:rPr>
          <w:rFonts w:ascii="Times New Roman" w:hAnsi="Times New Roman" w:cs="Times New Roman"/>
          <w:sz w:val="24"/>
          <w:szCs w:val="24"/>
        </w:rPr>
        <w:t xml:space="preserve">Finančné  prostriedky boli k 31.12.2015 čerpané  v  sume  10 665,50  eur, t. j. 100,00 % z upraveného rozpočtu v zmysle špecifickej zmluvy č. 668158 uzavretej s Výkonnou agentúrou pre spotrebiteľov, zdravie, poľnohospodárstvo a potraviny o pridelení grantu </w:t>
      </w:r>
      <w:proofErr w:type="spellStart"/>
      <w:r w:rsidRPr="004A00B3">
        <w:rPr>
          <w:rFonts w:ascii="Times New Roman" w:hAnsi="Times New Roman" w:cs="Times New Roman"/>
          <w:sz w:val="24"/>
          <w:szCs w:val="24"/>
        </w:rPr>
        <w:t>EK</w:t>
      </w:r>
      <w:proofErr w:type="spellEnd"/>
      <w:r w:rsidRPr="004A00B3">
        <w:rPr>
          <w:rFonts w:ascii="Times New Roman" w:hAnsi="Times New Roman" w:cs="Times New Roman"/>
          <w:sz w:val="24"/>
          <w:szCs w:val="24"/>
        </w:rPr>
        <w:t xml:space="preserve"> na financovanie činnosti </w:t>
      </w:r>
      <w:proofErr w:type="spellStart"/>
      <w:r w:rsidRPr="004A00B3">
        <w:rPr>
          <w:rFonts w:ascii="Times New Roman" w:hAnsi="Times New Roman" w:cs="Times New Roman"/>
          <w:sz w:val="24"/>
          <w:szCs w:val="24"/>
        </w:rPr>
        <w:t>ESC</w:t>
      </w:r>
      <w:proofErr w:type="spellEnd"/>
      <w:r w:rsidRPr="004A00B3">
        <w:rPr>
          <w:rFonts w:ascii="Times New Roman" w:hAnsi="Times New Roman" w:cs="Times New Roman"/>
          <w:sz w:val="24"/>
          <w:szCs w:val="24"/>
        </w:rPr>
        <w:t xml:space="preserve"> v SR na rok 2015.  Rozpočtové prostriedky boli  použité na úhradu zahraničných pracovných ciest a tuzemských pracovných ciest, na reprezentačné výdavky, na prenájom priestorov na festivale, na nákup propagačného materiálu a diárov, na platby za doménu </w:t>
      </w:r>
      <w:proofErr w:type="spellStart"/>
      <w:r w:rsidRPr="004A00B3">
        <w:rPr>
          <w:rFonts w:ascii="Times New Roman" w:hAnsi="Times New Roman" w:cs="Times New Roman"/>
          <w:sz w:val="24"/>
          <w:szCs w:val="24"/>
        </w:rPr>
        <w:t>ecc</w:t>
      </w:r>
      <w:proofErr w:type="spellEnd"/>
      <w:r w:rsidRPr="004A00B3">
        <w:rPr>
          <w:rFonts w:ascii="Times New Roman" w:hAnsi="Times New Roman" w:cs="Times New Roman"/>
          <w:sz w:val="24"/>
          <w:szCs w:val="24"/>
        </w:rPr>
        <w:t xml:space="preserve">- </w:t>
      </w:r>
      <w:proofErr w:type="spellStart"/>
      <w:r w:rsidRPr="004A00B3">
        <w:rPr>
          <w:rFonts w:ascii="Times New Roman" w:hAnsi="Times New Roman" w:cs="Times New Roman"/>
          <w:sz w:val="24"/>
          <w:szCs w:val="24"/>
        </w:rPr>
        <w:t>sr.sk</w:t>
      </w:r>
      <w:proofErr w:type="spellEnd"/>
      <w:r w:rsidRPr="004A00B3">
        <w:rPr>
          <w:rFonts w:ascii="Times New Roman" w:hAnsi="Times New Roman" w:cs="Times New Roman"/>
          <w:sz w:val="24"/>
          <w:szCs w:val="24"/>
        </w:rPr>
        <w:t xml:space="preserve">. </w:t>
      </w:r>
    </w:p>
    <w:p w:rsidR="004A00B3" w:rsidRPr="004A00B3" w:rsidRDefault="004A00B3" w:rsidP="004A00B3">
      <w:pPr>
        <w:autoSpaceDE w:val="0"/>
        <w:autoSpaceDN w:val="0"/>
        <w:spacing w:after="0" w:line="240" w:lineRule="auto"/>
        <w:ind w:firstLine="567"/>
        <w:jc w:val="both"/>
        <w:rPr>
          <w:rFonts w:ascii="Times New Roman" w:hAnsi="Times New Roman" w:cs="Times New Roman"/>
          <w:sz w:val="24"/>
          <w:szCs w:val="24"/>
        </w:rPr>
      </w:pPr>
      <w:r w:rsidRPr="004A00B3">
        <w:rPr>
          <w:rFonts w:ascii="Times New Roman" w:hAnsi="Times New Roman" w:cs="Times New Roman"/>
          <w:sz w:val="24"/>
          <w:szCs w:val="24"/>
        </w:rPr>
        <w:t xml:space="preserve">Podprogram, prostredníctvom ktorého sa  financuje </w:t>
      </w:r>
      <w:proofErr w:type="spellStart"/>
      <w:r w:rsidRPr="004A00B3">
        <w:rPr>
          <w:rFonts w:ascii="Times New Roman" w:hAnsi="Times New Roman" w:cs="Times New Roman"/>
          <w:sz w:val="24"/>
          <w:szCs w:val="24"/>
        </w:rPr>
        <w:t>ESC</w:t>
      </w:r>
      <w:proofErr w:type="spellEnd"/>
      <w:r w:rsidRPr="004A00B3">
        <w:rPr>
          <w:rFonts w:ascii="Times New Roman" w:hAnsi="Times New Roman" w:cs="Times New Roman"/>
          <w:sz w:val="24"/>
          <w:szCs w:val="24"/>
        </w:rPr>
        <w:t xml:space="preserve"> je finančne nadhodnotený a to z dôvodu systému, ktorý je používaný na úhradu faktúr a následne na ich refundáciu. Napriek tomu, že podprogram by mal zastrešovať len 50% nákladov na centrum, to nie je reálne. V podprograme musí byť vždy dostatok finančných prostriedkov na plnú úhradu faktúr, nakoľko sa refundácia uskutočňuje až po úhrade faktúr. </w:t>
      </w:r>
    </w:p>
    <w:p w:rsidR="00DD29C4" w:rsidRPr="009F1E92" w:rsidRDefault="00DD29C4" w:rsidP="009F1E92">
      <w:pPr>
        <w:autoSpaceDE w:val="0"/>
        <w:autoSpaceDN w:val="0"/>
        <w:adjustRightInd w:val="0"/>
        <w:spacing w:after="0" w:line="240" w:lineRule="auto"/>
        <w:ind w:firstLine="567"/>
        <w:jc w:val="both"/>
        <w:rPr>
          <w:rFonts w:ascii="Times New Roman" w:hAnsi="Times New Roman" w:cs="Times New Roman"/>
          <w:sz w:val="24"/>
          <w:szCs w:val="24"/>
        </w:rPr>
      </w:pPr>
    </w:p>
    <w:p w:rsidR="00DD29C4" w:rsidRPr="009F1E92" w:rsidRDefault="00DD29C4" w:rsidP="009F1E92">
      <w:pPr>
        <w:pStyle w:val="Zkladntext2"/>
        <w:spacing w:after="0" w:line="240" w:lineRule="auto"/>
        <w:rPr>
          <w:rFonts w:ascii="Times New Roman" w:hAnsi="Times New Roman" w:cs="Times New Roman"/>
          <w:i/>
          <w:color w:val="000000"/>
          <w:sz w:val="24"/>
          <w:szCs w:val="24"/>
        </w:rPr>
      </w:pPr>
      <w:r w:rsidRPr="009F1E92">
        <w:rPr>
          <w:rFonts w:ascii="Times New Roman" w:hAnsi="Times New Roman" w:cs="Times New Roman"/>
          <w:i/>
          <w:color w:val="000000"/>
          <w:sz w:val="24"/>
          <w:szCs w:val="24"/>
        </w:rPr>
        <w:t>07L 09 Technická pomoc pre OP KaHR (opatrenie 4.1 - OP KaHR)</w:t>
      </w:r>
    </w:p>
    <w:p w:rsidR="000275A9" w:rsidRPr="00674BDD" w:rsidRDefault="000275A9" w:rsidP="000275A9">
      <w:pPr>
        <w:spacing w:after="0" w:line="240" w:lineRule="auto"/>
        <w:ind w:firstLine="540"/>
        <w:jc w:val="right"/>
        <w:rPr>
          <w:rFonts w:ascii="Times New Roman" w:hAnsi="Times New Roman" w:cs="Times New Roman"/>
        </w:rPr>
      </w:pPr>
      <w:r w:rsidRPr="00674BDD">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417"/>
        <w:gridCol w:w="1418"/>
        <w:gridCol w:w="1417"/>
      </w:tblGrid>
      <w:tr w:rsidR="0059693B" w:rsidRPr="00674BDD" w:rsidTr="0065668A">
        <w:trPr>
          <w:trHeight w:val="785"/>
        </w:trPr>
        <w:tc>
          <w:tcPr>
            <w:tcW w:w="2410" w:type="dxa"/>
            <w:tcBorders>
              <w:top w:val="single" w:sz="4" w:space="0" w:color="auto"/>
              <w:left w:val="single" w:sz="4" w:space="0" w:color="auto"/>
              <w:bottom w:val="single" w:sz="4" w:space="0" w:color="auto"/>
              <w:right w:val="single" w:sz="4" w:space="0" w:color="auto"/>
            </w:tcBorders>
            <w:shd w:val="clear" w:color="auto" w:fill="auto"/>
          </w:tcPr>
          <w:p w:rsidR="0059693B" w:rsidRPr="00674BDD" w:rsidRDefault="0059693B"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Ekonomická</w:t>
            </w:r>
          </w:p>
          <w:p w:rsidR="0059693B" w:rsidRPr="00674BDD" w:rsidRDefault="0059693B"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klasifikácia</w:t>
            </w:r>
          </w:p>
        </w:tc>
        <w:tc>
          <w:tcPr>
            <w:tcW w:w="851" w:type="dxa"/>
            <w:tcBorders>
              <w:left w:val="single" w:sz="4" w:space="0" w:color="auto"/>
            </w:tcBorders>
          </w:tcPr>
          <w:p w:rsidR="0059693B" w:rsidRPr="00674BDD" w:rsidRDefault="0059693B" w:rsidP="009F1E92">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Zdroj</w:t>
            </w:r>
          </w:p>
        </w:tc>
        <w:tc>
          <w:tcPr>
            <w:tcW w:w="1559" w:type="dxa"/>
            <w:shd w:val="clear" w:color="auto" w:fill="auto"/>
          </w:tcPr>
          <w:p w:rsidR="0059693B" w:rsidRPr="00674BDD" w:rsidRDefault="0059693B" w:rsidP="0059693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Schválený</w:t>
            </w:r>
          </w:p>
          <w:p w:rsidR="0059693B" w:rsidRPr="00674BDD" w:rsidRDefault="0059693B" w:rsidP="0059693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1.1.2015</w:t>
            </w:r>
          </w:p>
        </w:tc>
        <w:tc>
          <w:tcPr>
            <w:tcW w:w="1417"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Upravený</w:t>
            </w:r>
          </w:p>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31.12.2015</w:t>
            </w:r>
          </w:p>
        </w:tc>
        <w:tc>
          <w:tcPr>
            <w:tcW w:w="1418"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Čerpanie k</w:t>
            </w:r>
          </w:p>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31.12.2015</w:t>
            </w:r>
          </w:p>
        </w:tc>
        <w:tc>
          <w:tcPr>
            <w:tcW w:w="1417"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 čerpania k uprav. rozpočtu</w:t>
            </w:r>
          </w:p>
        </w:tc>
      </w:tr>
      <w:tr w:rsidR="00DD29C4" w:rsidRPr="00674BDD" w:rsidTr="0065668A">
        <w:tc>
          <w:tcPr>
            <w:tcW w:w="2410" w:type="dxa"/>
            <w:tcBorders>
              <w:top w:val="nil"/>
              <w:left w:val="single" w:sz="4" w:space="0" w:color="auto"/>
              <w:bottom w:val="nil"/>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rPr>
            </w:pPr>
            <w:r w:rsidRPr="00674BDD">
              <w:rPr>
                <w:rFonts w:ascii="Times New Roman" w:eastAsia="Times New Roman" w:hAnsi="Times New Roman" w:cs="Times New Roman"/>
              </w:rPr>
              <w:t>630 – tovary a služby</w:t>
            </w: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11S1</w:t>
            </w:r>
          </w:p>
        </w:tc>
        <w:tc>
          <w:tcPr>
            <w:tcW w:w="1559"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4 941 799,00</w:t>
            </w:r>
          </w:p>
        </w:tc>
        <w:tc>
          <w:tcPr>
            <w:tcW w:w="1417"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0,00</w:t>
            </w:r>
          </w:p>
        </w:tc>
        <w:tc>
          <w:tcPr>
            <w:tcW w:w="1418"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0,00</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 xml:space="preserve">   0,00</w:t>
            </w:r>
          </w:p>
        </w:tc>
      </w:tr>
      <w:tr w:rsidR="00DD29C4" w:rsidRPr="00674BDD" w:rsidTr="0065668A">
        <w:tc>
          <w:tcPr>
            <w:tcW w:w="2410" w:type="dxa"/>
            <w:tcBorders>
              <w:top w:val="nil"/>
              <w:left w:val="single" w:sz="4" w:space="0" w:color="auto"/>
              <w:bottom w:val="nil"/>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11S2</w:t>
            </w:r>
          </w:p>
        </w:tc>
        <w:tc>
          <w:tcPr>
            <w:tcW w:w="1559"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877 225,00</w:t>
            </w:r>
          </w:p>
        </w:tc>
        <w:tc>
          <w:tcPr>
            <w:tcW w:w="1417"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0,00</w:t>
            </w:r>
          </w:p>
        </w:tc>
        <w:tc>
          <w:tcPr>
            <w:tcW w:w="1418"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0,00</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 xml:space="preserve">   0,00</w:t>
            </w:r>
          </w:p>
        </w:tc>
      </w:tr>
      <w:tr w:rsidR="00DD29C4" w:rsidRPr="00674BDD" w:rsidTr="0065668A">
        <w:tc>
          <w:tcPr>
            <w:tcW w:w="2410" w:type="dxa"/>
            <w:tcBorders>
              <w:top w:val="nil"/>
              <w:left w:val="single" w:sz="4" w:space="0" w:color="auto"/>
              <w:bottom w:val="nil"/>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13S1</w:t>
            </w:r>
          </w:p>
        </w:tc>
        <w:tc>
          <w:tcPr>
            <w:tcW w:w="1559" w:type="dxa"/>
            <w:shd w:val="clear" w:color="auto" w:fill="auto"/>
          </w:tcPr>
          <w:p w:rsidR="00DD29C4" w:rsidRPr="00674BDD" w:rsidRDefault="00800C1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0,00</w:t>
            </w:r>
          </w:p>
        </w:tc>
        <w:tc>
          <w:tcPr>
            <w:tcW w:w="1417"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520 788,87</w:t>
            </w:r>
          </w:p>
        </w:tc>
        <w:tc>
          <w:tcPr>
            <w:tcW w:w="1418"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520 788,87</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100,00</w:t>
            </w:r>
          </w:p>
        </w:tc>
      </w:tr>
      <w:tr w:rsidR="00DD29C4" w:rsidRPr="00674BDD" w:rsidTr="0065668A">
        <w:tc>
          <w:tcPr>
            <w:tcW w:w="2410" w:type="dxa"/>
            <w:tcBorders>
              <w:top w:val="nil"/>
              <w:left w:val="single" w:sz="4" w:space="0" w:color="auto"/>
              <w:bottom w:val="nil"/>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13S2</w:t>
            </w:r>
          </w:p>
        </w:tc>
        <w:tc>
          <w:tcPr>
            <w:tcW w:w="1559" w:type="dxa"/>
            <w:shd w:val="clear" w:color="auto" w:fill="auto"/>
          </w:tcPr>
          <w:p w:rsidR="00DD29C4" w:rsidRPr="00674BDD" w:rsidRDefault="00800C1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0,00</w:t>
            </w:r>
          </w:p>
        </w:tc>
        <w:tc>
          <w:tcPr>
            <w:tcW w:w="1417"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91 903,96</w:t>
            </w:r>
          </w:p>
        </w:tc>
        <w:tc>
          <w:tcPr>
            <w:tcW w:w="1418"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91 903,96</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100,00</w:t>
            </w:r>
          </w:p>
        </w:tc>
      </w:tr>
      <w:tr w:rsidR="00DD29C4" w:rsidRPr="00674BDD" w:rsidTr="0065668A">
        <w:tc>
          <w:tcPr>
            <w:tcW w:w="2410" w:type="dxa"/>
            <w:tcBorders>
              <w:top w:val="single" w:sz="4" w:space="0" w:color="auto"/>
              <w:left w:val="single" w:sz="4" w:space="0" w:color="auto"/>
              <w:bottom w:val="single" w:sz="4" w:space="0" w:color="auto"/>
              <w:right w:val="single" w:sz="4" w:space="0" w:color="auto"/>
            </w:tcBorders>
            <w:shd w:val="clear" w:color="auto" w:fill="auto"/>
          </w:tcPr>
          <w:p w:rsidR="00DD29C4" w:rsidRPr="00674BDD" w:rsidRDefault="00DD29C4"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SPOLU 630</w:t>
            </w:r>
          </w:p>
        </w:tc>
        <w:tc>
          <w:tcPr>
            <w:tcW w:w="851" w:type="dxa"/>
            <w:tcBorders>
              <w:left w:val="single" w:sz="4" w:space="0" w:color="auto"/>
            </w:tcBorders>
          </w:tcPr>
          <w:p w:rsidR="00DD29C4" w:rsidRPr="00674BDD" w:rsidRDefault="00DD29C4" w:rsidP="009F1E9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DD29C4" w:rsidRPr="00674BDD" w:rsidRDefault="0012401B" w:rsidP="00F91C5F">
            <w:pPr>
              <w:autoSpaceDE w:val="0"/>
              <w:autoSpaceDN w:val="0"/>
              <w:adjustRightInd w:val="0"/>
              <w:spacing w:after="0" w:line="240" w:lineRule="auto"/>
              <w:jc w:val="right"/>
              <w:rPr>
                <w:rFonts w:ascii="Times New Roman" w:hAnsi="Times New Roman" w:cs="Times New Roman"/>
                <w:b/>
                <w:lang w:eastAsia="sk-SK"/>
              </w:rPr>
            </w:pPr>
            <w:r w:rsidRPr="00674BDD">
              <w:rPr>
                <w:rFonts w:ascii="Times New Roman" w:hAnsi="Times New Roman" w:cs="Times New Roman"/>
                <w:b/>
                <w:lang w:eastAsia="sk-SK"/>
              </w:rPr>
              <w:t>5 819 024,00</w:t>
            </w:r>
          </w:p>
        </w:tc>
        <w:tc>
          <w:tcPr>
            <w:tcW w:w="1417"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b/>
                <w:lang w:eastAsia="sk-SK"/>
              </w:rPr>
            </w:pPr>
            <w:r w:rsidRPr="00674BDD">
              <w:rPr>
                <w:rFonts w:ascii="Times New Roman" w:hAnsi="Times New Roman" w:cs="Times New Roman"/>
                <w:b/>
                <w:lang w:eastAsia="sk-SK"/>
              </w:rPr>
              <w:t>612 692,83</w:t>
            </w:r>
          </w:p>
        </w:tc>
        <w:tc>
          <w:tcPr>
            <w:tcW w:w="1418" w:type="dxa"/>
            <w:shd w:val="clear" w:color="auto" w:fill="auto"/>
          </w:tcPr>
          <w:p w:rsidR="00DD29C4" w:rsidRPr="00674BDD" w:rsidRDefault="00F91C5F" w:rsidP="00F91C5F">
            <w:pPr>
              <w:autoSpaceDE w:val="0"/>
              <w:autoSpaceDN w:val="0"/>
              <w:adjustRightInd w:val="0"/>
              <w:spacing w:after="0" w:line="240" w:lineRule="auto"/>
              <w:jc w:val="right"/>
              <w:rPr>
                <w:rFonts w:ascii="Times New Roman" w:hAnsi="Times New Roman" w:cs="Times New Roman"/>
                <w:b/>
                <w:lang w:eastAsia="sk-SK"/>
              </w:rPr>
            </w:pPr>
            <w:r w:rsidRPr="00674BDD">
              <w:rPr>
                <w:rFonts w:ascii="Times New Roman" w:hAnsi="Times New Roman" w:cs="Times New Roman"/>
                <w:b/>
                <w:lang w:eastAsia="sk-SK"/>
              </w:rPr>
              <w:t>612 692,83</w:t>
            </w:r>
          </w:p>
        </w:tc>
        <w:tc>
          <w:tcPr>
            <w:tcW w:w="1417" w:type="dxa"/>
            <w:shd w:val="clear" w:color="auto" w:fill="auto"/>
          </w:tcPr>
          <w:p w:rsidR="00DD29C4" w:rsidRPr="00674BDD" w:rsidRDefault="00F91C5F" w:rsidP="009F1E92">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100,00</w:t>
            </w:r>
          </w:p>
        </w:tc>
      </w:tr>
    </w:tbl>
    <w:p w:rsidR="00DD29C4" w:rsidRPr="00674BDD" w:rsidRDefault="00DD29C4" w:rsidP="009F1E92">
      <w:pPr>
        <w:spacing w:after="0" w:line="240" w:lineRule="auto"/>
        <w:jc w:val="both"/>
        <w:rPr>
          <w:rFonts w:ascii="Times New Roman" w:hAnsi="Times New Roman" w:cs="Times New Roman"/>
        </w:rPr>
      </w:pPr>
    </w:p>
    <w:p w:rsidR="00F85D3A" w:rsidRPr="003A3F3D" w:rsidRDefault="00DD29C4" w:rsidP="002E4598">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3A3F3D">
        <w:rPr>
          <w:rFonts w:ascii="Times New Roman" w:hAnsi="Times New Roman" w:cs="Times New Roman"/>
          <w:sz w:val="24"/>
          <w:szCs w:val="24"/>
        </w:rPr>
        <w:t xml:space="preserve">V rámci tohto opatrenia boli v sledovanom období  zo zdrojov 11S1, 11S2, 13S1 a 13S2 čerpané výdavky na tovary a služby v celkovej </w:t>
      </w:r>
      <w:r w:rsidR="00F85D3A" w:rsidRPr="003A3F3D">
        <w:rPr>
          <w:rFonts w:ascii="Times New Roman" w:hAnsi="Times New Roman" w:cs="Times New Roman"/>
          <w:sz w:val="24"/>
          <w:szCs w:val="24"/>
        </w:rPr>
        <w:t>sume 612 692,83</w:t>
      </w:r>
      <w:r w:rsidRPr="003A3F3D">
        <w:rPr>
          <w:rFonts w:ascii="Times New Roman" w:hAnsi="Times New Roman" w:cs="Times New Roman"/>
          <w:sz w:val="24"/>
          <w:szCs w:val="24"/>
        </w:rPr>
        <w:t xml:space="preserve">  </w:t>
      </w:r>
      <w:r w:rsidRPr="003A3F3D">
        <w:rPr>
          <w:rFonts w:ascii="Times New Roman" w:hAnsi="Times New Roman" w:cs="Times New Roman"/>
          <w:sz w:val="24"/>
          <w:szCs w:val="24"/>
          <w:lang w:eastAsia="sk-SK"/>
        </w:rPr>
        <w:t xml:space="preserve">eur. </w:t>
      </w:r>
      <w:r w:rsidR="002E4598" w:rsidRPr="003A3F3D">
        <w:rPr>
          <w:rFonts w:ascii="Times New Roman" w:hAnsi="Times New Roman" w:cs="Times New Roman"/>
          <w:sz w:val="24"/>
          <w:szCs w:val="24"/>
          <w:lang w:eastAsia="sk-SK"/>
        </w:rPr>
        <w:t xml:space="preserve"> Rozpočtové prostriedky boli použité na </w:t>
      </w:r>
      <w:r w:rsidR="00F85D3A" w:rsidRPr="003A3F3D">
        <w:rPr>
          <w:rFonts w:ascii="Times New Roman" w:hAnsi="Times New Roman" w:cs="Times New Roman"/>
          <w:sz w:val="24"/>
          <w:szCs w:val="24"/>
        </w:rPr>
        <w:t>financovanie materiálno – technického vybavenia oprávnených zamestnancov, výdavkov prípravy programového obdobia 2014-2020,  služieb advokátskej kancelárie pre OP KaHR, tlačených informačných materiálov o OP KaHR, vzdelávania zamestnancov Riadiaceho orgánu pre OP KaHR a výdavkov na zakúpenie vysielacieho času pre odvysielanie propagačných spotov o OP KaHR v celoplošných a regionálnych televíziách.</w:t>
      </w:r>
    </w:p>
    <w:p w:rsidR="000135F9" w:rsidRDefault="000135F9" w:rsidP="009F1E92">
      <w:pPr>
        <w:spacing w:after="0" w:line="240" w:lineRule="auto"/>
        <w:jc w:val="both"/>
        <w:rPr>
          <w:rFonts w:ascii="Times New Roman" w:hAnsi="Times New Roman" w:cs="Times New Roman"/>
          <w:sz w:val="24"/>
          <w:szCs w:val="24"/>
        </w:rPr>
      </w:pPr>
    </w:p>
    <w:p w:rsidR="001C4CE3" w:rsidRPr="009F1E92" w:rsidRDefault="001C4CE3" w:rsidP="009F1E92">
      <w:pPr>
        <w:spacing w:after="0" w:line="240" w:lineRule="auto"/>
        <w:jc w:val="both"/>
        <w:rPr>
          <w:rFonts w:ascii="Times New Roman" w:hAnsi="Times New Roman" w:cs="Times New Roman"/>
          <w:i/>
          <w:sz w:val="24"/>
          <w:szCs w:val="24"/>
        </w:rPr>
      </w:pPr>
      <w:r w:rsidRPr="000D2CC1">
        <w:rPr>
          <w:rFonts w:ascii="Times New Roman" w:hAnsi="Times New Roman" w:cs="Times New Roman"/>
          <w:i/>
          <w:sz w:val="24"/>
          <w:szCs w:val="24"/>
        </w:rPr>
        <w:t>08B 0A Rozvoj ochrany obyvateľov SR pred  chemickými zbraňami – rezort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816"/>
        <w:gridCol w:w="1393"/>
        <w:gridCol w:w="1560"/>
        <w:gridCol w:w="1275"/>
        <w:gridCol w:w="1701"/>
      </w:tblGrid>
      <w:tr w:rsidR="0059693B" w:rsidRPr="00674BDD" w:rsidTr="000D2CC1">
        <w:trPr>
          <w:trHeight w:val="727"/>
        </w:trPr>
        <w:tc>
          <w:tcPr>
            <w:tcW w:w="2327" w:type="dxa"/>
            <w:shd w:val="clear" w:color="auto" w:fill="auto"/>
          </w:tcPr>
          <w:p w:rsidR="0059693B" w:rsidRPr="00674BDD" w:rsidRDefault="0059693B"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Ekonomická</w:t>
            </w:r>
          </w:p>
          <w:p w:rsidR="0059693B" w:rsidRPr="00674BDD" w:rsidRDefault="0059693B" w:rsidP="009F1E92">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klasifikácia</w:t>
            </w:r>
          </w:p>
        </w:tc>
        <w:tc>
          <w:tcPr>
            <w:tcW w:w="816" w:type="dxa"/>
          </w:tcPr>
          <w:p w:rsidR="0059693B" w:rsidRPr="00674BDD" w:rsidRDefault="0059693B" w:rsidP="009F1E92">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Zdroj</w:t>
            </w:r>
          </w:p>
        </w:tc>
        <w:tc>
          <w:tcPr>
            <w:tcW w:w="1393" w:type="dxa"/>
            <w:shd w:val="clear" w:color="auto" w:fill="auto"/>
          </w:tcPr>
          <w:p w:rsidR="0059693B" w:rsidRPr="00674BDD" w:rsidRDefault="0059693B" w:rsidP="0059693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Schválený</w:t>
            </w:r>
          </w:p>
          <w:p w:rsidR="0059693B" w:rsidRPr="00674BDD" w:rsidRDefault="0059693B" w:rsidP="0059693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1.1.2015</w:t>
            </w:r>
          </w:p>
        </w:tc>
        <w:tc>
          <w:tcPr>
            <w:tcW w:w="1560"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Upravený</w:t>
            </w:r>
          </w:p>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31.12.2015</w:t>
            </w:r>
          </w:p>
        </w:tc>
        <w:tc>
          <w:tcPr>
            <w:tcW w:w="1275"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Čerpanie k</w:t>
            </w:r>
          </w:p>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31.12.2015</w:t>
            </w:r>
          </w:p>
        </w:tc>
        <w:tc>
          <w:tcPr>
            <w:tcW w:w="1701" w:type="dxa"/>
            <w:shd w:val="clear" w:color="auto" w:fill="auto"/>
          </w:tcPr>
          <w:p w:rsidR="0059693B" w:rsidRPr="00674BDD" w:rsidRDefault="0059693B" w:rsidP="00D35D8B">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 čerpania k uprav. rozpočtu</w:t>
            </w:r>
          </w:p>
        </w:tc>
      </w:tr>
      <w:tr w:rsidR="00032159" w:rsidRPr="00674BDD" w:rsidTr="000D2CC1">
        <w:tc>
          <w:tcPr>
            <w:tcW w:w="2327" w:type="dxa"/>
            <w:shd w:val="clear" w:color="auto" w:fill="auto"/>
          </w:tcPr>
          <w:p w:rsidR="00032159" w:rsidRPr="00674BDD" w:rsidRDefault="003C3BC8" w:rsidP="009F1E92">
            <w:pPr>
              <w:spacing w:after="0" w:line="240" w:lineRule="auto"/>
              <w:jc w:val="both"/>
              <w:rPr>
                <w:rFonts w:ascii="Times New Roman" w:eastAsia="Times New Roman" w:hAnsi="Times New Roman" w:cs="Times New Roman"/>
              </w:rPr>
            </w:pPr>
            <w:r w:rsidRPr="00674BDD">
              <w:rPr>
                <w:rFonts w:ascii="Times New Roman" w:eastAsia="Times New Roman" w:hAnsi="Times New Roman" w:cs="Times New Roman"/>
              </w:rPr>
              <w:t>630 – tovary a služby</w:t>
            </w:r>
          </w:p>
        </w:tc>
        <w:tc>
          <w:tcPr>
            <w:tcW w:w="816" w:type="dxa"/>
          </w:tcPr>
          <w:p w:rsidR="00032159" w:rsidRPr="00674BDD" w:rsidRDefault="00032159" w:rsidP="009F1E92">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11</w:t>
            </w:r>
            <w:r w:rsidR="003C3BC8" w:rsidRPr="00674BDD">
              <w:rPr>
                <w:rFonts w:ascii="Times New Roman" w:hAnsi="Times New Roman" w:cs="Times New Roman"/>
                <w:lang w:eastAsia="sk-SK"/>
              </w:rPr>
              <w:t>1</w:t>
            </w:r>
          </w:p>
        </w:tc>
        <w:tc>
          <w:tcPr>
            <w:tcW w:w="1393" w:type="dxa"/>
            <w:shd w:val="clear" w:color="auto" w:fill="auto"/>
          </w:tcPr>
          <w:p w:rsidR="00032159" w:rsidRPr="00674BDD" w:rsidRDefault="003C3BC8" w:rsidP="009F1E92">
            <w:pPr>
              <w:autoSpaceDE w:val="0"/>
              <w:autoSpaceDN w:val="0"/>
              <w:adjustRightInd w:val="0"/>
              <w:spacing w:after="0" w:line="240" w:lineRule="auto"/>
              <w:jc w:val="right"/>
              <w:rPr>
                <w:rFonts w:ascii="Times New Roman" w:hAnsi="Times New Roman" w:cs="Times New Roman"/>
                <w:lang w:eastAsia="sk-SK"/>
              </w:rPr>
            </w:pPr>
            <w:r w:rsidRPr="00674BDD">
              <w:rPr>
                <w:rFonts w:ascii="Times New Roman" w:hAnsi="Times New Roman" w:cs="Times New Roman"/>
                <w:lang w:eastAsia="sk-SK"/>
              </w:rPr>
              <w:t>35 000,00</w:t>
            </w:r>
          </w:p>
        </w:tc>
        <w:tc>
          <w:tcPr>
            <w:tcW w:w="1560" w:type="dxa"/>
            <w:shd w:val="clear" w:color="auto" w:fill="auto"/>
          </w:tcPr>
          <w:p w:rsidR="00032159" w:rsidRPr="00674BDD" w:rsidRDefault="000D2CC1" w:rsidP="009F1E92">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25 000,00</w:t>
            </w:r>
          </w:p>
        </w:tc>
        <w:tc>
          <w:tcPr>
            <w:tcW w:w="1275" w:type="dxa"/>
            <w:shd w:val="clear" w:color="auto" w:fill="auto"/>
          </w:tcPr>
          <w:p w:rsidR="00032159" w:rsidRPr="000D2CC1" w:rsidRDefault="000D2CC1" w:rsidP="000D2CC1">
            <w:pPr>
              <w:autoSpaceDE w:val="0"/>
              <w:autoSpaceDN w:val="0"/>
              <w:adjustRightInd w:val="0"/>
              <w:spacing w:after="0" w:line="240" w:lineRule="auto"/>
              <w:jc w:val="right"/>
              <w:rPr>
                <w:rFonts w:ascii="Times New Roman" w:hAnsi="Times New Roman" w:cs="Times New Roman"/>
                <w:lang w:eastAsia="sk-SK"/>
              </w:rPr>
            </w:pPr>
            <w:r w:rsidRPr="000D2CC1">
              <w:rPr>
                <w:rFonts w:ascii="Times New Roman" w:hAnsi="Times New Roman" w:cs="Times New Roman"/>
                <w:lang w:eastAsia="sk-SK"/>
              </w:rPr>
              <w:t>22 478,86</w:t>
            </w:r>
          </w:p>
        </w:tc>
        <w:tc>
          <w:tcPr>
            <w:tcW w:w="1701" w:type="dxa"/>
            <w:shd w:val="clear" w:color="auto" w:fill="auto"/>
          </w:tcPr>
          <w:p w:rsidR="00032159" w:rsidRPr="00674BDD" w:rsidRDefault="000D2CC1" w:rsidP="009F1E92">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89,92</w:t>
            </w:r>
          </w:p>
        </w:tc>
      </w:tr>
    </w:tbl>
    <w:p w:rsidR="00032159" w:rsidRPr="009F1E92" w:rsidRDefault="00032159" w:rsidP="009F1E92">
      <w:pPr>
        <w:spacing w:after="0" w:line="240" w:lineRule="auto"/>
        <w:jc w:val="both"/>
        <w:rPr>
          <w:rFonts w:ascii="Times New Roman" w:hAnsi="Times New Roman" w:cs="Times New Roman"/>
          <w:sz w:val="24"/>
          <w:szCs w:val="24"/>
        </w:rPr>
      </w:pPr>
    </w:p>
    <w:p w:rsidR="00BB6AA9" w:rsidRPr="00FB285C" w:rsidRDefault="008C225C" w:rsidP="00FB285C">
      <w:pPr>
        <w:autoSpaceDE w:val="0"/>
        <w:autoSpaceDN w:val="0"/>
        <w:adjustRightInd w:val="0"/>
        <w:spacing w:after="0" w:line="240" w:lineRule="auto"/>
        <w:ind w:firstLine="567"/>
        <w:jc w:val="both"/>
        <w:rPr>
          <w:rFonts w:ascii="Times New Roman" w:hAnsi="Times New Roman" w:cs="Times New Roman"/>
          <w:bCs/>
          <w:sz w:val="24"/>
          <w:szCs w:val="24"/>
        </w:rPr>
      </w:pPr>
      <w:r w:rsidRPr="00FB285C">
        <w:rPr>
          <w:rFonts w:ascii="Times New Roman" w:hAnsi="Times New Roman" w:cs="Times New Roman"/>
          <w:sz w:val="24"/>
          <w:szCs w:val="24"/>
        </w:rPr>
        <w:t>Pre tento medzirezortný podprogram bola rozpisom ro</w:t>
      </w:r>
      <w:r w:rsidR="00674BDD" w:rsidRPr="00FB285C">
        <w:rPr>
          <w:rFonts w:ascii="Times New Roman" w:hAnsi="Times New Roman" w:cs="Times New Roman"/>
          <w:sz w:val="24"/>
          <w:szCs w:val="24"/>
        </w:rPr>
        <w:t xml:space="preserve">zpočtu schválená výška výdavkov na tovary a služby v sume </w:t>
      </w:r>
      <w:r w:rsidRPr="00FB285C">
        <w:rPr>
          <w:rFonts w:ascii="Times New Roman" w:hAnsi="Times New Roman" w:cs="Times New Roman"/>
          <w:sz w:val="24"/>
          <w:szCs w:val="24"/>
        </w:rPr>
        <w:t xml:space="preserve">35 000,00 eur. </w:t>
      </w:r>
      <w:r w:rsidR="00BB6AA9" w:rsidRPr="00FB285C">
        <w:rPr>
          <w:rFonts w:ascii="Times New Roman" w:hAnsi="Times New Roman" w:cs="Times New Roman"/>
          <w:bCs/>
          <w:sz w:val="24"/>
          <w:szCs w:val="24"/>
        </w:rPr>
        <w:t xml:space="preserve">Rozpočtovým opatrením MF SR bol rozpočet upravený na sumu 25 000,00 eur. Rozpočtové prostriedky v medzirezortnom podprograme boli v roku 2015 určené na plnenie realizačných a koordinačných opatrení v zabezpečovaní ochrany proti účinkom chemických zbraní, ktoré pre MH SR vyplývajú z uznesenia vlády SR č. 97/2011 zo 16. februára 2011 prijatého k programu ďalšieho rozvoja ochrany obyvateľov SR proti chemickým zbraniam. </w:t>
      </w:r>
    </w:p>
    <w:p w:rsidR="00735173" w:rsidRDefault="00BB6AA9" w:rsidP="00FB285C">
      <w:pPr>
        <w:autoSpaceDE w:val="0"/>
        <w:autoSpaceDN w:val="0"/>
        <w:adjustRightInd w:val="0"/>
        <w:spacing w:after="0" w:line="240" w:lineRule="auto"/>
        <w:ind w:firstLine="567"/>
        <w:jc w:val="both"/>
        <w:rPr>
          <w:rFonts w:ascii="Times New Roman" w:hAnsi="Times New Roman" w:cs="Times New Roman"/>
          <w:bCs/>
          <w:sz w:val="24"/>
          <w:szCs w:val="24"/>
        </w:rPr>
      </w:pPr>
      <w:r w:rsidRPr="00FB285C">
        <w:rPr>
          <w:rFonts w:ascii="Times New Roman" w:hAnsi="Times New Roman" w:cs="Times New Roman"/>
          <w:bCs/>
          <w:sz w:val="24"/>
          <w:szCs w:val="24"/>
        </w:rPr>
        <w:t xml:space="preserve">Rozpočtové prostriedky boli čerpané na zabezpečenie výcviku expertov členských štátov Organizácie pre zákaz chemických zbraní a výcviku inšpektorov Organizácie pre zákaz chemických zbraní s toxickými chemickými látkami v sume </w:t>
      </w:r>
      <w:r w:rsidRPr="00FB285C">
        <w:rPr>
          <w:rFonts w:ascii="Times New Roman" w:hAnsi="Times New Roman" w:cs="Times New Roman"/>
          <w:sz w:val="24"/>
          <w:szCs w:val="24"/>
          <w:lang w:eastAsia="sk-SK"/>
        </w:rPr>
        <w:t>22 478,86 eur, t. j. 89,92</w:t>
      </w:r>
      <w:r w:rsidRPr="00FB285C">
        <w:rPr>
          <w:rFonts w:ascii="Times New Roman" w:hAnsi="Times New Roman" w:cs="Times New Roman"/>
          <w:bCs/>
          <w:sz w:val="24"/>
          <w:szCs w:val="24"/>
        </w:rPr>
        <w:t xml:space="preserve"> %. </w:t>
      </w:r>
    </w:p>
    <w:p w:rsidR="00FB285C" w:rsidRPr="00FB285C" w:rsidRDefault="00FB285C" w:rsidP="00FB285C">
      <w:pPr>
        <w:autoSpaceDE w:val="0"/>
        <w:autoSpaceDN w:val="0"/>
        <w:adjustRightInd w:val="0"/>
        <w:spacing w:after="0" w:line="240" w:lineRule="auto"/>
        <w:ind w:firstLine="567"/>
        <w:jc w:val="both"/>
        <w:rPr>
          <w:rFonts w:ascii="Times New Roman" w:hAnsi="Times New Roman" w:cs="Times New Roman"/>
          <w:bCs/>
          <w:sz w:val="24"/>
          <w:szCs w:val="24"/>
        </w:rPr>
      </w:pPr>
    </w:p>
    <w:p w:rsidR="00735173" w:rsidRPr="005C5931" w:rsidRDefault="00735173" w:rsidP="005D134B">
      <w:pPr>
        <w:pStyle w:val="Zkladntext2"/>
        <w:spacing w:after="0" w:line="240" w:lineRule="auto"/>
        <w:rPr>
          <w:bCs/>
          <w:i/>
        </w:rPr>
      </w:pPr>
      <w:r w:rsidRPr="005C5931">
        <w:rPr>
          <w:bCs/>
          <w:i/>
        </w:rPr>
        <w:t>0A9</w:t>
      </w:r>
      <w:r w:rsidR="005C5931">
        <w:rPr>
          <w:bCs/>
          <w:i/>
        </w:rPr>
        <w:t xml:space="preserve"> </w:t>
      </w:r>
      <w:r w:rsidRPr="005C5931">
        <w:rPr>
          <w:bCs/>
          <w:i/>
        </w:rPr>
        <w:t>0G</w:t>
      </w:r>
      <w:r w:rsidR="005C5931">
        <w:rPr>
          <w:bCs/>
          <w:i/>
        </w:rPr>
        <w:t xml:space="preserve"> 0</w:t>
      </w:r>
      <w:r w:rsidRPr="005C5931">
        <w:rPr>
          <w:bCs/>
          <w:i/>
        </w:rPr>
        <w:t xml:space="preserve">1 Elektronizácia služieb MH SR </w:t>
      </w:r>
    </w:p>
    <w:p w:rsidR="00735173" w:rsidRPr="007D774A" w:rsidRDefault="00735173" w:rsidP="00735173">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7"/>
        <w:gridCol w:w="816"/>
        <w:gridCol w:w="1393"/>
        <w:gridCol w:w="1560"/>
        <w:gridCol w:w="1275"/>
        <w:gridCol w:w="1701"/>
      </w:tblGrid>
      <w:tr w:rsidR="00735173" w:rsidRPr="00674BDD" w:rsidTr="00916F6B">
        <w:trPr>
          <w:trHeight w:val="727"/>
        </w:trPr>
        <w:tc>
          <w:tcPr>
            <w:tcW w:w="2327" w:type="dxa"/>
            <w:tcBorders>
              <w:bottom w:val="single" w:sz="4" w:space="0" w:color="auto"/>
            </w:tcBorders>
            <w:shd w:val="clear" w:color="auto" w:fill="auto"/>
          </w:tcPr>
          <w:p w:rsidR="00735173" w:rsidRPr="00674BDD" w:rsidRDefault="00735173" w:rsidP="0036403E">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Ekonomická</w:t>
            </w:r>
          </w:p>
          <w:p w:rsidR="00735173" w:rsidRPr="00674BDD" w:rsidRDefault="00735173" w:rsidP="0036403E">
            <w:pPr>
              <w:spacing w:after="0" w:line="240" w:lineRule="auto"/>
              <w:jc w:val="both"/>
              <w:rPr>
                <w:rFonts w:ascii="Times New Roman" w:eastAsia="Times New Roman" w:hAnsi="Times New Roman" w:cs="Times New Roman"/>
                <w:b/>
              </w:rPr>
            </w:pPr>
            <w:r w:rsidRPr="00674BDD">
              <w:rPr>
                <w:rFonts w:ascii="Times New Roman" w:eastAsia="Times New Roman" w:hAnsi="Times New Roman" w:cs="Times New Roman"/>
                <w:b/>
              </w:rPr>
              <w:t>klasifikácia</w:t>
            </w:r>
          </w:p>
        </w:tc>
        <w:tc>
          <w:tcPr>
            <w:tcW w:w="816" w:type="dxa"/>
            <w:tcBorders>
              <w:bottom w:val="single" w:sz="4" w:space="0" w:color="auto"/>
            </w:tcBorders>
          </w:tcPr>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Zdroj</w:t>
            </w:r>
          </w:p>
        </w:tc>
        <w:tc>
          <w:tcPr>
            <w:tcW w:w="1393" w:type="dxa"/>
            <w:tcBorders>
              <w:bottom w:val="single" w:sz="4" w:space="0" w:color="auto"/>
            </w:tcBorders>
            <w:shd w:val="clear" w:color="auto" w:fill="auto"/>
          </w:tcPr>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Schválený</w:t>
            </w:r>
          </w:p>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1.1.2015</w:t>
            </w:r>
          </w:p>
        </w:tc>
        <w:tc>
          <w:tcPr>
            <w:tcW w:w="1560" w:type="dxa"/>
            <w:tcBorders>
              <w:bottom w:val="single" w:sz="4" w:space="0" w:color="auto"/>
            </w:tcBorders>
            <w:shd w:val="clear" w:color="auto" w:fill="auto"/>
          </w:tcPr>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Upravený</w:t>
            </w:r>
          </w:p>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rozpočet k 31.12.2015</w:t>
            </w:r>
          </w:p>
        </w:tc>
        <w:tc>
          <w:tcPr>
            <w:tcW w:w="1275" w:type="dxa"/>
            <w:tcBorders>
              <w:bottom w:val="single" w:sz="4" w:space="0" w:color="auto"/>
            </w:tcBorders>
            <w:shd w:val="clear" w:color="auto" w:fill="auto"/>
          </w:tcPr>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Čerpanie k</w:t>
            </w:r>
          </w:p>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31.12.2015</w:t>
            </w:r>
          </w:p>
        </w:tc>
        <w:tc>
          <w:tcPr>
            <w:tcW w:w="1701" w:type="dxa"/>
            <w:tcBorders>
              <w:bottom w:val="single" w:sz="4" w:space="0" w:color="auto"/>
            </w:tcBorders>
            <w:shd w:val="clear" w:color="auto" w:fill="auto"/>
          </w:tcPr>
          <w:p w:rsidR="00735173" w:rsidRPr="00674BDD" w:rsidRDefault="00735173" w:rsidP="0036403E">
            <w:pPr>
              <w:spacing w:after="0" w:line="240" w:lineRule="auto"/>
              <w:jc w:val="center"/>
              <w:rPr>
                <w:rFonts w:ascii="Times New Roman" w:eastAsia="Times New Roman" w:hAnsi="Times New Roman" w:cs="Times New Roman"/>
                <w:b/>
              </w:rPr>
            </w:pPr>
            <w:r w:rsidRPr="00674BDD">
              <w:rPr>
                <w:rFonts w:ascii="Times New Roman" w:eastAsia="Times New Roman" w:hAnsi="Times New Roman" w:cs="Times New Roman"/>
                <w:b/>
              </w:rPr>
              <w:t>% čerpania k uprav. rozpočtu</w:t>
            </w:r>
          </w:p>
        </w:tc>
      </w:tr>
      <w:tr w:rsidR="00735173" w:rsidRPr="00674BDD" w:rsidTr="00916F6B">
        <w:tc>
          <w:tcPr>
            <w:tcW w:w="2327" w:type="dxa"/>
            <w:tcBorders>
              <w:top w:val="single" w:sz="4" w:space="0" w:color="auto"/>
              <w:left w:val="single" w:sz="4" w:space="0" w:color="auto"/>
              <w:bottom w:val="single" w:sz="4" w:space="0" w:color="auto"/>
              <w:right w:val="single" w:sz="4" w:space="0" w:color="auto"/>
            </w:tcBorders>
            <w:shd w:val="clear" w:color="auto" w:fill="auto"/>
          </w:tcPr>
          <w:p w:rsidR="00735173" w:rsidRDefault="00735173" w:rsidP="00554F69">
            <w:pPr>
              <w:spacing w:after="0" w:line="240" w:lineRule="auto"/>
              <w:jc w:val="center"/>
              <w:rPr>
                <w:rFonts w:ascii="Times New Roman" w:eastAsia="Times New Roman" w:hAnsi="Times New Roman" w:cs="Times New Roman"/>
              </w:rPr>
            </w:pPr>
            <w:r w:rsidRPr="00674BDD">
              <w:rPr>
                <w:rFonts w:ascii="Times New Roman" w:eastAsia="Times New Roman" w:hAnsi="Times New Roman" w:cs="Times New Roman"/>
              </w:rPr>
              <w:t>630 – tovary a</w:t>
            </w:r>
            <w:r w:rsidR="00554F69">
              <w:rPr>
                <w:rFonts w:ascii="Times New Roman" w:eastAsia="Times New Roman" w:hAnsi="Times New Roman" w:cs="Times New Roman"/>
              </w:rPr>
              <w:t> </w:t>
            </w:r>
            <w:r w:rsidRPr="00674BDD">
              <w:rPr>
                <w:rFonts w:ascii="Times New Roman" w:eastAsia="Times New Roman" w:hAnsi="Times New Roman" w:cs="Times New Roman"/>
              </w:rPr>
              <w:t>služby</w:t>
            </w:r>
          </w:p>
          <w:p w:rsidR="00554F69" w:rsidRDefault="00554F69" w:rsidP="00554F69">
            <w:pPr>
              <w:spacing w:after="0" w:line="240" w:lineRule="auto"/>
              <w:jc w:val="center"/>
              <w:rPr>
                <w:rFonts w:ascii="Times New Roman" w:eastAsia="Times New Roman" w:hAnsi="Times New Roman" w:cs="Times New Roman"/>
              </w:rPr>
            </w:pPr>
          </w:p>
          <w:p w:rsidR="00554F69" w:rsidRDefault="00554F69" w:rsidP="00554F69">
            <w:pPr>
              <w:spacing w:after="0" w:line="240" w:lineRule="auto"/>
              <w:jc w:val="center"/>
              <w:rPr>
                <w:rFonts w:ascii="Times New Roman" w:eastAsia="Times New Roman" w:hAnsi="Times New Roman" w:cs="Times New Roman"/>
              </w:rPr>
            </w:pPr>
          </w:p>
          <w:p w:rsidR="00554F69" w:rsidRDefault="00554F69" w:rsidP="00554F69">
            <w:pPr>
              <w:spacing w:after="0" w:line="240" w:lineRule="auto"/>
              <w:jc w:val="center"/>
              <w:rPr>
                <w:rFonts w:ascii="Times New Roman" w:eastAsia="Times New Roman" w:hAnsi="Times New Roman" w:cs="Times New Roman"/>
              </w:rPr>
            </w:pPr>
          </w:p>
          <w:p w:rsidR="00554F69" w:rsidRDefault="00554F69" w:rsidP="00554F69">
            <w:pPr>
              <w:spacing w:after="0" w:line="240" w:lineRule="auto"/>
              <w:jc w:val="center"/>
              <w:rPr>
                <w:rFonts w:ascii="Times New Roman" w:eastAsia="Times New Roman" w:hAnsi="Times New Roman" w:cs="Times New Roman"/>
              </w:rPr>
            </w:pPr>
          </w:p>
          <w:p w:rsidR="00554F69" w:rsidRDefault="00554F69" w:rsidP="00554F69">
            <w:pPr>
              <w:spacing w:after="0" w:line="240" w:lineRule="auto"/>
              <w:rPr>
                <w:rFonts w:ascii="Times New Roman" w:eastAsia="Times New Roman" w:hAnsi="Times New Roman" w:cs="Times New Roman"/>
              </w:rPr>
            </w:pPr>
          </w:p>
          <w:p w:rsidR="00554F69" w:rsidRPr="00554F69" w:rsidRDefault="00554F69" w:rsidP="00554F69">
            <w:pPr>
              <w:spacing w:after="0" w:line="240" w:lineRule="auto"/>
              <w:rPr>
                <w:rFonts w:ascii="Times New Roman" w:eastAsia="Times New Roman" w:hAnsi="Times New Roman" w:cs="Times New Roman"/>
                <w:b/>
              </w:rPr>
            </w:pPr>
            <w:r w:rsidRPr="00554F69">
              <w:rPr>
                <w:rFonts w:ascii="Times New Roman" w:eastAsia="Times New Roman" w:hAnsi="Times New Roman" w:cs="Times New Roman"/>
                <w:b/>
              </w:rPr>
              <w:t>SPOLU 630</w:t>
            </w:r>
          </w:p>
        </w:tc>
        <w:tc>
          <w:tcPr>
            <w:tcW w:w="816" w:type="dxa"/>
            <w:tcBorders>
              <w:top w:val="single" w:sz="4" w:space="0" w:color="auto"/>
              <w:left w:val="single" w:sz="4" w:space="0" w:color="auto"/>
              <w:bottom w:val="single" w:sz="4" w:space="0" w:color="auto"/>
              <w:right w:val="single" w:sz="4" w:space="0" w:color="auto"/>
            </w:tcBorders>
          </w:tcPr>
          <w:p w:rsidR="00735173" w:rsidRDefault="00735173" w:rsidP="0036403E">
            <w:pPr>
              <w:autoSpaceDE w:val="0"/>
              <w:autoSpaceDN w:val="0"/>
              <w:adjustRightInd w:val="0"/>
              <w:spacing w:after="0" w:line="240" w:lineRule="auto"/>
              <w:jc w:val="center"/>
              <w:rPr>
                <w:rFonts w:ascii="Times New Roman" w:hAnsi="Times New Roman" w:cs="Times New Roman"/>
                <w:lang w:eastAsia="sk-SK"/>
              </w:rPr>
            </w:pPr>
            <w:r w:rsidRPr="00674BDD">
              <w:rPr>
                <w:rFonts w:ascii="Times New Roman" w:hAnsi="Times New Roman" w:cs="Times New Roman"/>
                <w:lang w:eastAsia="sk-SK"/>
              </w:rPr>
              <w:t>11</w:t>
            </w:r>
            <w:r>
              <w:rPr>
                <w:rFonts w:ascii="Times New Roman" w:hAnsi="Times New Roman" w:cs="Times New Roman"/>
                <w:lang w:eastAsia="sk-SK"/>
              </w:rPr>
              <w:t>S</w:t>
            </w:r>
            <w:r w:rsidRPr="00674BDD">
              <w:rPr>
                <w:rFonts w:ascii="Times New Roman" w:hAnsi="Times New Roman" w:cs="Times New Roman"/>
                <w:lang w:eastAsia="sk-SK"/>
              </w:rPr>
              <w:t>1</w:t>
            </w:r>
          </w:p>
          <w:p w:rsidR="00735173" w:rsidRDefault="00735173" w:rsidP="0036403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11S2</w:t>
            </w:r>
          </w:p>
          <w:p w:rsidR="00735173" w:rsidRDefault="00755044" w:rsidP="0036403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11S3</w:t>
            </w:r>
          </w:p>
          <w:p w:rsidR="00755044" w:rsidRDefault="00755044" w:rsidP="0036403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13S1</w:t>
            </w:r>
          </w:p>
          <w:p w:rsidR="00755044" w:rsidRDefault="00755044" w:rsidP="0036403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13S2</w:t>
            </w:r>
          </w:p>
          <w:p w:rsidR="00755044" w:rsidRPr="00674BDD" w:rsidRDefault="00755044" w:rsidP="0036403E">
            <w:pPr>
              <w:autoSpaceDE w:val="0"/>
              <w:autoSpaceDN w:val="0"/>
              <w:adjustRightInd w:val="0"/>
              <w:spacing w:after="0" w:line="240" w:lineRule="auto"/>
              <w:jc w:val="center"/>
              <w:rPr>
                <w:rFonts w:ascii="Times New Roman" w:hAnsi="Times New Roman" w:cs="Times New Roman"/>
                <w:lang w:eastAsia="sk-SK"/>
              </w:rPr>
            </w:pPr>
            <w:r>
              <w:rPr>
                <w:rFonts w:ascii="Times New Roman" w:hAnsi="Times New Roman" w:cs="Times New Roman"/>
                <w:lang w:eastAsia="sk-SK"/>
              </w:rPr>
              <w:t>13</w:t>
            </w:r>
            <w:r w:rsidR="00554F69">
              <w:rPr>
                <w:rFonts w:ascii="Times New Roman" w:hAnsi="Times New Roman" w:cs="Times New Roman"/>
                <w:lang w:eastAsia="sk-SK"/>
              </w:rPr>
              <w:t>S3</w:t>
            </w:r>
          </w:p>
        </w:tc>
        <w:tc>
          <w:tcPr>
            <w:tcW w:w="1393" w:type="dxa"/>
            <w:tcBorders>
              <w:top w:val="single" w:sz="4" w:space="0" w:color="auto"/>
              <w:left w:val="single" w:sz="4" w:space="0" w:color="auto"/>
              <w:bottom w:val="single" w:sz="4" w:space="0" w:color="auto"/>
              <w:right w:val="single" w:sz="4" w:space="0" w:color="auto"/>
            </w:tcBorders>
            <w:shd w:val="clear" w:color="auto" w:fill="auto"/>
          </w:tcPr>
          <w:p w:rsidR="00735173" w:rsidRDefault="00735173" w:rsidP="0036403E">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54F69" w:rsidRDefault="00554F69" w:rsidP="0036403E">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54F69" w:rsidRDefault="00554F69" w:rsidP="0036403E">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54F69" w:rsidRDefault="00554F69" w:rsidP="0036403E">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54F69" w:rsidRDefault="00554F69" w:rsidP="0036403E">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54F69" w:rsidRDefault="00554F69" w:rsidP="0036403E">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0,00</w:t>
            </w:r>
          </w:p>
          <w:p w:rsidR="00554F69" w:rsidRPr="0036403E" w:rsidRDefault="00554F69" w:rsidP="0036403E">
            <w:pPr>
              <w:autoSpaceDE w:val="0"/>
              <w:autoSpaceDN w:val="0"/>
              <w:adjustRightInd w:val="0"/>
              <w:spacing w:after="0" w:line="240" w:lineRule="auto"/>
              <w:jc w:val="right"/>
              <w:rPr>
                <w:rFonts w:ascii="Times New Roman" w:hAnsi="Times New Roman" w:cs="Times New Roman"/>
                <w:b/>
                <w:lang w:eastAsia="sk-SK"/>
              </w:rPr>
            </w:pPr>
            <w:r w:rsidRPr="0036403E">
              <w:rPr>
                <w:rFonts w:ascii="Times New Roman" w:hAnsi="Times New Roman" w:cs="Times New Roman"/>
                <w:b/>
                <w:lang w:eastAsia="sk-SK"/>
              </w:rPr>
              <w:t>0,00</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735173" w:rsidRPr="00554F69" w:rsidRDefault="00735173"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60 283,09</w:t>
            </w:r>
          </w:p>
          <w:p w:rsidR="00735173" w:rsidRPr="00554F69" w:rsidRDefault="00735173"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10 638,05</w:t>
            </w:r>
          </w:p>
          <w:p w:rsidR="00735173" w:rsidRPr="00554F69" w:rsidRDefault="00755044"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9 125,23</w:t>
            </w:r>
          </w:p>
          <w:p w:rsidR="00755044" w:rsidRPr="00554F69" w:rsidRDefault="00755044"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101 545,99</w:t>
            </w:r>
          </w:p>
          <w:p w:rsidR="00755044" w:rsidRPr="00554F69" w:rsidRDefault="00755044"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17 919,88</w:t>
            </w:r>
          </w:p>
          <w:p w:rsidR="00554F69" w:rsidRPr="00554F69" w:rsidRDefault="00554F69"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15 371,45</w:t>
            </w:r>
          </w:p>
          <w:p w:rsidR="00554F69" w:rsidRPr="0036403E" w:rsidRDefault="00554F69" w:rsidP="0036403E">
            <w:pPr>
              <w:autoSpaceDE w:val="0"/>
              <w:autoSpaceDN w:val="0"/>
              <w:adjustRightInd w:val="0"/>
              <w:spacing w:after="0" w:line="240" w:lineRule="auto"/>
              <w:jc w:val="right"/>
              <w:rPr>
                <w:rFonts w:ascii="Times New Roman" w:hAnsi="Times New Roman" w:cs="Times New Roman"/>
                <w:b/>
                <w:lang w:eastAsia="sk-SK"/>
              </w:rPr>
            </w:pPr>
            <w:r w:rsidRPr="0036403E">
              <w:rPr>
                <w:rFonts w:ascii="Times New Roman" w:hAnsi="Times New Roman" w:cs="Times New Roman"/>
                <w:b/>
                <w:lang w:eastAsia="sk-SK"/>
              </w:rPr>
              <w:t>214 883,69</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735173" w:rsidRPr="00554F69" w:rsidRDefault="00735173"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60 283,09</w:t>
            </w:r>
          </w:p>
          <w:p w:rsidR="00735173" w:rsidRPr="00554F69" w:rsidRDefault="00735173"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10 638,05</w:t>
            </w:r>
          </w:p>
          <w:p w:rsidR="00735173" w:rsidRPr="00554F69" w:rsidRDefault="00755044"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9 125,23</w:t>
            </w:r>
          </w:p>
          <w:p w:rsidR="00755044" w:rsidRPr="00554F69" w:rsidRDefault="00755044"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101 545,99</w:t>
            </w:r>
          </w:p>
          <w:p w:rsidR="00755044" w:rsidRPr="00554F69" w:rsidRDefault="00755044"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17 919,88</w:t>
            </w:r>
          </w:p>
          <w:p w:rsidR="00554F69" w:rsidRPr="00554F69" w:rsidRDefault="00554F69" w:rsidP="0036403E">
            <w:pPr>
              <w:autoSpaceDE w:val="0"/>
              <w:autoSpaceDN w:val="0"/>
              <w:adjustRightInd w:val="0"/>
              <w:spacing w:after="0" w:line="240" w:lineRule="auto"/>
              <w:jc w:val="right"/>
              <w:rPr>
                <w:rFonts w:ascii="Times New Roman" w:hAnsi="Times New Roman" w:cs="Times New Roman"/>
                <w:lang w:eastAsia="sk-SK"/>
              </w:rPr>
            </w:pPr>
            <w:r w:rsidRPr="00554F69">
              <w:rPr>
                <w:rFonts w:ascii="Times New Roman" w:hAnsi="Times New Roman" w:cs="Times New Roman"/>
                <w:lang w:eastAsia="sk-SK"/>
              </w:rPr>
              <w:t>15 371,45</w:t>
            </w:r>
          </w:p>
          <w:p w:rsidR="00554F69" w:rsidRPr="0036403E" w:rsidRDefault="00554F69" w:rsidP="0036403E">
            <w:pPr>
              <w:autoSpaceDE w:val="0"/>
              <w:autoSpaceDN w:val="0"/>
              <w:adjustRightInd w:val="0"/>
              <w:spacing w:after="0" w:line="240" w:lineRule="auto"/>
              <w:jc w:val="right"/>
              <w:rPr>
                <w:rFonts w:ascii="Times New Roman" w:hAnsi="Times New Roman" w:cs="Times New Roman"/>
                <w:b/>
                <w:lang w:eastAsia="sk-SK"/>
              </w:rPr>
            </w:pPr>
            <w:r w:rsidRPr="0036403E">
              <w:rPr>
                <w:rFonts w:ascii="Times New Roman" w:hAnsi="Times New Roman" w:cs="Times New Roman"/>
                <w:b/>
                <w:lang w:eastAsia="sk-SK"/>
              </w:rPr>
              <w:t>214 883,69</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35173" w:rsidRPr="00554F69" w:rsidRDefault="00554F69" w:rsidP="0036403E">
            <w:pPr>
              <w:spacing w:after="0" w:line="240" w:lineRule="auto"/>
              <w:jc w:val="center"/>
              <w:rPr>
                <w:rFonts w:ascii="Times New Roman" w:eastAsia="Times New Roman" w:hAnsi="Times New Roman" w:cs="Times New Roman"/>
              </w:rPr>
            </w:pPr>
            <w:r w:rsidRPr="00554F69">
              <w:rPr>
                <w:rFonts w:ascii="Times New Roman" w:eastAsia="Times New Roman" w:hAnsi="Times New Roman" w:cs="Times New Roman"/>
              </w:rPr>
              <w:t>100,00</w:t>
            </w:r>
          </w:p>
          <w:p w:rsidR="00554F69" w:rsidRPr="00554F69" w:rsidRDefault="00554F69" w:rsidP="0036403E">
            <w:pPr>
              <w:spacing w:after="0" w:line="240" w:lineRule="auto"/>
              <w:jc w:val="center"/>
              <w:rPr>
                <w:rFonts w:ascii="Times New Roman" w:eastAsia="Times New Roman" w:hAnsi="Times New Roman" w:cs="Times New Roman"/>
              </w:rPr>
            </w:pPr>
            <w:r w:rsidRPr="00554F69">
              <w:rPr>
                <w:rFonts w:ascii="Times New Roman" w:eastAsia="Times New Roman" w:hAnsi="Times New Roman" w:cs="Times New Roman"/>
              </w:rPr>
              <w:t>100,00</w:t>
            </w:r>
          </w:p>
          <w:p w:rsidR="00554F69" w:rsidRPr="00554F69" w:rsidRDefault="00554F69" w:rsidP="0036403E">
            <w:pPr>
              <w:spacing w:after="0" w:line="240" w:lineRule="auto"/>
              <w:jc w:val="center"/>
              <w:rPr>
                <w:rFonts w:ascii="Times New Roman" w:eastAsia="Times New Roman" w:hAnsi="Times New Roman" w:cs="Times New Roman"/>
              </w:rPr>
            </w:pPr>
            <w:r w:rsidRPr="00554F69">
              <w:rPr>
                <w:rFonts w:ascii="Times New Roman" w:eastAsia="Times New Roman" w:hAnsi="Times New Roman" w:cs="Times New Roman"/>
              </w:rPr>
              <w:t>100,00</w:t>
            </w:r>
          </w:p>
          <w:p w:rsidR="00554F69" w:rsidRPr="00554F69" w:rsidRDefault="00554F69" w:rsidP="0036403E">
            <w:pPr>
              <w:spacing w:after="0" w:line="240" w:lineRule="auto"/>
              <w:jc w:val="center"/>
              <w:rPr>
                <w:rFonts w:ascii="Times New Roman" w:eastAsia="Times New Roman" w:hAnsi="Times New Roman" w:cs="Times New Roman"/>
              </w:rPr>
            </w:pPr>
            <w:r w:rsidRPr="00554F69">
              <w:rPr>
                <w:rFonts w:ascii="Times New Roman" w:eastAsia="Times New Roman" w:hAnsi="Times New Roman" w:cs="Times New Roman"/>
              </w:rPr>
              <w:t>100,00</w:t>
            </w:r>
          </w:p>
          <w:p w:rsidR="00554F69" w:rsidRPr="00554F69" w:rsidRDefault="00554F69" w:rsidP="0036403E">
            <w:pPr>
              <w:spacing w:after="0" w:line="240" w:lineRule="auto"/>
              <w:jc w:val="center"/>
              <w:rPr>
                <w:rFonts w:ascii="Times New Roman" w:eastAsia="Times New Roman" w:hAnsi="Times New Roman" w:cs="Times New Roman"/>
              </w:rPr>
            </w:pPr>
            <w:r w:rsidRPr="00554F69">
              <w:rPr>
                <w:rFonts w:ascii="Times New Roman" w:eastAsia="Times New Roman" w:hAnsi="Times New Roman" w:cs="Times New Roman"/>
              </w:rPr>
              <w:t>100,00</w:t>
            </w:r>
          </w:p>
          <w:p w:rsidR="00554F69" w:rsidRPr="00554F69" w:rsidRDefault="00554F69" w:rsidP="0036403E">
            <w:pPr>
              <w:spacing w:after="0" w:line="240" w:lineRule="auto"/>
              <w:jc w:val="center"/>
              <w:rPr>
                <w:rFonts w:ascii="Times New Roman" w:eastAsia="Times New Roman" w:hAnsi="Times New Roman" w:cs="Times New Roman"/>
              </w:rPr>
            </w:pPr>
            <w:r w:rsidRPr="00554F69">
              <w:rPr>
                <w:rFonts w:ascii="Times New Roman" w:eastAsia="Times New Roman" w:hAnsi="Times New Roman" w:cs="Times New Roman"/>
              </w:rPr>
              <w:t>100,00</w:t>
            </w:r>
          </w:p>
          <w:p w:rsidR="00554F69" w:rsidRPr="0036403E" w:rsidRDefault="00554F69" w:rsidP="0036403E">
            <w:pPr>
              <w:spacing w:after="0" w:line="240" w:lineRule="auto"/>
              <w:jc w:val="center"/>
              <w:rPr>
                <w:rFonts w:ascii="Times New Roman" w:eastAsia="Times New Roman" w:hAnsi="Times New Roman" w:cs="Times New Roman"/>
                <w:b/>
              </w:rPr>
            </w:pPr>
            <w:r w:rsidRPr="0036403E">
              <w:rPr>
                <w:rFonts w:ascii="Times New Roman" w:eastAsia="Times New Roman" w:hAnsi="Times New Roman" w:cs="Times New Roman"/>
                <w:b/>
              </w:rPr>
              <w:t>100,00</w:t>
            </w:r>
          </w:p>
        </w:tc>
      </w:tr>
    </w:tbl>
    <w:p w:rsidR="00735173" w:rsidRPr="00497FEE" w:rsidRDefault="00735173" w:rsidP="00735173">
      <w:pPr>
        <w:pStyle w:val="Zkladntext2"/>
        <w:spacing w:line="240" w:lineRule="auto"/>
        <w:rPr>
          <w:bCs/>
        </w:rPr>
      </w:pPr>
    </w:p>
    <w:p w:rsidR="00735173" w:rsidRDefault="00735173" w:rsidP="0092193F">
      <w:pPr>
        <w:autoSpaceDE w:val="0"/>
        <w:autoSpaceDN w:val="0"/>
        <w:adjustRightInd w:val="0"/>
        <w:spacing w:after="0" w:line="240" w:lineRule="auto"/>
        <w:ind w:firstLine="567"/>
        <w:jc w:val="both"/>
        <w:rPr>
          <w:rFonts w:ascii="Times New Roman" w:hAnsi="Times New Roman" w:cs="Times New Roman"/>
          <w:bCs/>
          <w:sz w:val="24"/>
          <w:szCs w:val="24"/>
        </w:rPr>
      </w:pPr>
      <w:r w:rsidRPr="00FB285C">
        <w:rPr>
          <w:rFonts w:ascii="Times New Roman" w:hAnsi="Times New Roman" w:cs="Times New Roman"/>
          <w:bCs/>
          <w:sz w:val="24"/>
          <w:szCs w:val="24"/>
        </w:rPr>
        <w:t xml:space="preserve">Rozpočtovými opatreniami MF SR boli kapitole MH SR navýšené rozpočtové prostriedky zo zdrojov EÚ, prostriedky na spolufinancovanie a  prostriedky pro rata </w:t>
      </w:r>
      <w:r w:rsidR="00E5519B" w:rsidRPr="00FB285C">
        <w:rPr>
          <w:rFonts w:ascii="Times New Roman" w:hAnsi="Times New Roman" w:cs="Times New Roman"/>
          <w:bCs/>
          <w:sz w:val="24"/>
          <w:szCs w:val="24"/>
        </w:rPr>
        <w:t xml:space="preserve">na tovary a služby </w:t>
      </w:r>
      <w:r w:rsidRPr="00FB285C">
        <w:rPr>
          <w:rFonts w:ascii="Times New Roman" w:hAnsi="Times New Roman" w:cs="Times New Roman"/>
          <w:bCs/>
          <w:sz w:val="24"/>
          <w:szCs w:val="24"/>
        </w:rPr>
        <w:t>v</w:t>
      </w:r>
      <w:r w:rsidR="00E5519B" w:rsidRPr="00FB285C">
        <w:rPr>
          <w:rFonts w:ascii="Times New Roman" w:hAnsi="Times New Roman" w:cs="Times New Roman"/>
          <w:bCs/>
          <w:sz w:val="24"/>
          <w:szCs w:val="24"/>
        </w:rPr>
        <w:t> </w:t>
      </w:r>
      <w:r w:rsidRPr="00FB285C">
        <w:rPr>
          <w:rFonts w:ascii="Times New Roman" w:hAnsi="Times New Roman" w:cs="Times New Roman"/>
          <w:bCs/>
          <w:sz w:val="24"/>
          <w:szCs w:val="24"/>
        </w:rPr>
        <w:t>sume</w:t>
      </w:r>
      <w:r w:rsidR="00E5519B" w:rsidRPr="00FB285C">
        <w:rPr>
          <w:rFonts w:ascii="Times New Roman" w:hAnsi="Times New Roman" w:cs="Times New Roman"/>
          <w:bCs/>
          <w:sz w:val="24"/>
          <w:szCs w:val="24"/>
        </w:rPr>
        <w:t xml:space="preserve"> </w:t>
      </w:r>
      <w:r w:rsidR="0092193F">
        <w:rPr>
          <w:rFonts w:ascii="Times New Roman" w:hAnsi="Times New Roman" w:cs="Times New Roman"/>
          <w:bCs/>
          <w:sz w:val="24"/>
          <w:szCs w:val="24"/>
        </w:rPr>
        <w:t>2</w:t>
      </w:r>
      <w:r w:rsidR="00E5519B" w:rsidRPr="00FB285C">
        <w:rPr>
          <w:rFonts w:ascii="Times New Roman" w:hAnsi="Times New Roman" w:cs="Times New Roman"/>
          <w:sz w:val="24"/>
          <w:szCs w:val="24"/>
          <w:lang w:eastAsia="sk-SK"/>
        </w:rPr>
        <w:t>14 883,69</w:t>
      </w:r>
      <w:r w:rsidR="00E5519B" w:rsidRPr="00FB285C">
        <w:rPr>
          <w:rFonts w:ascii="Times New Roman" w:hAnsi="Times New Roman" w:cs="Times New Roman"/>
          <w:b/>
          <w:sz w:val="24"/>
          <w:szCs w:val="24"/>
          <w:lang w:eastAsia="sk-SK"/>
        </w:rPr>
        <w:t xml:space="preserve"> </w:t>
      </w:r>
      <w:r w:rsidRPr="00FB285C">
        <w:rPr>
          <w:rFonts w:ascii="Times New Roman" w:hAnsi="Times New Roman" w:cs="Times New Roman"/>
          <w:bCs/>
          <w:sz w:val="24"/>
          <w:szCs w:val="24"/>
        </w:rPr>
        <w:t xml:space="preserve">eur. Rozpočtové prostriedky boli v roku 2015 určené na financovanie projektu „Elektronizácia služieb MH SR“ v rámci podprogramu „Elektronizácia verejnej správy a rozvoj elektronických služieb na centrálnej úrovni “ v rámci Operačného programu „Informatizácia spoločnosti“. Cieľom  projektu bolo zvyšovanie konkurencieschopnosti ekonomiky a regiónov prostredníctvom rozvoja informatizácie spoločnosti. Za hodnotené obdobie boli rozpočtové prostriedky čerpané v sume </w:t>
      </w:r>
      <w:r w:rsidR="006C636E">
        <w:rPr>
          <w:rFonts w:ascii="Times New Roman" w:hAnsi="Times New Roman" w:cs="Times New Roman"/>
          <w:bCs/>
          <w:sz w:val="24"/>
          <w:szCs w:val="24"/>
        </w:rPr>
        <w:t xml:space="preserve">                   </w:t>
      </w:r>
      <w:r w:rsidR="00E5519B" w:rsidRPr="00FB285C">
        <w:rPr>
          <w:rFonts w:ascii="Times New Roman" w:hAnsi="Times New Roman" w:cs="Times New Roman"/>
          <w:sz w:val="24"/>
          <w:szCs w:val="24"/>
          <w:lang w:eastAsia="sk-SK"/>
        </w:rPr>
        <w:t>214 883,69</w:t>
      </w:r>
      <w:r w:rsidRPr="00FB285C">
        <w:rPr>
          <w:rFonts w:ascii="Times New Roman" w:hAnsi="Times New Roman" w:cs="Times New Roman"/>
          <w:bCs/>
          <w:sz w:val="24"/>
          <w:szCs w:val="24"/>
        </w:rPr>
        <w:t xml:space="preserve"> eur, čo je 100,00 % k upravenému rozpočtu. Rozpočtové prostriedky boli použité na projekt Elektronických služieb MH SR OPIS – </w:t>
      </w:r>
      <w:r w:rsidR="006C636E">
        <w:rPr>
          <w:rFonts w:ascii="Times New Roman" w:hAnsi="Times New Roman" w:cs="Times New Roman"/>
          <w:bCs/>
          <w:sz w:val="24"/>
          <w:szCs w:val="24"/>
        </w:rPr>
        <w:t>všeobecné a</w:t>
      </w:r>
      <w:r w:rsidRPr="00FB285C">
        <w:rPr>
          <w:rFonts w:ascii="Times New Roman" w:hAnsi="Times New Roman" w:cs="Times New Roman"/>
          <w:bCs/>
          <w:sz w:val="24"/>
          <w:szCs w:val="24"/>
        </w:rPr>
        <w:t xml:space="preserve"> špeciáln</w:t>
      </w:r>
      <w:r w:rsidR="006C636E">
        <w:rPr>
          <w:rFonts w:ascii="Times New Roman" w:hAnsi="Times New Roman" w:cs="Times New Roman"/>
          <w:bCs/>
          <w:sz w:val="24"/>
          <w:szCs w:val="24"/>
        </w:rPr>
        <w:t>e</w:t>
      </w:r>
      <w:r w:rsidRPr="00FB285C">
        <w:rPr>
          <w:rFonts w:ascii="Times New Roman" w:hAnsi="Times New Roman" w:cs="Times New Roman"/>
          <w:bCs/>
          <w:sz w:val="24"/>
          <w:szCs w:val="24"/>
        </w:rPr>
        <w:t xml:space="preserve"> služb</w:t>
      </w:r>
      <w:r w:rsidR="006C636E">
        <w:rPr>
          <w:rFonts w:ascii="Times New Roman" w:hAnsi="Times New Roman" w:cs="Times New Roman"/>
          <w:bCs/>
          <w:sz w:val="24"/>
          <w:szCs w:val="24"/>
        </w:rPr>
        <w:t>y</w:t>
      </w:r>
      <w:r w:rsidRPr="00FB285C">
        <w:rPr>
          <w:rFonts w:ascii="Times New Roman" w:hAnsi="Times New Roman" w:cs="Times New Roman"/>
          <w:bCs/>
          <w:sz w:val="24"/>
          <w:szCs w:val="24"/>
        </w:rPr>
        <w:t>, propagáci</w:t>
      </w:r>
      <w:r w:rsidR="006C636E">
        <w:rPr>
          <w:rFonts w:ascii="Times New Roman" w:hAnsi="Times New Roman" w:cs="Times New Roman"/>
          <w:bCs/>
          <w:sz w:val="24"/>
          <w:szCs w:val="24"/>
        </w:rPr>
        <w:t>a</w:t>
      </w:r>
      <w:r w:rsidRPr="00FB285C">
        <w:rPr>
          <w:rFonts w:ascii="Times New Roman" w:hAnsi="Times New Roman" w:cs="Times New Roman"/>
          <w:bCs/>
          <w:sz w:val="24"/>
          <w:szCs w:val="24"/>
        </w:rPr>
        <w:t xml:space="preserve"> a inzerci</w:t>
      </w:r>
      <w:r w:rsidR="006C636E">
        <w:rPr>
          <w:rFonts w:ascii="Times New Roman" w:hAnsi="Times New Roman" w:cs="Times New Roman"/>
          <w:bCs/>
          <w:sz w:val="24"/>
          <w:szCs w:val="24"/>
        </w:rPr>
        <w:t>a</w:t>
      </w:r>
      <w:r w:rsidRPr="00FB285C">
        <w:rPr>
          <w:rFonts w:ascii="Times New Roman" w:hAnsi="Times New Roman" w:cs="Times New Roman"/>
          <w:bCs/>
          <w:sz w:val="24"/>
          <w:szCs w:val="24"/>
        </w:rPr>
        <w:t>.</w:t>
      </w:r>
    </w:p>
    <w:p w:rsidR="0092193F" w:rsidRDefault="0092193F" w:rsidP="0092193F">
      <w:pPr>
        <w:autoSpaceDE w:val="0"/>
        <w:autoSpaceDN w:val="0"/>
        <w:adjustRightInd w:val="0"/>
        <w:spacing w:after="0" w:line="240" w:lineRule="auto"/>
        <w:ind w:firstLine="567"/>
        <w:jc w:val="both"/>
        <w:rPr>
          <w:rFonts w:ascii="Times New Roman" w:hAnsi="Times New Roman" w:cs="Times New Roman"/>
          <w:bCs/>
          <w:sz w:val="24"/>
          <w:szCs w:val="24"/>
        </w:rPr>
      </w:pPr>
    </w:p>
    <w:p w:rsidR="0046660A" w:rsidRPr="00FB285C" w:rsidRDefault="0046660A" w:rsidP="003F443F">
      <w:pPr>
        <w:autoSpaceDE w:val="0"/>
        <w:autoSpaceDN w:val="0"/>
        <w:adjustRightInd w:val="0"/>
        <w:spacing w:after="0" w:line="240" w:lineRule="auto"/>
        <w:jc w:val="both"/>
        <w:rPr>
          <w:rFonts w:ascii="Times New Roman" w:hAnsi="Times New Roman" w:cs="Times New Roman"/>
          <w:bCs/>
          <w:sz w:val="24"/>
          <w:szCs w:val="24"/>
        </w:rPr>
      </w:pPr>
    </w:p>
    <w:p w:rsidR="008C225C" w:rsidRPr="009F1E92" w:rsidRDefault="008C225C" w:rsidP="009F1E92">
      <w:pPr>
        <w:pStyle w:val="Nadpis6"/>
        <w:spacing w:before="0" w:line="240" w:lineRule="auto"/>
        <w:jc w:val="both"/>
        <w:rPr>
          <w:rFonts w:ascii="Times New Roman" w:hAnsi="Times New Roman" w:cs="Times New Roman"/>
          <w:color w:val="auto"/>
          <w:sz w:val="24"/>
          <w:szCs w:val="24"/>
        </w:rPr>
      </w:pPr>
      <w:proofErr w:type="spellStart"/>
      <w:r w:rsidRPr="009F1E92">
        <w:rPr>
          <w:rFonts w:ascii="Times New Roman" w:hAnsi="Times New Roman" w:cs="Times New Roman"/>
          <w:color w:val="auto"/>
          <w:sz w:val="24"/>
          <w:szCs w:val="24"/>
        </w:rPr>
        <w:t>0AS</w:t>
      </w:r>
      <w:proofErr w:type="spellEnd"/>
      <w:r w:rsidRPr="009F1E92">
        <w:rPr>
          <w:rFonts w:ascii="Times New Roman" w:hAnsi="Times New Roman" w:cs="Times New Roman"/>
          <w:color w:val="auto"/>
          <w:sz w:val="24"/>
          <w:szCs w:val="24"/>
        </w:rPr>
        <w:t xml:space="preserve"> 03  MH SR - Ochrana kritickej infraštruktúry v Slovenskej republike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2"/>
        <w:gridCol w:w="859"/>
        <w:gridCol w:w="1417"/>
        <w:gridCol w:w="1559"/>
        <w:gridCol w:w="1418"/>
        <w:gridCol w:w="1417"/>
      </w:tblGrid>
      <w:tr w:rsidR="0059693B" w:rsidRPr="00BF60D6" w:rsidTr="0065668A">
        <w:trPr>
          <w:trHeight w:val="735"/>
        </w:trPr>
        <w:tc>
          <w:tcPr>
            <w:tcW w:w="2402"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9" w:type="dxa"/>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EF3D7E" w:rsidRPr="00BF60D6" w:rsidTr="0065668A">
        <w:tc>
          <w:tcPr>
            <w:tcW w:w="2402" w:type="dxa"/>
            <w:shd w:val="clear" w:color="auto" w:fill="auto"/>
          </w:tcPr>
          <w:p w:rsidR="00EF3D7E" w:rsidRPr="00BF60D6" w:rsidRDefault="00EF3D7E"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9" w:type="dxa"/>
          </w:tcPr>
          <w:p w:rsidR="00EF3D7E" w:rsidRPr="00BF60D6" w:rsidRDefault="00EF3D7E" w:rsidP="009F1E9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EF3D7E" w:rsidRPr="00BF60D6" w:rsidRDefault="00EF3D7E" w:rsidP="009F1E9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4 300,00</w:t>
            </w:r>
          </w:p>
        </w:tc>
        <w:tc>
          <w:tcPr>
            <w:tcW w:w="1559" w:type="dxa"/>
            <w:shd w:val="clear" w:color="auto" w:fill="auto"/>
          </w:tcPr>
          <w:p w:rsidR="00EF3D7E" w:rsidRPr="00BF60D6" w:rsidRDefault="00EF3D7E" w:rsidP="009F1E9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4 300,00</w:t>
            </w:r>
          </w:p>
        </w:tc>
        <w:tc>
          <w:tcPr>
            <w:tcW w:w="1418" w:type="dxa"/>
            <w:shd w:val="clear" w:color="auto" w:fill="auto"/>
          </w:tcPr>
          <w:p w:rsidR="00EF3D7E" w:rsidRPr="00BF60D6" w:rsidRDefault="00FB616D" w:rsidP="00601F15">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3 941,51</w:t>
            </w:r>
          </w:p>
        </w:tc>
        <w:tc>
          <w:tcPr>
            <w:tcW w:w="1417" w:type="dxa"/>
            <w:shd w:val="clear" w:color="auto" w:fill="auto"/>
          </w:tcPr>
          <w:p w:rsidR="00EF3D7E" w:rsidRPr="00BF60D6" w:rsidRDefault="00FB616D"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91,67</w:t>
            </w:r>
          </w:p>
        </w:tc>
      </w:tr>
    </w:tbl>
    <w:p w:rsidR="00032159" w:rsidRPr="009F1E92" w:rsidRDefault="00032159" w:rsidP="009F1E92">
      <w:pPr>
        <w:spacing w:after="0" w:line="240" w:lineRule="auto"/>
        <w:jc w:val="both"/>
        <w:rPr>
          <w:rFonts w:ascii="Times New Roman" w:hAnsi="Times New Roman" w:cs="Times New Roman"/>
          <w:sz w:val="24"/>
          <w:szCs w:val="24"/>
        </w:rPr>
      </w:pPr>
    </w:p>
    <w:p w:rsidR="005A5CFC" w:rsidRDefault="001C4CE3" w:rsidP="005A5CFC">
      <w:pPr>
        <w:autoSpaceDE w:val="0"/>
        <w:autoSpaceDN w:val="0"/>
        <w:adjustRightInd w:val="0"/>
        <w:spacing w:after="0" w:line="240" w:lineRule="auto"/>
        <w:ind w:firstLine="708"/>
        <w:jc w:val="both"/>
        <w:rPr>
          <w:rFonts w:ascii="Times New Roman" w:hAnsi="Times New Roman" w:cs="Times New Roman"/>
          <w:sz w:val="24"/>
          <w:szCs w:val="24"/>
        </w:rPr>
      </w:pPr>
      <w:r w:rsidRPr="00FB616D">
        <w:rPr>
          <w:rFonts w:ascii="Times New Roman" w:hAnsi="Times New Roman" w:cs="Times New Roman"/>
          <w:sz w:val="24"/>
          <w:szCs w:val="24"/>
        </w:rPr>
        <w:t>Pre tento medzirezortný podprogram bola v rozpočte bežných výdavkov na rok 201</w:t>
      </w:r>
      <w:r w:rsidR="007021B2" w:rsidRPr="00FB616D">
        <w:rPr>
          <w:rFonts w:ascii="Times New Roman" w:hAnsi="Times New Roman" w:cs="Times New Roman"/>
          <w:sz w:val="24"/>
          <w:szCs w:val="24"/>
        </w:rPr>
        <w:t>5</w:t>
      </w:r>
      <w:r w:rsidR="003B31AD" w:rsidRPr="00FB616D">
        <w:rPr>
          <w:rFonts w:ascii="Times New Roman" w:hAnsi="Times New Roman" w:cs="Times New Roman"/>
          <w:sz w:val="24"/>
          <w:szCs w:val="24"/>
        </w:rPr>
        <w:t xml:space="preserve"> </w:t>
      </w:r>
      <w:r w:rsidR="00CE2E26" w:rsidRPr="00FB616D">
        <w:rPr>
          <w:rFonts w:ascii="Times New Roman" w:hAnsi="Times New Roman" w:cs="Times New Roman"/>
          <w:sz w:val="24"/>
          <w:szCs w:val="24"/>
        </w:rPr>
        <w:t>schválená</w:t>
      </w:r>
      <w:r w:rsidRPr="00FB616D">
        <w:rPr>
          <w:rFonts w:ascii="Times New Roman" w:hAnsi="Times New Roman" w:cs="Times New Roman"/>
          <w:sz w:val="24"/>
          <w:szCs w:val="24"/>
        </w:rPr>
        <w:t xml:space="preserve"> </w:t>
      </w:r>
      <w:r w:rsidR="00FB616D" w:rsidRPr="00FB616D">
        <w:rPr>
          <w:rFonts w:ascii="Times New Roman" w:hAnsi="Times New Roman" w:cs="Times New Roman"/>
          <w:sz w:val="24"/>
          <w:szCs w:val="24"/>
        </w:rPr>
        <w:t>suma</w:t>
      </w:r>
      <w:r w:rsidR="00CE2E26" w:rsidRPr="00FB616D">
        <w:rPr>
          <w:rFonts w:ascii="Times New Roman" w:hAnsi="Times New Roman" w:cs="Times New Roman"/>
          <w:sz w:val="24"/>
          <w:szCs w:val="24"/>
        </w:rPr>
        <w:t xml:space="preserve"> rozpočtu </w:t>
      </w:r>
      <w:r w:rsidRPr="00FB616D">
        <w:rPr>
          <w:rFonts w:ascii="Times New Roman" w:hAnsi="Times New Roman" w:cs="Times New Roman"/>
          <w:sz w:val="24"/>
          <w:szCs w:val="24"/>
        </w:rPr>
        <w:t xml:space="preserve">4 300,00 eur. Finančné prostriedky boli v hodnotenom období čerpané </w:t>
      </w:r>
      <w:r w:rsidR="00FB616D" w:rsidRPr="00FB616D">
        <w:rPr>
          <w:rFonts w:ascii="Times New Roman" w:hAnsi="Times New Roman" w:cs="Times New Roman"/>
          <w:sz w:val="24"/>
          <w:szCs w:val="24"/>
        </w:rPr>
        <w:t xml:space="preserve">v sume </w:t>
      </w:r>
      <w:r w:rsidR="00FB616D" w:rsidRPr="00FB616D">
        <w:rPr>
          <w:rFonts w:ascii="Times New Roman" w:hAnsi="Times New Roman" w:cs="Times New Roman"/>
          <w:sz w:val="24"/>
          <w:szCs w:val="24"/>
          <w:lang w:eastAsia="sk-SK"/>
        </w:rPr>
        <w:t xml:space="preserve">3 941,51 </w:t>
      </w:r>
      <w:r w:rsidRPr="00FB616D">
        <w:rPr>
          <w:rFonts w:ascii="Times New Roman" w:hAnsi="Times New Roman" w:cs="Times New Roman"/>
          <w:sz w:val="24"/>
          <w:szCs w:val="24"/>
        </w:rPr>
        <w:t xml:space="preserve"> eur, čo je</w:t>
      </w:r>
      <w:r w:rsidR="00FB616D" w:rsidRPr="00FB616D">
        <w:rPr>
          <w:rFonts w:ascii="Times New Roman" w:hAnsi="Times New Roman" w:cs="Times New Roman"/>
          <w:sz w:val="24"/>
          <w:szCs w:val="24"/>
        </w:rPr>
        <w:t xml:space="preserve"> 91,67</w:t>
      </w:r>
      <w:r w:rsidRPr="00FB616D">
        <w:rPr>
          <w:rFonts w:ascii="Times New Roman" w:hAnsi="Times New Roman" w:cs="Times New Roman"/>
          <w:sz w:val="24"/>
          <w:szCs w:val="24"/>
        </w:rPr>
        <w:t xml:space="preserve"> % zo schváleného rozpočtu a </w:t>
      </w:r>
      <w:r w:rsidR="00FB616D" w:rsidRPr="00FB616D">
        <w:rPr>
          <w:rFonts w:ascii="Times New Roman" w:hAnsi="Times New Roman" w:cs="Times New Roman"/>
          <w:sz w:val="24"/>
          <w:szCs w:val="24"/>
        </w:rPr>
        <w:t>boli použité v súvislosti s vykonávaním opatrení realizovaných podľa zákona  č. 45/2011 Z. z. o kritickej infraštruktúre na zahraničné pracovné cesty, nákup výpočtovej techniky a spotrebného materiálu k technike.</w:t>
      </w:r>
    </w:p>
    <w:p w:rsidR="005A5CFC" w:rsidRDefault="005A5CFC" w:rsidP="005A5CFC">
      <w:pPr>
        <w:pStyle w:val="Zkladntext2"/>
        <w:spacing w:before="240" w:after="0" w:line="240" w:lineRule="auto"/>
        <w:rPr>
          <w:rFonts w:ascii="Times New Roman" w:hAnsi="Times New Roman" w:cs="Times New Roman"/>
          <w:bCs/>
          <w:i/>
          <w:color w:val="000000"/>
          <w:sz w:val="24"/>
          <w:szCs w:val="24"/>
        </w:rPr>
      </w:pPr>
      <w:r w:rsidRPr="005A5CFC">
        <w:rPr>
          <w:rFonts w:ascii="Times New Roman" w:hAnsi="Times New Roman" w:cs="Times New Roman"/>
          <w:bCs/>
          <w:i/>
          <w:color w:val="000000"/>
          <w:sz w:val="24"/>
          <w:szCs w:val="24"/>
        </w:rPr>
        <w:t>0D</w:t>
      </w:r>
      <w:r>
        <w:rPr>
          <w:rFonts w:ascii="Times New Roman" w:hAnsi="Times New Roman" w:cs="Times New Roman"/>
          <w:bCs/>
          <w:i/>
          <w:color w:val="000000"/>
          <w:sz w:val="24"/>
          <w:szCs w:val="24"/>
        </w:rPr>
        <w:t xml:space="preserve"> </w:t>
      </w:r>
      <w:r w:rsidRPr="005A5CFC">
        <w:rPr>
          <w:rFonts w:ascii="Times New Roman" w:hAnsi="Times New Roman" w:cs="Times New Roman"/>
          <w:bCs/>
          <w:i/>
          <w:color w:val="000000"/>
          <w:sz w:val="24"/>
          <w:szCs w:val="24"/>
        </w:rPr>
        <w:t>4</w:t>
      </w:r>
      <w:r>
        <w:rPr>
          <w:rFonts w:ascii="Times New Roman" w:hAnsi="Times New Roman" w:cs="Times New Roman"/>
          <w:bCs/>
          <w:i/>
          <w:color w:val="000000"/>
          <w:sz w:val="24"/>
          <w:szCs w:val="24"/>
        </w:rPr>
        <w:t xml:space="preserve"> </w:t>
      </w:r>
      <w:r w:rsidRPr="005A5CFC">
        <w:rPr>
          <w:rFonts w:ascii="Times New Roman" w:hAnsi="Times New Roman" w:cs="Times New Roman"/>
          <w:bCs/>
          <w:i/>
          <w:color w:val="000000"/>
          <w:sz w:val="24"/>
          <w:szCs w:val="24"/>
        </w:rPr>
        <w:t xml:space="preserve">0J SK PRES 2016  </w:t>
      </w:r>
    </w:p>
    <w:p w:rsidR="005A5CFC" w:rsidRPr="007D774A" w:rsidRDefault="005A5CFC" w:rsidP="005A5CFC">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2"/>
        <w:gridCol w:w="851"/>
        <w:gridCol w:w="1425"/>
        <w:gridCol w:w="1559"/>
        <w:gridCol w:w="1418"/>
        <w:gridCol w:w="1417"/>
      </w:tblGrid>
      <w:tr w:rsidR="005A5CFC" w:rsidRPr="00BF60D6" w:rsidTr="0065668A">
        <w:trPr>
          <w:trHeight w:val="735"/>
        </w:trPr>
        <w:tc>
          <w:tcPr>
            <w:tcW w:w="2402" w:type="dxa"/>
            <w:shd w:val="clear" w:color="auto" w:fill="auto"/>
          </w:tcPr>
          <w:p w:rsidR="005A5CFC" w:rsidRPr="00BF60D6" w:rsidRDefault="005A5CFC" w:rsidP="00E968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A5CFC" w:rsidRPr="00BF60D6" w:rsidRDefault="005A5CFC" w:rsidP="00E968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25"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5A5CFC" w:rsidRPr="00BF60D6" w:rsidTr="0065668A">
        <w:tc>
          <w:tcPr>
            <w:tcW w:w="2402" w:type="dxa"/>
            <w:shd w:val="clear" w:color="auto" w:fill="auto"/>
          </w:tcPr>
          <w:p w:rsidR="005A5CFC" w:rsidRPr="00BF60D6" w:rsidRDefault="005A5CFC" w:rsidP="00E96855">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1" w:type="dxa"/>
          </w:tcPr>
          <w:p w:rsidR="005A5CFC" w:rsidRPr="00BF60D6" w:rsidRDefault="005A5CFC" w:rsidP="00E96855">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25" w:type="dxa"/>
            <w:shd w:val="clear" w:color="auto" w:fill="auto"/>
          </w:tcPr>
          <w:p w:rsidR="005A5CFC" w:rsidRPr="00BF60D6" w:rsidRDefault="005A5CFC" w:rsidP="005A5CFC">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5A5CFC" w:rsidRPr="00BF60D6" w:rsidRDefault="005A5CFC" w:rsidP="005A5CFC">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46 078,03</w:t>
            </w:r>
          </w:p>
        </w:tc>
        <w:tc>
          <w:tcPr>
            <w:tcW w:w="1418" w:type="dxa"/>
            <w:shd w:val="clear" w:color="auto" w:fill="auto"/>
          </w:tcPr>
          <w:p w:rsidR="005A5CFC" w:rsidRPr="00BF60D6" w:rsidRDefault="005A5CFC" w:rsidP="005A5CFC">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43 384,44</w:t>
            </w:r>
          </w:p>
        </w:tc>
        <w:tc>
          <w:tcPr>
            <w:tcW w:w="1417" w:type="dxa"/>
            <w:shd w:val="clear" w:color="auto" w:fill="auto"/>
          </w:tcPr>
          <w:p w:rsidR="005A5CFC" w:rsidRPr="00BF60D6" w:rsidRDefault="005A5CFC" w:rsidP="00E96855">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94,16</w:t>
            </w:r>
          </w:p>
        </w:tc>
      </w:tr>
    </w:tbl>
    <w:p w:rsidR="005A5CFC" w:rsidRPr="009F1E92" w:rsidRDefault="005A5CFC" w:rsidP="005A5CFC">
      <w:pPr>
        <w:spacing w:after="0" w:line="240" w:lineRule="auto"/>
        <w:jc w:val="both"/>
        <w:rPr>
          <w:rFonts w:ascii="Times New Roman" w:hAnsi="Times New Roman" w:cs="Times New Roman"/>
          <w:sz w:val="24"/>
          <w:szCs w:val="24"/>
        </w:rPr>
      </w:pPr>
    </w:p>
    <w:p w:rsidR="005A5CFC" w:rsidRPr="005A5CFC" w:rsidRDefault="005A5CFC" w:rsidP="005A5CFC">
      <w:pPr>
        <w:autoSpaceDE w:val="0"/>
        <w:autoSpaceDN w:val="0"/>
        <w:adjustRightInd w:val="0"/>
        <w:spacing w:line="240" w:lineRule="auto"/>
        <w:ind w:firstLine="567"/>
        <w:jc w:val="both"/>
        <w:rPr>
          <w:rFonts w:ascii="Times New Roman" w:hAnsi="Times New Roman" w:cs="Times New Roman"/>
          <w:sz w:val="24"/>
          <w:szCs w:val="24"/>
        </w:rPr>
      </w:pPr>
      <w:r w:rsidRPr="005A5CFC">
        <w:rPr>
          <w:rFonts w:ascii="Times New Roman" w:hAnsi="Times New Roman" w:cs="Times New Roman"/>
          <w:sz w:val="24"/>
          <w:szCs w:val="24"/>
        </w:rPr>
        <w:t>Výdavky súvisiace s predsedníctvom Slovenskej republiky v Rade Európskej únie v roku 2016  na uvedený medzirezortný podprogram neboli na rok 2015 v rozpočte schválené. K 31.12.2015 bol rozpočet ekonomickej klasifikácie tovary a služby upravený na sumu</w:t>
      </w:r>
      <w:r>
        <w:rPr>
          <w:rFonts w:ascii="Times New Roman" w:hAnsi="Times New Roman" w:cs="Times New Roman"/>
          <w:sz w:val="24"/>
          <w:szCs w:val="24"/>
        </w:rPr>
        <w:t xml:space="preserve">        </w:t>
      </w:r>
      <w:r w:rsidRPr="005A5CFC">
        <w:rPr>
          <w:rFonts w:ascii="Times New Roman" w:hAnsi="Times New Roman" w:cs="Times New Roman"/>
          <w:sz w:val="24"/>
          <w:szCs w:val="24"/>
        </w:rPr>
        <w:t xml:space="preserve"> </w:t>
      </w:r>
      <w:r>
        <w:rPr>
          <w:rFonts w:ascii="Times New Roman" w:hAnsi="Times New Roman" w:cs="Times New Roman"/>
          <w:sz w:val="24"/>
          <w:szCs w:val="24"/>
          <w:lang w:eastAsia="sk-SK"/>
        </w:rPr>
        <w:t>46 078,03</w:t>
      </w:r>
      <w:r w:rsidRPr="005A5CFC">
        <w:rPr>
          <w:rFonts w:ascii="Times New Roman" w:hAnsi="Times New Roman" w:cs="Times New Roman"/>
          <w:sz w:val="24"/>
          <w:szCs w:val="24"/>
        </w:rPr>
        <w:t xml:space="preserve"> eur. </w:t>
      </w:r>
    </w:p>
    <w:p w:rsidR="005A5CFC" w:rsidRPr="00FB616D" w:rsidRDefault="005A5CFC" w:rsidP="005A5CFC">
      <w:pPr>
        <w:autoSpaceDE w:val="0"/>
        <w:autoSpaceDN w:val="0"/>
        <w:adjustRightInd w:val="0"/>
        <w:spacing w:line="240" w:lineRule="auto"/>
        <w:ind w:firstLine="540"/>
        <w:jc w:val="both"/>
        <w:rPr>
          <w:rFonts w:ascii="Times New Roman" w:hAnsi="Times New Roman" w:cs="Times New Roman"/>
          <w:sz w:val="24"/>
          <w:szCs w:val="24"/>
        </w:rPr>
      </w:pPr>
      <w:r w:rsidRPr="005A5CFC">
        <w:rPr>
          <w:rFonts w:ascii="Times New Roman" w:hAnsi="Times New Roman" w:cs="Times New Roman"/>
          <w:sz w:val="24"/>
          <w:szCs w:val="24"/>
        </w:rPr>
        <w:t xml:space="preserve">Rozpočtové prostriedky boli použité na úhradu zahraničných pracovných ciest v sume 43 384,44 eur  pre zamestnancov pracovnej skupiny na realizáciu prípravy a zabezpečenia predsedníctva SR v Rade EÚ v roku 2016. </w:t>
      </w:r>
    </w:p>
    <w:p w:rsidR="00B84928" w:rsidRPr="009F1E92" w:rsidRDefault="00B84928" w:rsidP="00B84928">
      <w:pPr>
        <w:pStyle w:val="Zkladntext2"/>
        <w:spacing w:before="240" w:after="0" w:line="240" w:lineRule="auto"/>
        <w:rPr>
          <w:rFonts w:ascii="Times New Roman" w:hAnsi="Times New Roman" w:cs="Times New Roman"/>
          <w:bCs/>
          <w:i/>
          <w:color w:val="000000"/>
          <w:sz w:val="24"/>
          <w:szCs w:val="24"/>
        </w:rPr>
      </w:pPr>
      <w:proofErr w:type="spellStart"/>
      <w:r w:rsidRPr="009F1E92">
        <w:rPr>
          <w:rFonts w:ascii="Times New Roman" w:hAnsi="Times New Roman" w:cs="Times New Roman"/>
          <w:bCs/>
          <w:i/>
          <w:color w:val="000000"/>
          <w:sz w:val="24"/>
          <w:szCs w:val="24"/>
        </w:rPr>
        <w:t>0</w:t>
      </w:r>
      <w:r>
        <w:rPr>
          <w:rFonts w:ascii="Times New Roman" w:hAnsi="Times New Roman" w:cs="Times New Roman"/>
          <w:bCs/>
          <w:i/>
          <w:color w:val="000000"/>
          <w:sz w:val="24"/>
          <w:szCs w:val="24"/>
        </w:rPr>
        <w:t>E</w:t>
      </w:r>
      <w:r w:rsidRPr="009F1E92">
        <w:rPr>
          <w:rFonts w:ascii="Times New Roman" w:hAnsi="Times New Roman" w:cs="Times New Roman"/>
          <w:bCs/>
          <w:i/>
          <w:color w:val="000000"/>
          <w:sz w:val="24"/>
          <w:szCs w:val="24"/>
        </w:rPr>
        <w:t>A</w:t>
      </w:r>
      <w:proofErr w:type="spellEnd"/>
      <w:r>
        <w:rPr>
          <w:rFonts w:ascii="Times New Roman" w:hAnsi="Times New Roman" w:cs="Times New Roman"/>
          <w:bCs/>
          <w:i/>
          <w:color w:val="000000"/>
          <w:sz w:val="24"/>
          <w:szCs w:val="24"/>
        </w:rPr>
        <w:t xml:space="preserve"> </w:t>
      </w:r>
      <w:r w:rsidRPr="009F1E92">
        <w:rPr>
          <w:rFonts w:ascii="Times New Roman" w:hAnsi="Times New Roman" w:cs="Times New Roman"/>
          <w:bCs/>
          <w:i/>
          <w:color w:val="000000"/>
          <w:sz w:val="24"/>
          <w:szCs w:val="24"/>
        </w:rPr>
        <w:t xml:space="preserve"> 0</w:t>
      </w:r>
      <w:r>
        <w:rPr>
          <w:rFonts w:ascii="Times New Roman" w:hAnsi="Times New Roman" w:cs="Times New Roman"/>
          <w:bCs/>
          <w:i/>
          <w:color w:val="000000"/>
          <w:sz w:val="24"/>
          <w:szCs w:val="24"/>
        </w:rPr>
        <w:t>2 05</w:t>
      </w:r>
      <w:r w:rsidRPr="009F1E92">
        <w:rPr>
          <w:rFonts w:ascii="Times New Roman" w:hAnsi="Times New Roman" w:cs="Times New Roman"/>
          <w:bCs/>
          <w:i/>
          <w:color w:val="000000"/>
          <w:sz w:val="24"/>
          <w:szCs w:val="24"/>
        </w:rPr>
        <w:t xml:space="preserve"> – </w:t>
      </w:r>
      <w:r>
        <w:rPr>
          <w:rFonts w:ascii="Times New Roman" w:hAnsi="Times New Roman" w:cs="Times New Roman"/>
          <w:bCs/>
          <w:i/>
          <w:color w:val="000000"/>
          <w:sz w:val="24"/>
          <w:szCs w:val="24"/>
        </w:rPr>
        <w:t>Technická pomoc – Prioritná os 5</w:t>
      </w:r>
      <w:r w:rsidRPr="009F1E92">
        <w:rPr>
          <w:rFonts w:ascii="Times New Roman" w:hAnsi="Times New Roman" w:cs="Times New Roman"/>
          <w:bCs/>
          <w:i/>
          <w:color w:val="000000"/>
          <w:sz w:val="24"/>
          <w:szCs w:val="24"/>
        </w:rPr>
        <w:t xml:space="preserve"> </w:t>
      </w:r>
    </w:p>
    <w:p w:rsidR="00B84928" w:rsidRDefault="002C2ECF" w:rsidP="002C2ECF">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559"/>
        <w:gridCol w:w="1559"/>
        <w:gridCol w:w="1418"/>
        <w:gridCol w:w="1417"/>
      </w:tblGrid>
      <w:tr w:rsidR="00B84928" w:rsidRPr="00BF60D6" w:rsidTr="0065668A">
        <w:trPr>
          <w:trHeight w:val="785"/>
        </w:trPr>
        <w:tc>
          <w:tcPr>
            <w:tcW w:w="2268" w:type="dxa"/>
            <w:tcBorders>
              <w:top w:val="single" w:sz="4" w:space="0" w:color="auto"/>
              <w:left w:val="single" w:sz="4" w:space="0" w:color="auto"/>
              <w:bottom w:val="single" w:sz="4" w:space="0" w:color="auto"/>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B84928" w:rsidRPr="00BF60D6" w:rsidRDefault="00B84928" w:rsidP="000231B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Borders>
              <w:left w:val="single" w:sz="4" w:space="0" w:color="auto"/>
            </w:tcBorders>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B84928" w:rsidRPr="00BF60D6" w:rsidRDefault="00B84928"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84928" w:rsidRPr="00BF60D6" w:rsidTr="0065668A">
        <w:tc>
          <w:tcPr>
            <w:tcW w:w="2268" w:type="dxa"/>
            <w:tcBorders>
              <w:top w:val="nil"/>
              <w:left w:val="single" w:sz="4" w:space="0" w:color="auto"/>
              <w:bottom w:val="nil"/>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630 – tovary a služby</w:t>
            </w:r>
          </w:p>
        </w:tc>
        <w:tc>
          <w:tcPr>
            <w:tcW w:w="851" w:type="dxa"/>
            <w:tcBorders>
              <w:left w:val="single" w:sz="4" w:space="0" w:color="auto"/>
            </w:tcBorders>
          </w:tcPr>
          <w:p w:rsidR="00B84928" w:rsidRPr="00BF60D6" w:rsidRDefault="00B84928" w:rsidP="00B84928">
            <w:pPr>
              <w:autoSpaceDE w:val="0"/>
              <w:autoSpaceDN w:val="0"/>
              <w:adjustRightInd w:val="0"/>
              <w:spacing w:after="0" w:line="240" w:lineRule="auto"/>
              <w:rPr>
                <w:rFonts w:ascii="Times New Roman" w:hAnsi="Times New Roman" w:cs="Times New Roman"/>
                <w:lang w:eastAsia="sk-SK"/>
              </w:rPr>
            </w:pPr>
            <w:r w:rsidRPr="00BF60D6">
              <w:rPr>
                <w:rFonts w:ascii="Times New Roman" w:hAnsi="Times New Roman" w:cs="Times New Roman"/>
                <w:lang w:eastAsia="sk-SK"/>
              </w:rPr>
              <w:t>1AA1</w:t>
            </w:r>
          </w:p>
        </w:tc>
        <w:tc>
          <w:tcPr>
            <w:tcW w:w="1559" w:type="dxa"/>
            <w:shd w:val="clear" w:color="auto" w:fill="auto"/>
          </w:tcPr>
          <w:p w:rsidR="00B84928" w:rsidRPr="00BF60D6" w:rsidRDefault="00B84928" w:rsidP="00B84928">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1 656 718,00</w:t>
            </w:r>
          </w:p>
        </w:tc>
        <w:tc>
          <w:tcPr>
            <w:tcW w:w="1559"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B84928" w:rsidRPr="00BF60D6" w:rsidRDefault="00443F5C" w:rsidP="000231B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tc>
      </w:tr>
      <w:tr w:rsidR="00B84928" w:rsidRPr="00BF60D6" w:rsidTr="0065668A">
        <w:tc>
          <w:tcPr>
            <w:tcW w:w="2268" w:type="dxa"/>
            <w:tcBorders>
              <w:top w:val="nil"/>
              <w:left w:val="single" w:sz="4" w:space="0" w:color="auto"/>
              <w:bottom w:val="nil"/>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B84928" w:rsidRPr="00BF60D6" w:rsidRDefault="00B84928" w:rsidP="00B84928">
            <w:pPr>
              <w:autoSpaceDE w:val="0"/>
              <w:autoSpaceDN w:val="0"/>
              <w:adjustRightInd w:val="0"/>
              <w:spacing w:after="0" w:line="240" w:lineRule="auto"/>
              <w:rPr>
                <w:rFonts w:ascii="Times New Roman" w:hAnsi="Times New Roman" w:cs="Times New Roman"/>
                <w:lang w:eastAsia="sk-SK"/>
              </w:rPr>
            </w:pPr>
            <w:r w:rsidRPr="00BF60D6">
              <w:rPr>
                <w:rFonts w:ascii="Times New Roman" w:hAnsi="Times New Roman" w:cs="Times New Roman"/>
                <w:lang w:eastAsia="sk-SK"/>
              </w:rPr>
              <w:t>1AA2</w:t>
            </w:r>
          </w:p>
        </w:tc>
        <w:tc>
          <w:tcPr>
            <w:tcW w:w="1559" w:type="dxa"/>
            <w:shd w:val="clear" w:color="auto" w:fill="auto"/>
          </w:tcPr>
          <w:p w:rsidR="00B84928" w:rsidRPr="00BF60D6" w:rsidRDefault="00B84928" w:rsidP="00B84928">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328 485,00</w:t>
            </w:r>
          </w:p>
        </w:tc>
        <w:tc>
          <w:tcPr>
            <w:tcW w:w="1559"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B84928" w:rsidRPr="00BF60D6" w:rsidRDefault="00443F5C" w:rsidP="00443F5C">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tc>
      </w:tr>
      <w:tr w:rsidR="00B84928" w:rsidRPr="00BF60D6" w:rsidTr="0065668A">
        <w:tc>
          <w:tcPr>
            <w:tcW w:w="2268" w:type="dxa"/>
            <w:tcBorders>
              <w:top w:val="single" w:sz="4" w:space="0" w:color="auto"/>
              <w:left w:val="single" w:sz="4" w:space="0" w:color="auto"/>
              <w:bottom w:val="single" w:sz="4" w:space="0" w:color="auto"/>
              <w:right w:val="single" w:sz="4" w:space="0" w:color="auto"/>
            </w:tcBorders>
            <w:shd w:val="clear" w:color="auto" w:fill="auto"/>
          </w:tcPr>
          <w:p w:rsidR="00B84928" w:rsidRPr="00BF60D6" w:rsidRDefault="00B84928" w:rsidP="000231B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SPOLU 630</w:t>
            </w:r>
          </w:p>
        </w:tc>
        <w:tc>
          <w:tcPr>
            <w:tcW w:w="851" w:type="dxa"/>
            <w:tcBorders>
              <w:left w:val="single" w:sz="4" w:space="0" w:color="auto"/>
            </w:tcBorders>
          </w:tcPr>
          <w:p w:rsidR="00B84928" w:rsidRPr="00BF60D6" w:rsidRDefault="00B84928" w:rsidP="000231B2">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B84928" w:rsidRPr="00BF60D6" w:rsidRDefault="00B84928" w:rsidP="00B84928">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1 985 203,00</w:t>
            </w:r>
          </w:p>
        </w:tc>
        <w:tc>
          <w:tcPr>
            <w:tcW w:w="1559"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8" w:type="dxa"/>
            <w:shd w:val="clear" w:color="auto" w:fill="auto"/>
          </w:tcPr>
          <w:p w:rsidR="00B84928" w:rsidRPr="00BF60D6" w:rsidRDefault="00443F5C" w:rsidP="000231B2">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0,00</w:t>
            </w:r>
          </w:p>
        </w:tc>
        <w:tc>
          <w:tcPr>
            <w:tcW w:w="1417" w:type="dxa"/>
            <w:shd w:val="clear" w:color="auto" w:fill="auto"/>
          </w:tcPr>
          <w:p w:rsidR="00B84928" w:rsidRPr="00BF60D6" w:rsidRDefault="00443F5C" w:rsidP="000231B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0,00</w:t>
            </w:r>
          </w:p>
        </w:tc>
      </w:tr>
    </w:tbl>
    <w:p w:rsidR="009F1E92" w:rsidRDefault="009F1E92" w:rsidP="009F1E92">
      <w:pPr>
        <w:spacing w:after="0" w:line="240" w:lineRule="auto"/>
        <w:jc w:val="both"/>
        <w:rPr>
          <w:rFonts w:ascii="Times New Roman" w:hAnsi="Times New Roman" w:cs="Times New Roman"/>
          <w:b/>
          <w:sz w:val="24"/>
          <w:szCs w:val="24"/>
        </w:rPr>
      </w:pPr>
    </w:p>
    <w:p w:rsidR="00443F5C" w:rsidRPr="007175CD" w:rsidRDefault="00443F5C" w:rsidP="00443F5C">
      <w:pPr>
        <w:spacing w:after="0" w:line="240" w:lineRule="auto"/>
        <w:ind w:firstLine="709"/>
        <w:jc w:val="both"/>
        <w:rPr>
          <w:rFonts w:ascii="Times New Roman" w:hAnsi="Times New Roman" w:cs="Times New Roman"/>
          <w:sz w:val="24"/>
          <w:szCs w:val="24"/>
        </w:rPr>
      </w:pPr>
      <w:r w:rsidRPr="007175CD">
        <w:rPr>
          <w:rFonts w:ascii="Times New Roman" w:hAnsi="Times New Roman" w:cs="Times New Roman"/>
          <w:sz w:val="24"/>
          <w:szCs w:val="24"/>
        </w:rPr>
        <w:t xml:space="preserve">V rámci operačného programu Výskum a inovácie bol v roku 2015 schválený rozpočet na uvedený prvok v sume </w:t>
      </w:r>
      <w:r>
        <w:rPr>
          <w:rFonts w:ascii="Times New Roman" w:hAnsi="Times New Roman" w:cs="Times New Roman"/>
          <w:sz w:val="24"/>
          <w:szCs w:val="24"/>
        </w:rPr>
        <w:t>1 985 203,00 eur. Rozpočtovým opatrením MF SR bol rozpočet upravený na 0,00 eur a výdavky budú čerpané v roku 2016.</w:t>
      </w:r>
    </w:p>
    <w:p w:rsidR="00443F5C" w:rsidRDefault="00443F5C" w:rsidP="009F1E92">
      <w:pPr>
        <w:spacing w:after="0" w:line="240" w:lineRule="auto"/>
        <w:jc w:val="both"/>
        <w:rPr>
          <w:rFonts w:ascii="Times New Roman" w:hAnsi="Times New Roman" w:cs="Times New Roman"/>
          <w:b/>
          <w:sz w:val="24"/>
          <w:szCs w:val="24"/>
        </w:rPr>
      </w:pPr>
    </w:p>
    <w:p w:rsidR="000F02AE" w:rsidRPr="009F1E92" w:rsidRDefault="000F02AE" w:rsidP="009F1E92">
      <w:pPr>
        <w:spacing w:after="0" w:line="240" w:lineRule="auto"/>
        <w:jc w:val="both"/>
        <w:rPr>
          <w:rFonts w:ascii="Times New Roman" w:hAnsi="Times New Roman" w:cs="Times New Roman"/>
          <w:b/>
          <w:sz w:val="24"/>
          <w:szCs w:val="24"/>
        </w:rPr>
      </w:pPr>
      <w:r w:rsidRPr="000A6B13">
        <w:rPr>
          <w:rFonts w:ascii="Times New Roman" w:hAnsi="Times New Roman" w:cs="Times New Roman"/>
          <w:b/>
          <w:sz w:val="24"/>
          <w:szCs w:val="24"/>
        </w:rPr>
        <w:t>Kategória 640– Bežné transfery</w:t>
      </w:r>
    </w:p>
    <w:p w:rsidR="009F1E92" w:rsidRPr="009F1E92" w:rsidRDefault="009F1E92" w:rsidP="009F1E92">
      <w:pPr>
        <w:autoSpaceDE w:val="0"/>
        <w:autoSpaceDN w:val="0"/>
        <w:adjustRightInd w:val="0"/>
        <w:spacing w:after="0" w:line="240" w:lineRule="auto"/>
        <w:ind w:firstLine="567"/>
        <w:jc w:val="both"/>
        <w:rPr>
          <w:rFonts w:ascii="Times New Roman" w:hAnsi="Times New Roman" w:cs="Times New Roman"/>
          <w:b/>
          <w:sz w:val="24"/>
          <w:szCs w:val="24"/>
        </w:rPr>
      </w:pPr>
    </w:p>
    <w:p w:rsidR="000F02AE" w:rsidRPr="009F1E92" w:rsidRDefault="00D94991" w:rsidP="0065668A">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9F1E92">
        <w:rPr>
          <w:rFonts w:ascii="Times New Roman" w:hAnsi="Times New Roman" w:cs="Times New Roman"/>
          <w:sz w:val="24"/>
          <w:szCs w:val="24"/>
        </w:rPr>
        <w:t xml:space="preserve">Rozpočet bežných transferov </w:t>
      </w:r>
      <w:r w:rsidR="002D61E2">
        <w:rPr>
          <w:rFonts w:ascii="Times New Roman" w:hAnsi="Times New Roman" w:cs="Times New Roman"/>
          <w:sz w:val="24"/>
          <w:szCs w:val="24"/>
        </w:rPr>
        <w:t xml:space="preserve">bol </w:t>
      </w:r>
      <w:r w:rsidRPr="009F1E92">
        <w:rPr>
          <w:rFonts w:ascii="Times New Roman" w:hAnsi="Times New Roman" w:cs="Times New Roman"/>
          <w:sz w:val="24"/>
          <w:szCs w:val="24"/>
        </w:rPr>
        <w:t>na rok 201</w:t>
      </w:r>
      <w:r w:rsidR="002D61E2">
        <w:rPr>
          <w:rFonts w:ascii="Times New Roman" w:hAnsi="Times New Roman" w:cs="Times New Roman"/>
          <w:sz w:val="24"/>
          <w:szCs w:val="24"/>
        </w:rPr>
        <w:t>5 s</w:t>
      </w:r>
      <w:r w:rsidRPr="009F1E92">
        <w:rPr>
          <w:rFonts w:ascii="Times New Roman" w:hAnsi="Times New Roman" w:cs="Times New Roman"/>
          <w:sz w:val="24"/>
          <w:szCs w:val="24"/>
        </w:rPr>
        <w:t xml:space="preserve">chválený </w:t>
      </w:r>
      <w:r w:rsidR="00C60072">
        <w:rPr>
          <w:rFonts w:ascii="Times New Roman" w:hAnsi="Times New Roman" w:cs="Times New Roman"/>
          <w:sz w:val="24"/>
          <w:szCs w:val="24"/>
        </w:rPr>
        <w:t>v </w:t>
      </w:r>
      <w:r w:rsidR="007175CD">
        <w:rPr>
          <w:rFonts w:ascii="Times New Roman" w:hAnsi="Times New Roman" w:cs="Times New Roman"/>
          <w:sz w:val="24"/>
          <w:szCs w:val="24"/>
        </w:rPr>
        <w:t>sume</w:t>
      </w:r>
      <w:r w:rsidR="00C60072">
        <w:rPr>
          <w:rFonts w:ascii="Times New Roman" w:hAnsi="Times New Roman" w:cs="Times New Roman"/>
          <w:sz w:val="24"/>
          <w:szCs w:val="24"/>
        </w:rPr>
        <w:t xml:space="preserve"> </w:t>
      </w:r>
      <w:r w:rsidRPr="009F1E92">
        <w:rPr>
          <w:rFonts w:ascii="Times New Roman" w:hAnsi="Times New Roman" w:cs="Times New Roman"/>
          <w:sz w:val="24"/>
          <w:szCs w:val="24"/>
        </w:rPr>
        <w:t xml:space="preserve"> </w:t>
      </w:r>
      <w:r w:rsidR="002D61E2">
        <w:rPr>
          <w:rFonts w:ascii="Times New Roman" w:hAnsi="Times New Roman" w:cs="Times New Roman"/>
          <w:sz w:val="24"/>
          <w:szCs w:val="24"/>
          <w:lang w:eastAsia="sk-SK"/>
        </w:rPr>
        <w:t xml:space="preserve">83 766 533,00 </w:t>
      </w:r>
      <w:r w:rsidRPr="009F1E92">
        <w:rPr>
          <w:rFonts w:ascii="Times New Roman" w:hAnsi="Times New Roman" w:cs="Times New Roman"/>
          <w:sz w:val="24"/>
          <w:szCs w:val="24"/>
          <w:lang w:eastAsia="sk-SK"/>
        </w:rPr>
        <w:t>eur. Rozpočtovými opatreniami bol u</w:t>
      </w:r>
      <w:r w:rsidR="000F02AE" w:rsidRPr="009F1E92">
        <w:rPr>
          <w:rFonts w:ascii="Times New Roman" w:hAnsi="Times New Roman" w:cs="Times New Roman"/>
          <w:sz w:val="24"/>
          <w:szCs w:val="24"/>
        </w:rPr>
        <w:t xml:space="preserve">pravený </w:t>
      </w:r>
      <w:r w:rsidRPr="009F1E92">
        <w:rPr>
          <w:rFonts w:ascii="Times New Roman" w:hAnsi="Times New Roman" w:cs="Times New Roman"/>
          <w:sz w:val="24"/>
          <w:szCs w:val="24"/>
        </w:rPr>
        <w:t xml:space="preserve">na </w:t>
      </w:r>
      <w:r w:rsidR="0065668A">
        <w:rPr>
          <w:rFonts w:ascii="Times New Roman" w:hAnsi="Times New Roman" w:cs="Times New Roman"/>
          <w:sz w:val="24"/>
          <w:szCs w:val="24"/>
        </w:rPr>
        <w:t xml:space="preserve">sumu </w:t>
      </w:r>
      <w:r w:rsidR="0065668A">
        <w:rPr>
          <w:rFonts w:ascii="Times New Roman" w:hAnsi="Times New Roman" w:cs="Times New Roman"/>
          <w:sz w:val="24"/>
          <w:szCs w:val="24"/>
          <w:lang w:eastAsia="sk-SK"/>
        </w:rPr>
        <w:t xml:space="preserve">204 503 131,45 </w:t>
      </w:r>
      <w:r w:rsidR="000417E5" w:rsidRPr="009F1E92">
        <w:rPr>
          <w:rFonts w:ascii="Times New Roman" w:hAnsi="Times New Roman" w:cs="Times New Roman"/>
          <w:sz w:val="24"/>
          <w:szCs w:val="24"/>
        </w:rPr>
        <w:t>e</w:t>
      </w:r>
      <w:r w:rsidR="000F02AE" w:rsidRPr="009F1E92">
        <w:rPr>
          <w:rFonts w:ascii="Times New Roman" w:hAnsi="Times New Roman" w:cs="Times New Roman"/>
          <w:sz w:val="24"/>
          <w:szCs w:val="24"/>
        </w:rPr>
        <w:t xml:space="preserve">ur a skutočné čerpanie </w:t>
      </w:r>
      <w:r w:rsidRPr="009F1E92">
        <w:rPr>
          <w:rFonts w:ascii="Times New Roman" w:hAnsi="Times New Roman" w:cs="Times New Roman"/>
          <w:sz w:val="24"/>
          <w:szCs w:val="24"/>
        </w:rPr>
        <w:t xml:space="preserve">bolo vykázané </w:t>
      </w:r>
      <w:r w:rsidR="0065668A">
        <w:rPr>
          <w:rFonts w:ascii="Times New Roman" w:hAnsi="Times New Roman" w:cs="Times New Roman"/>
          <w:sz w:val="24"/>
          <w:szCs w:val="24"/>
        </w:rPr>
        <w:t xml:space="preserve">v sume </w:t>
      </w:r>
      <w:r w:rsidR="0065668A">
        <w:rPr>
          <w:rFonts w:ascii="Times New Roman" w:hAnsi="Times New Roman" w:cs="Times New Roman"/>
          <w:sz w:val="24"/>
          <w:szCs w:val="24"/>
          <w:lang w:eastAsia="sk-SK"/>
        </w:rPr>
        <w:t>204 482 567,33</w:t>
      </w:r>
      <w:r w:rsidR="000F02AE" w:rsidRPr="009F1E92">
        <w:rPr>
          <w:rFonts w:ascii="Times New Roman" w:hAnsi="Times New Roman" w:cs="Times New Roman"/>
          <w:sz w:val="24"/>
          <w:szCs w:val="24"/>
        </w:rPr>
        <w:t xml:space="preserve"> </w:t>
      </w:r>
      <w:r w:rsidR="000417E5" w:rsidRPr="009F1E92">
        <w:rPr>
          <w:rFonts w:ascii="Times New Roman" w:hAnsi="Times New Roman" w:cs="Times New Roman"/>
          <w:sz w:val="24"/>
          <w:szCs w:val="24"/>
        </w:rPr>
        <w:t>e</w:t>
      </w:r>
      <w:r w:rsidR="000F02AE" w:rsidRPr="009F1E92">
        <w:rPr>
          <w:rFonts w:ascii="Times New Roman" w:hAnsi="Times New Roman" w:cs="Times New Roman"/>
          <w:sz w:val="24"/>
          <w:szCs w:val="24"/>
        </w:rPr>
        <w:t>ur, t</w:t>
      </w:r>
      <w:r w:rsidR="000417E5" w:rsidRPr="009F1E92">
        <w:rPr>
          <w:rFonts w:ascii="Times New Roman" w:hAnsi="Times New Roman" w:cs="Times New Roman"/>
          <w:sz w:val="24"/>
          <w:szCs w:val="24"/>
        </w:rPr>
        <w:t>.</w:t>
      </w:r>
      <w:r w:rsidR="000A6B13">
        <w:rPr>
          <w:rFonts w:ascii="Times New Roman" w:hAnsi="Times New Roman" w:cs="Times New Roman"/>
          <w:sz w:val="24"/>
          <w:szCs w:val="24"/>
        </w:rPr>
        <w:t xml:space="preserve"> </w:t>
      </w:r>
      <w:r w:rsidR="000417E5" w:rsidRPr="009F1E92">
        <w:rPr>
          <w:rFonts w:ascii="Times New Roman" w:hAnsi="Times New Roman" w:cs="Times New Roman"/>
          <w:sz w:val="24"/>
          <w:szCs w:val="24"/>
        </w:rPr>
        <w:t xml:space="preserve">j. plnenie na </w:t>
      </w:r>
      <w:r w:rsidR="0065668A">
        <w:rPr>
          <w:rFonts w:ascii="Times New Roman" w:hAnsi="Times New Roman" w:cs="Times New Roman"/>
          <w:sz w:val="24"/>
          <w:szCs w:val="24"/>
        </w:rPr>
        <w:t xml:space="preserve">99,99 </w:t>
      </w:r>
      <w:r w:rsidR="0058069D" w:rsidRPr="009F1E92">
        <w:rPr>
          <w:rFonts w:ascii="Times New Roman" w:hAnsi="Times New Roman" w:cs="Times New Roman"/>
          <w:sz w:val="24"/>
          <w:szCs w:val="24"/>
        </w:rPr>
        <w:t>%</w:t>
      </w:r>
      <w:r w:rsidR="0058069D">
        <w:rPr>
          <w:rFonts w:ascii="Times New Roman" w:hAnsi="Times New Roman" w:cs="Times New Roman"/>
          <w:sz w:val="24"/>
          <w:szCs w:val="24"/>
        </w:rPr>
        <w:t xml:space="preserve"> </w:t>
      </w:r>
      <w:r w:rsidR="000F02AE" w:rsidRPr="009F1E92">
        <w:rPr>
          <w:rFonts w:ascii="Times New Roman" w:hAnsi="Times New Roman" w:cs="Times New Roman"/>
          <w:sz w:val="24"/>
          <w:szCs w:val="24"/>
        </w:rPr>
        <w:t xml:space="preserve">z upraveného rozpočtu. </w:t>
      </w:r>
    </w:p>
    <w:p w:rsidR="009601AC" w:rsidRPr="009F1E92" w:rsidRDefault="009601AC" w:rsidP="0065668A">
      <w:pPr>
        <w:spacing w:after="0" w:line="240" w:lineRule="auto"/>
        <w:ind w:firstLine="540"/>
        <w:jc w:val="both"/>
        <w:rPr>
          <w:rFonts w:ascii="Times New Roman" w:hAnsi="Times New Roman" w:cs="Times New Roman"/>
          <w:sz w:val="24"/>
          <w:szCs w:val="24"/>
        </w:rPr>
      </w:pPr>
    </w:p>
    <w:p w:rsidR="009601AC" w:rsidRPr="009F1E92" w:rsidRDefault="009601AC" w:rsidP="009F1E92">
      <w:pPr>
        <w:spacing w:after="0" w:line="240" w:lineRule="auto"/>
        <w:ind w:firstLine="567"/>
        <w:jc w:val="both"/>
        <w:rPr>
          <w:rFonts w:ascii="Times New Roman" w:hAnsi="Times New Roman" w:cs="Times New Roman"/>
          <w:sz w:val="24"/>
          <w:szCs w:val="24"/>
        </w:rPr>
      </w:pPr>
      <w:r w:rsidRPr="009F1E92">
        <w:rPr>
          <w:rFonts w:ascii="Times New Roman" w:hAnsi="Times New Roman" w:cs="Times New Roman"/>
          <w:sz w:val="24"/>
          <w:szCs w:val="24"/>
        </w:rPr>
        <w:t xml:space="preserve">Prehľad čerpania </w:t>
      </w:r>
      <w:r w:rsidR="002D61E2">
        <w:rPr>
          <w:rFonts w:ascii="Times New Roman" w:hAnsi="Times New Roman" w:cs="Times New Roman"/>
          <w:sz w:val="24"/>
          <w:szCs w:val="24"/>
        </w:rPr>
        <w:t xml:space="preserve">výdavkov </w:t>
      </w:r>
      <w:r w:rsidRPr="009F1E92">
        <w:rPr>
          <w:rFonts w:ascii="Times New Roman" w:hAnsi="Times New Roman" w:cs="Times New Roman"/>
          <w:sz w:val="24"/>
          <w:szCs w:val="24"/>
        </w:rPr>
        <w:t>podľa podpoložiek ekonomickej klasifikácie 640 je uvedené v nasledovn</w:t>
      </w:r>
      <w:r w:rsidR="00911448" w:rsidRPr="009F1E92">
        <w:rPr>
          <w:rFonts w:ascii="Times New Roman" w:hAnsi="Times New Roman" w:cs="Times New Roman"/>
          <w:sz w:val="24"/>
          <w:szCs w:val="24"/>
        </w:rPr>
        <w:t>ej tabuľke</w:t>
      </w:r>
      <w:r w:rsidRPr="009F1E92">
        <w:rPr>
          <w:rFonts w:ascii="Times New Roman" w:hAnsi="Times New Roman" w:cs="Times New Roman"/>
          <w:sz w:val="24"/>
          <w:szCs w:val="24"/>
        </w:rPr>
        <w:t>:</w:t>
      </w:r>
    </w:p>
    <w:p w:rsidR="002C2ECF" w:rsidRPr="007D774A" w:rsidRDefault="009601AC" w:rsidP="002C2ECF">
      <w:pPr>
        <w:spacing w:after="0" w:line="240" w:lineRule="auto"/>
        <w:ind w:firstLine="540"/>
        <w:jc w:val="right"/>
        <w:rPr>
          <w:rFonts w:ascii="Times New Roman" w:hAnsi="Times New Roman" w:cs="Times New Roman"/>
          <w:sz w:val="24"/>
          <w:szCs w:val="24"/>
        </w:rPr>
      </w:pP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Pr="009F1E92">
        <w:rPr>
          <w:rFonts w:ascii="Times New Roman" w:hAnsi="Times New Roman" w:cs="Times New Roman"/>
          <w:sz w:val="24"/>
          <w:szCs w:val="24"/>
        </w:rPr>
        <w:tab/>
      </w:r>
      <w:r w:rsidR="00EA7DD6" w:rsidRPr="009F1E92">
        <w:rPr>
          <w:rFonts w:ascii="Times New Roman" w:hAnsi="Times New Roman" w:cs="Times New Roman"/>
          <w:sz w:val="24"/>
          <w:szCs w:val="24"/>
        </w:rPr>
        <w:t xml:space="preserve">         </w:t>
      </w:r>
      <w:r w:rsidR="002C2ECF" w:rsidRPr="00E91F66">
        <w:rPr>
          <w:rFonts w:ascii="Times New Roman" w:hAnsi="Times New Roman" w:cs="Times New Roman"/>
          <w:sz w:val="24"/>
          <w:szCs w:val="24"/>
        </w:rPr>
        <w:t>v eur</w:t>
      </w:r>
      <w:r w:rsidR="002C2ECF">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2008"/>
        <w:gridCol w:w="2126"/>
        <w:gridCol w:w="1843"/>
        <w:gridCol w:w="1417"/>
      </w:tblGrid>
      <w:tr w:rsidR="0059693B" w:rsidRPr="00BF60D6" w:rsidTr="0065668A">
        <w:tc>
          <w:tcPr>
            <w:tcW w:w="1678"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2008"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2126"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843"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9601AC" w:rsidRPr="00BF60D6" w:rsidTr="0065668A">
        <w:tc>
          <w:tcPr>
            <w:tcW w:w="1678" w:type="dxa"/>
            <w:shd w:val="clear" w:color="auto" w:fill="auto"/>
          </w:tcPr>
          <w:p w:rsidR="009601AC" w:rsidRPr="00BF60D6" w:rsidRDefault="00A12F67"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641</w:t>
            </w:r>
            <w:r w:rsidR="005075F5">
              <w:rPr>
                <w:rFonts w:ascii="Times New Roman" w:eastAsia="Times New Roman" w:hAnsi="Times New Roman" w:cs="Times New Roman"/>
              </w:rPr>
              <w:t xml:space="preserve"> – transfery v rámci verejnej správy</w:t>
            </w:r>
          </w:p>
        </w:tc>
        <w:tc>
          <w:tcPr>
            <w:tcW w:w="2008" w:type="dxa"/>
            <w:shd w:val="clear" w:color="auto" w:fill="auto"/>
          </w:tcPr>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9601AC" w:rsidRPr="00BF60D6" w:rsidRDefault="002D61E2" w:rsidP="002D61E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75 779 431,00</w:t>
            </w:r>
          </w:p>
        </w:tc>
        <w:tc>
          <w:tcPr>
            <w:tcW w:w="2126"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5668A"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143 801 420,83</w:t>
            </w:r>
          </w:p>
        </w:tc>
        <w:tc>
          <w:tcPr>
            <w:tcW w:w="1843"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5668A"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143 796 941,77</w:t>
            </w:r>
          </w:p>
        </w:tc>
        <w:tc>
          <w:tcPr>
            <w:tcW w:w="1417" w:type="dxa"/>
            <w:shd w:val="clear" w:color="auto" w:fill="auto"/>
          </w:tcPr>
          <w:p w:rsidR="005075F5" w:rsidRDefault="005075F5" w:rsidP="009F1E92">
            <w:pPr>
              <w:spacing w:after="0" w:line="240" w:lineRule="auto"/>
              <w:jc w:val="center"/>
              <w:rPr>
                <w:rFonts w:ascii="Times New Roman" w:eastAsia="Times New Roman" w:hAnsi="Times New Roman" w:cs="Times New Roman"/>
              </w:rPr>
            </w:pPr>
          </w:p>
          <w:p w:rsidR="005075F5" w:rsidRDefault="005075F5" w:rsidP="009F1E92">
            <w:pPr>
              <w:spacing w:after="0" w:line="240" w:lineRule="auto"/>
              <w:jc w:val="center"/>
              <w:rPr>
                <w:rFonts w:ascii="Times New Roman" w:eastAsia="Times New Roman" w:hAnsi="Times New Roman" w:cs="Times New Roman"/>
              </w:rPr>
            </w:pPr>
          </w:p>
          <w:p w:rsidR="000417E5" w:rsidRPr="00BF60D6" w:rsidRDefault="0065668A"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99,99</w:t>
            </w:r>
          </w:p>
        </w:tc>
      </w:tr>
      <w:tr w:rsidR="009601AC" w:rsidRPr="00BF60D6" w:rsidTr="0065668A">
        <w:tc>
          <w:tcPr>
            <w:tcW w:w="1678" w:type="dxa"/>
            <w:shd w:val="clear" w:color="auto" w:fill="auto"/>
          </w:tcPr>
          <w:p w:rsidR="009601AC" w:rsidRPr="00BF60D6" w:rsidRDefault="009601AC"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w:t>
            </w:r>
            <w:r w:rsidR="00A12F67" w:rsidRPr="00BF60D6">
              <w:rPr>
                <w:rFonts w:ascii="Times New Roman" w:eastAsia="Times New Roman" w:hAnsi="Times New Roman" w:cs="Times New Roman"/>
              </w:rPr>
              <w:t>42</w:t>
            </w:r>
            <w:r w:rsidR="005075F5">
              <w:rPr>
                <w:rFonts w:ascii="Times New Roman" w:eastAsia="Times New Roman" w:hAnsi="Times New Roman" w:cs="Times New Roman"/>
              </w:rPr>
              <w:t xml:space="preserve"> – transfery jednotlivcom a neziskovým práv. osobám</w:t>
            </w:r>
          </w:p>
        </w:tc>
        <w:tc>
          <w:tcPr>
            <w:tcW w:w="2008" w:type="dxa"/>
            <w:shd w:val="clear" w:color="auto" w:fill="auto"/>
          </w:tcPr>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9601AC" w:rsidRPr="00BF60D6" w:rsidRDefault="002D61E2" w:rsidP="002D61E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4 335 427,00</w:t>
            </w:r>
          </w:p>
        </w:tc>
        <w:tc>
          <w:tcPr>
            <w:tcW w:w="2126"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5668A"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3 089 948,07</w:t>
            </w:r>
          </w:p>
        </w:tc>
        <w:tc>
          <w:tcPr>
            <w:tcW w:w="1843"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93DD0"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3 079 846,57</w:t>
            </w:r>
          </w:p>
        </w:tc>
        <w:tc>
          <w:tcPr>
            <w:tcW w:w="1417" w:type="dxa"/>
            <w:shd w:val="clear" w:color="auto" w:fill="auto"/>
          </w:tcPr>
          <w:p w:rsidR="005075F5" w:rsidRDefault="005075F5" w:rsidP="009F1E92">
            <w:pPr>
              <w:spacing w:after="0" w:line="240" w:lineRule="auto"/>
              <w:jc w:val="center"/>
              <w:rPr>
                <w:rFonts w:ascii="Times New Roman" w:eastAsia="Times New Roman" w:hAnsi="Times New Roman" w:cs="Times New Roman"/>
              </w:rPr>
            </w:pPr>
          </w:p>
          <w:p w:rsidR="005075F5" w:rsidRDefault="005075F5" w:rsidP="009F1E92">
            <w:pPr>
              <w:spacing w:after="0" w:line="240" w:lineRule="auto"/>
              <w:jc w:val="center"/>
              <w:rPr>
                <w:rFonts w:ascii="Times New Roman" w:eastAsia="Times New Roman" w:hAnsi="Times New Roman" w:cs="Times New Roman"/>
              </w:rPr>
            </w:pPr>
          </w:p>
          <w:p w:rsidR="005075F5" w:rsidRDefault="005075F5" w:rsidP="009F1E92">
            <w:pPr>
              <w:spacing w:after="0" w:line="240" w:lineRule="auto"/>
              <w:jc w:val="center"/>
              <w:rPr>
                <w:rFonts w:ascii="Times New Roman" w:eastAsia="Times New Roman" w:hAnsi="Times New Roman" w:cs="Times New Roman"/>
              </w:rPr>
            </w:pPr>
          </w:p>
          <w:p w:rsidR="009601AC" w:rsidRPr="00BF60D6" w:rsidRDefault="00693DD0"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99,68</w:t>
            </w:r>
          </w:p>
        </w:tc>
      </w:tr>
      <w:tr w:rsidR="009601AC" w:rsidRPr="00BF60D6" w:rsidTr="0065668A">
        <w:tc>
          <w:tcPr>
            <w:tcW w:w="1678" w:type="dxa"/>
            <w:shd w:val="clear" w:color="auto" w:fill="auto"/>
          </w:tcPr>
          <w:p w:rsidR="009601AC" w:rsidRPr="00BF60D6" w:rsidRDefault="009601AC"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w:t>
            </w:r>
            <w:r w:rsidR="00A12F67" w:rsidRPr="00BF60D6">
              <w:rPr>
                <w:rFonts w:ascii="Times New Roman" w:eastAsia="Times New Roman" w:hAnsi="Times New Roman" w:cs="Times New Roman"/>
              </w:rPr>
              <w:t>44</w:t>
            </w:r>
            <w:r w:rsidR="005075F5">
              <w:rPr>
                <w:rFonts w:ascii="Times New Roman" w:eastAsia="Times New Roman" w:hAnsi="Times New Roman" w:cs="Times New Roman"/>
              </w:rPr>
              <w:t xml:space="preserve"> – transfery nefinančným subjektom</w:t>
            </w:r>
          </w:p>
        </w:tc>
        <w:tc>
          <w:tcPr>
            <w:tcW w:w="2008" w:type="dxa"/>
            <w:shd w:val="clear" w:color="auto" w:fill="auto"/>
          </w:tcPr>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9601AC" w:rsidRPr="00BF60D6" w:rsidRDefault="002D61E2" w:rsidP="002D61E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2 391 000,00</w:t>
            </w:r>
          </w:p>
        </w:tc>
        <w:tc>
          <w:tcPr>
            <w:tcW w:w="2126"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93DD0"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56 296 534,87</w:t>
            </w:r>
          </w:p>
        </w:tc>
        <w:tc>
          <w:tcPr>
            <w:tcW w:w="1843"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93DD0"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56 294 237,88</w:t>
            </w:r>
          </w:p>
        </w:tc>
        <w:tc>
          <w:tcPr>
            <w:tcW w:w="1417" w:type="dxa"/>
            <w:shd w:val="clear" w:color="auto" w:fill="auto"/>
          </w:tcPr>
          <w:p w:rsidR="005075F5" w:rsidRDefault="005075F5" w:rsidP="009F1E92">
            <w:pPr>
              <w:spacing w:after="0" w:line="240" w:lineRule="auto"/>
              <w:jc w:val="center"/>
              <w:rPr>
                <w:rFonts w:ascii="Times New Roman" w:eastAsia="Times New Roman" w:hAnsi="Times New Roman" w:cs="Times New Roman"/>
              </w:rPr>
            </w:pPr>
          </w:p>
          <w:p w:rsidR="005075F5" w:rsidRDefault="005075F5" w:rsidP="009F1E92">
            <w:pPr>
              <w:spacing w:after="0" w:line="240" w:lineRule="auto"/>
              <w:jc w:val="center"/>
              <w:rPr>
                <w:rFonts w:ascii="Times New Roman" w:eastAsia="Times New Roman" w:hAnsi="Times New Roman" w:cs="Times New Roman"/>
              </w:rPr>
            </w:pPr>
          </w:p>
          <w:p w:rsidR="009601AC" w:rsidRPr="00BF60D6" w:rsidRDefault="00693DD0"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99,99</w:t>
            </w:r>
          </w:p>
        </w:tc>
      </w:tr>
      <w:tr w:rsidR="009601AC" w:rsidRPr="00BF60D6" w:rsidTr="0065668A">
        <w:tc>
          <w:tcPr>
            <w:tcW w:w="1678" w:type="dxa"/>
            <w:shd w:val="clear" w:color="auto" w:fill="auto"/>
          </w:tcPr>
          <w:p w:rsidR="009601AC" w:rsidRPr="00BF60D6" w:rsidRDefault="009601AC"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w:t>
            </w:r>
            <w:r w:rsidR="00A12F67" w:rsidRPr="00BF60D6">
              <w:rPr>
                <w:rFonts w:ascii="Times New Roman" w:eastAsia="Times New Roman" w:hAnsi="Times New Roman" w:cs="Times New Roman"/>
              </w:rPr>
              <w:t>49</w:t>
            </w:r>
            <w:r w:rsidR="005075F5">
              <w:rPr>
                <w:rFonts w:ascii="Times New Roman" w:eastAsia="Times New Roman" w:hAnsi="Times New Roman" w:cs="Times New Roman"/>
              </w:rPr>
              <w:t xml:space="preserve"> – transfery do zahraničia</w:t>
            </w:r>
          </w:p>
        </w:tc>
        <w:tc>
          <w:tcPr>
            <w:tcW w:w="2008" w:type="dxa"/>
            <w:shd w:val="clear" w:color="auto" w:fill="auto"/>
          </w:tcPr>
          <w:p w:rsidR="005075F5" w:rsidRDefault="005075F5" w:rsidP="002D61E2">
            <w:pPr>
              <w:autoSpaceDE w:val="0"/>
              <w:autoSpaceDN w:val="0"/>
              <w:adjustRightInd w:val="0"/>
              <w:spacing w:after="0" w:line="240" w:lineRule="auto"/>
              <w:jc w:val="right"/>
              <w:rPr>
                <w:rFonts w:ascii="Times New Roman" w:hAnsi="Times New Roman" w:cs="Times New Roman"/>
                <w:lang w:eastAsia="sk-SK"/>
              </w:rPr>
            </w:pPr>
          </w:p>
          <w:p w:rsidR="009601AC" w:rsidRPr="00BF60D6" w:rsidRDefault="002D61E2" w:rsidP="005075F5">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1 260 675,00</w:t>
            </w:r>
          </w:p>
        </w:tc>
        <w:tc>
          <w:tcPr>
            <w:tcW w:w="2126"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93DD0"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1 315 227,68</w:t>
            </w:r>
          </w:p>
        </w:tc>
        <w:tc>
          <w:tcPr>
            <w:tcW w:w="1843" w:type="dxa"/>
            <w:shd w:val="clear" w:color="auto" w:fill="auto"/>
          </w:tcPr>
          <w:p w:rsidR="005075F5" w:rsidRDefault="005075F5" w:rsidP="00693DD0">
            <w:pPr>
              <w:autoSpaceDE w:val="0"/>
              <w:autoSpaceDN w:val="0"/>
              <w:adjustRightInd w:val="0"/>
              <w:spacing w:after="0" w:line="240" w:lineRule="auto"/>
              <w:jc w:val="right"/>
              <w:rPr>
                <w:rFonts w:ascii="Times New Roman" w:hAnsi="Times New Roman" w:cs="Times New Roman"/>
                <w:lang w:eastAsia="sk-SK"/>
              </w:rPr>
            </w:pPr>
          </w:p>
          <w:p w:rsidR="009601AC" w:rsidRPr="00BF60D6" w:rsidRDefault="00693DD0" w:rsidP="00693DD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1 311 541,11</w:t>
            </w:r>
          </w:p>
        </w:tc>
        <w:tc>
          <w:tcPr>
            <w:tcW w:w="1417" w:type="dxa"/>
            <w:shd w:val="clear" w:color="auto" w:fill="auto"/>
          </w:tcPr>
          <w:p w:rsidR="005075F5" w:rsidRDefault="005075F5" w:rsidP="009F1E92">
            <w:pPr>
              <w:spacing w:after="0" w:line="240" w:lineRule="auto"/>
              <w:jc w:val="center"/>
              <w:rPr>
                <w:rFonts w:ascii="Times New Roman" w:eastAsia="Times New Roman" w:hAnsi="Times New Roman" w:cs="Times New Roman"/>
              </w:rPr>
            </w:pPr>
          </w:p>
          <w:p w:rsidR="009601AC" w:rsidRPr="00BF60D6" w:rsidRDefault="00693DD0"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99,72</w:t>
            </w:r>
          </w:p>
        </w:tc>
      </w:tr>
      <w:tr w:rsidR="009601AC" w:rsidRPr="00BF60D6" w:rsidTr="0065668A">
        <w:tc>
          <w:tcPr>
            <w:tcW w:w="1678" w:type="dxa"/>
            <w:shd w:val="clear" w:color="auto" w:fill="auto"/>
          </w:tcPr>
          <w:p w:rsidR="009601AC" w:rsidRPr="00BF60D6" w:rsidRDefault="009601AC"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6</w:t>
            </w:r>
            <w:r w:rsidR="00A12F67" w:rsidRPr="00BF60D6">
              <w:rPr>
                <w:rFonts w:ascii="Times New Roman" w:eastAsia="Times New Roman" w:hAnsi="Times New Roman" w:cs="Times New Roman"/>
                <w:b/>
              </w:rPr>
              <w:t>4</w:t>
            </w:r>
            <w:r w:rsidRPr="00BF60D6">
              <w:rPr>
                <w:rFonts w:ascii="Times New Roman" w:eastAsia="Times New Roman" w:hAnsi="Times New Roman" w:cs="Times New Roman"/>
                <w:b/>
              </w:rPr>
              <w:t>0 spolu</w:t>
            </w:r>
          </w:p>
        </w:tc>
        <w:tc>
          <w:tcPr>
            <w:tcW w:w="2008" w:type="dxa"/>
            <w:shd w:val="clear" w:color="auto" w:fill="auto"/>
          </w:tcPr>
          <w:p w:rsidR="009601AC" w:rsidRPr="00BF60D6" w:rsidRDefault="002D61E2" w:rsidP="002D61E2">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83 766 533,00</w:t>
            </w:r>
          </w:p>
        </w:tc>
        <w:tc>
          <w:tcPr>
            <w:tcW w:w="2126" w:type="dxa"/>
            <w:shd w:val="clear" w:color="auto" w:fill="auto"/>
          </w:tcPr>
          <w:p w:rsidR="009601AC" w:rsidRPr="00BF60D6" w:rsidRDefault="00693DD0" w:rsidP="00693DD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204 503 131,45</w:t>
            </w:r>
          </w:p>
        </w:tc>
        <w:tc>
          <w:tcPr>
            <w:tcW w:w="1843" w:type="dxa"/>
            <w:shd w:val="clear" w:color="auto" w:fill="auto"/>
          </w:tcPr>
          <w:p w:rsidR="009601AC" w:rsidRPr="00BF60D6" w:rsidRDefault="00693DD0" w:rsidP="00693DD0">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204 482 567,33</w:t>
            </w:r>
          </w:p>
        </w:tc>
        <w:tc>
          <w:tcPr>
            <w:tcW w:w="1417" w:type="dxa"/>
            <w:shd w:val="clear" w:color="auto" w:fill="auto"/>
          </w:tcPr>
          <w:p w:rsidR="009601AC" w:rsidRPr="00BF60D6" w:rsidRDefault="00693DD0"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99,99</w:t>
            </w:r>
          </w:p>
        </w:tc>
      </w:tr>
    </w:tbl>
    <w:p w:rsidR="009601AC" w:rsidRPr="009F1E92" w:rsidRDefault="009601AC" w:rsidP="009F1E92">
      <w:pPr>
        <w:spacing w:after="0" w:line="240" w:lineRule="auto"/>
        <w:ind w:firstLine="540"/>
        <w:jc w:val="both"/>
        <w:rPr>
          <w:rFonts w:ascii="Times New Roman" w:hAnsi="Times New Roman" w:cs="Times New Roman"/>
          <w:sz w:val="24"/>
          <w:szCs w:val="24"/>
        </w:rPr>
      </w:pPr>
    </w:p>
    <w:p w:rsidR="002C2ECF" w:rsidRDefault="002C2ECF" w:rsidP="00DC733A">
      <w:pPr>
        <w:spacing w:after="0" w:line="240" w:lineRule="auto"/>
        <w:ind w:right="26" w:firstLine="709"/>
        <w:jc w:val="both"/>
        <w:rPr>
          <w:rFonts w:ascii="Times New Roman" w:hAnsi="Times New Roman" w:cs="Times New Roman"/>
          <w:sz w:val="24"/>
          <w:szCs w:val="24"/>
        </w:rPr>
      </w:pPr>
      <w:r w:rsidRPr="009F1E92">
        <w:rPr>
          <w:rFonts w:ascii="Times New Roman" w:hAnsi="Times New Roman" w:cs="Times New Roman"/>
          <w:sz w:val="24"/>
          <w:szCs w:val="24"/>
        </w:rPr>
        <w:t>Čerpanie výdavkov v kategórii 6</w:t>
      </w:r>
      <w:r>
        <w:rPr>
          <w:rFonts w:ascii="Times New Roman" w:hAnsi="Times New Roman" w:cs="Times New Roman"/>
          <w:sz w:val="24"/>
          <w:szCs w:val="24"/>
        </w:rPr>
        <w:t>4</w:t>
      </w:r>
      <w:r w:rsidRPr="009F1E92">
        <w:rPr>
          <w:rFonts w:ascii="Times New Roman" w:hAnsi="Times New Roman" w:cs="Times New Roman"/>
          <w:sz w:val="24"/>
          <w:szCs w:val="24"/>
        </w:rPr>
        <w:t xml:space="preserve">0 – </w:t>
      </w:r>
      <w:r>
        <w:rPr>
          <w:rFonts w:ascii="Times New Roman" w:hAnsi="Times New Roman" w:cs="Times New Roman"/>
          <w:sz w:val="24"/>
          <w:szCs w:val="24"/>
        </w:rPr>
        <w:t>Bežné transfery</w:t>
      </w:r>
      <w:r w:rsidRPr="009F1E92">
        <w:rPr>
          <w:rFonts w:ascii="Times New Roman" w:hAnsi="Times New Roman" w:cs="Times New Roman"/>
          <w:sz w:val="24"/>
          <w:szCs w:val="24"/>
        </w:rPr>
        <w:t xml:space="preserve"> </w:t>
      </w:r>
      <w:r w:rsidR="007175CD">
        <w:rPr>
          <w:rFonts w:ascii="Times New Roman" w:hAnsi="Times New Roman" w:cs="Times New Roman"/>
          <w:sz w:val="24"/>
          <w:szCs w:val="24"/>
        </w:rPr>
        <w:t xml:space="preserve">zo zdrojov štátneho rozpočtu (111, 131E) </w:t>
      </w:r>
      <w:r w:rsidRPr="009F1E92">
        <w:rPr>
          <w:rFonts w:ascii="Times New Roman" w:hAnsi="Times New Roman" w:cs="Times New Roman"/>
          <w:sz w:val="24"/>
          <w:szCs w:val="24"/>
        </w:rPr>
        <w:t>bolo vykázané v jednotlivých programoch, podprogramoch a prvkoch nasledovne:</w:t>
      </w:r>
    </w:p>
    <w:p w:rsidR="003F443F" w:rsidRDefault="003F443F" w:rsidP="009F1E92">
      <w:pPr>
        <w:spacing w:after="0" w:line="240" w:lineRule="auto"/>
        <w:ind w:right="26" w:firstLine="540"/>
        <w:jc w:val="both"/>
        <w:rPr>
          <w:rFonts w:ascii="Times New Roman" w:hAnsi="Times New Roman" w:cs="Times New Roman"/>
          <w:sz w:val="24"/>
          <w:szCs w:val="24"/>
        </w:rPr>
      </w:pPr>
    </w:p>
    <w:p w:rsidR="009B6B95" w:rsidRPr="009F1E92" w:rsidRDefault="009B6B95" w:rsidP="009F1E92">
      <w:pPr>
        <w:pStyle w:val="Zkladntext"/>
        <w:spacing w:after="0" w:line="240" w:lineRule="auto"/>
        <w:rPr>
          <w:rFonts w:ascii="Times New Roman" w:hAnsi="Times New Roman" w:cs="Times New Roman"/>
          <w:i/>
          <w:sz w:val="24"/>
          <w:szCs w:val="24"/>
        </w:rPr>
      </w:pPr>
      <w:r w:rsidRPr="009F1E92">
        <w:rPr>
          <w:rFonts w:ascii="Times New Roman" w:hAnsi="Times New Roman" w:cs="Times New Roman"/>
          <w:i/>
          <w:sz w:val="24"/>
          <w:szCs w:val="24"/>
        </w:rPr>
        <w:t>07K 01 06 Podpora útlmu a likvidácie následkov ťažby v uhoľnom  baníctve</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864"/>
        <w:gridCol w:w="1412"/>
        <w:gridCol w:w="1559"/>
        <w:gridCol w:w="1296"/>
        <w:gridCol w:w="1397"/>
      </w:tblGrid>
      <w:tr w:rsidR="0059693B" w:rsidRPr="00BF60D6" w:rsidTr="006920C0">
        <w:trPr>
          <w:trHeight w:val="410"/>
        </w:trPr>
        <w:tc>
          <w:tcPr>
            <w:tcW w:w="2544" w:type="dxa"/>
            <w:tcBorders>
              <w:bottom w:val="single" w:sz="4" w:space="0" w:color="auto"/>
            </w:tcBorders>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64" w:type="dxa"/>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2" w:type="dxa"/>
            <w:shd w:val="clear" w:color="auto" w:fill="auto"/>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296" w:type="dxa"/>
            <w:shd w:val="clear" w:color="auto" w:fill="auto"/>
          </w:tcPr>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397" w:type="dxa"/>
            <w:shd w:val="clear" w:color="auto" w:fill="auto"/>
          </w:tcPr>
          <w:p w:rsidR="006920C0" w:rsidRPr="00BF60D6" w:rsidRDefault="006920C0" w:rsidP="006920C0">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w:t>
            </w:r>
            <w:r w:rsidR="0059693B" w:rsidRPr="00BF60D6">
              <w:rPr>
                <w:rFonts w:ascii="Times New Roman" w:eastAsia="Times New Roman" w:hAnsi="Times New Roman" w:cs="Times New Roman"/>
                <w:b/>
              </w:rPr>
              <w:t xml:space="preserve">čerpania k uprav. </w:t>
            </w:r>
            <w:r w:rsidRPr="00BF60D6">
              <w:rPr>
                <w:rFonts w:ascii="Times New Roman" w:eastAsia="Times New Roman" w:hAnsi="Times New Roman" w:cs="Times New Roman"/>
                <w:b/>
              </w:rPr>
              <w:t>r</w:t>
            </w:r>
            <w:r w:rsidR="0059693B" w:rsidRPr="00BF60D6">
              <w:rPr>
                <w:rFonts w:ascii="Times New Roman" w:eastAsia="Times New Roman" w:hAnsi="Times New Roman" w:cs="Times New Roman"/>
                <w:b/>
              </w:rPr>
              <w:t>ozpočtu</w:t>
            </w:r>
          </w:p>
        </w:tc>
      </w:tr>
      <w:tr w:rsidR="006A2D89" w:rsidRPr="00BF60D6" w:rsidTr="006920C0">
        <w:tc>
          <w:tcPr>
            <w:tcW w:w="2544" w:type="dxa"/>
            <w:tcBorders>
              <w:top w:val="single" w:sz="4" w:space="0" w:color="auto"/>
              <w:left w:val="single" w:sz="4" w:space="0" w:color="auto"/>
              <w:bottom w:val="single" w:sz="4" w:space="0" w:color="auto"/>
              <w:right w:val="single" w:sz="4" w:space="0" w:color="auto"/>
            </w:tcBorders>
            <w:shd w:val="clear" w:color="auto" w:fill="auto"/>
          </w:tcPr>
          <w:p w:rsidR="006A2D89" w:rsidRPr="00BF60D6" w:rsidRDefault="006A2D89" w:rsidP="00C6007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64" w:type="dxa"/>
            <w:tcBorders>
              <w:left w:val="single" w:sz="4" w:space="0" w:color="auto"/>
            </w:tcBorders>
          </w:tcPr>
          <w:p w:rsidR="006A2D89" w:rsidRPr="00BF60D6" w:rsidRDefault="006A2D89" w:rsidP="00C6007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2" w:type="dxa"/>
            <w:shd w:val="clear" w:color="auto" w:fill="auto"/>
          </w:tcPr>
          <w:p w:rsidR="006A2D89" w:rsidRPr="00BF60D6" w:rsidRDefault="006A2D89"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404 000,00</w:t>
            </w:r>
          </w:p>
        </w:tc>
        <w:tc>
          <w:tcPr>
            <w:tcW w:w="1559" w:type="dxa"/>
            <w:shd w:val="clear" w:color="auto" w:fill="auto"/>
          </w:tcPr>
          <w:p w:rsidR="006A2D89" w:rsidRPr="00BF60D6" w:rsidRDefault="009F2FE3"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404 000,00</w:t>
            </w:r>
          </w:p>
        </w:tc>
        <w:tc>
          <w:tcPr>
            <w:tcW w:w="1296" w:type="dxa"/>
            <w:shd w:val="clear" w:color="auto" w:fill="auto"/>
          </w:tcPr>
          <w:p w:rsidR="006A2D89" w:rsidRPr="00BF60D6" w:rsidRDefault="009F2FE3"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404 000,00</w:t>
            </w:r>
          </w:p>
        </w:tc>
        <w:tc>
          <w:tcPr>
            <w:tcW w:w="1397" w:type="dxa"/>
            <w:shd w:val="clear" w:color="auto" w:fill="auto"/>
          </w:tcPr>
          <w:p w:rsidR="006A2D89" w:rsidRPr="00BF60D6" w:rsidRDefault="009F2FE3" w:rsidP="00C6007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r w:rsidR="009F2FE3" w:rsidRPr="00BF60D6" w:rsidTr="006920C0">
        <w:tc>
          <w:tcPr>
            <w:tcW w:w="2544"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0A6B13">
            <w:pPr>
              <w:spacing w:after="0" w:line="240" w:lineRule="auto"/>
              <w:jc w:val="both"/>
              <w:rPr>
                <w:rFonts w:ascii="Times New Roman" w:eastAsia="Times New Roman" w:hAnsi="Times New Roman" w:cs="Times New Roman"/>
              </w:rPr>
            </w:pPr>
          </w:p>
        </w:tc>
        <w:tc>
          <w:tcPr>
            <w:tcW w:w="864" w:type="dxa"/>
            <w:tcBorders>
              <w:top w:val="single" w:sz="4" w:space="0" w:color="auto"/>
              <w:left w:val="single" w:sz="4" w:space="0" w:color="auto"/>
              <w:bottom w:val="single" w:sz="4" w:space="0" w:color="auto"/>
              <w:right w:val="single" w:sz="4" w:space="0" w:color="auto"/>
            </w:tcBorders>
          </w:tcPr>
          <w:p w:rsidR="009F2FE3" w:rsidRPr="00BF60D6" w:rsidRDefault="009F2FE3" w:rsidP="009F2FE3">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131E</w:t>
            </w: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32403F" w:rsidP="00121771">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0</w:t>
            </w:r>
            <w:r w:rsidR="009F2FE3" w:rsidRPr="00BF60D6">
              <w:rPr>
                <w:rFonts w:ascii="Times New Roman" w:hAnsi="Times New Roman" w:cs="Times New Roman"/>
                <w:lang w:eastAsia="sk-SK"/>
              </w:rPr>
              <w:t>,00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119 089,94</w:t>
            </w: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119 089,00</w:t>
            </w:r>
          </w:p>
        </w:tc>
        <w:tc>
          <w:tcPr>
            <w:tcW w:w="1397"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0A6B13">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99,99</w:t>
            </w:r>
          </w:p>
        </w:tc>
      </w:tr>
      <w:tr w:rsidR="009F2FE3" w:rsidRPr="00BF60D6" w:rsidTr="006920C0">
        <w:tc>
          <w:tcPr>
            <w:tcW w:w="2544"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9F2FE3">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640 spolu</w:t>
            </w:r>
          </w:p>
        </w:tc>
        <w:tc>
          <w:tcPr>
            <w:tcW w:w="864" w:type="dxa"/>
            <w:tcBorders>
              <w:top w:val="single" w:sz="4" w:space="0" w:color="auto"/>
              <w:left w:val="single" w:sz="4" w:space="0" w:color="auto"/>
              <w:bottom w:val="single" w:sz="4" w:space="0" w:color="auto"/>
              <w:right w:val="single" w:sz="4" w:space="0" w:color="auto"/>
            </w:tcBorders>
          </w:tcPr>
          <w:p w:rsidR="009F2FE3" w:rsidRPr="00BF60D6" w:rsidRDefault="009F2FE3" w:rsidP="000A6B13">
            <w:pPr>
              <w:autoSpaceDE w:val="0"/>
              <w:autoSpaceDN w:val="0"/>
              <w:adjustRightInd w:val="0"/>
              <w:spacing w:after="0" w:line="240" w:lineRule="auto"/>
              <w:jc w:val="center"/>
              <w:rPr>
                <w:rFonts w:ascii="Times New Roman" w:hAnsi="Times New Roman" w:cs="Times New Roman"/>
                <w:b/>
                <w:lang w:eastAsia="sk-SK"/>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121771">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404 000,00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121771">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523 089,94</w:t>
            </w: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121771">
            <w:pPr>
              <w:autoSpaceDE w:val="0"/>
              <w:autoSpaceDN w:val="0"/>
              <w:adjustRightInd w:val="0"/>
              <w:spacing w:after="0" w:line="240" w:lineRule="auto"/>
              <w:jc w:val="right"/>
              <w:rPr>
                <w:rFonts w:ascii="Times New Roman" w:hAnsi="Times New Roman" w:cs="Times New Roman"/>
                <w:b/>
                <w:lang w:eastAsia="sk-SK"/>
              </w:rPr>
            </w:pPr>
            <w:r w:rsidRPr="00BF60D6">
              <w:rPr>
                <w:rFonts w:ascii="Times New Roman" w:hAnsi="Times New Roman" w:cs="Times New Roman"/>
                <w:b/>
                <w:lang w:eastAsia="sk-SK"/>
              </w:rPr>
              <w:t>523 089,00</w:t>
            </w:r>
          </w:p>
        </w:tc>
        <w:tc>
          <w:tcPr>
            <w:tcW w:w="1397" w:type="dxa"/>
            <w:tcBorders>
              <w:top w:val="single" w:sz="4" w:space="0" w:color="auto"/>
              <w:left w:val="single" w:sz="4" w:space="0" w:color="auto"/>
              <w:bottom w:val="single" w:sz="4" w:space="0" w:color="auto"/>
              <w:right w:val="single" w:sz="4" w:space="0" w:color="auto"/>
            </w:tcBorders>
            <w:shd w:val="clear" w:color="auto" w:fill="auto"/>
          </w:tcPr>
          <w:p w:rsidR="009F2FE3" w:rsidRPr="00BF60D6" w:rsidRDefault="009F2FE3" w:rsidP="000A6B13">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99,99</w:t>
            </w:r>
          </w:p>
        </w:tc>
      </w:tr>
    </w:tbl>
    <w:p w:rsidR="009F2FE3" w:rsidRPr="00BF60D6" w:rsidRDefault="009F2FE3" w:rsidP="009F2FE3">
      <w:pPr>
        <w:spacing w:after="0" w:line="240" w:lineRule="auto"/>
        <w:ind w:right="26"/>
        <w:jc w:val="both"/>
        <w:rPr>
          <w:rFonts w:ascii="Times New Roman" w:hAnsi="Times New Roman" w:cs="Times New Roman"/>
        </w:rPr>
      </w:pPr>
    </w:p>
    <w:p w:rsidR="009F2FE3" w:rsidRPr="009F2FE3" w:rsidRDefault="009F2FE3" w:rsidP="009F2FE3">
      <w:pPr>
        <w:spacing w:after="0" w:line="240" w:lineRule="auto"/>
        <w:ind w:right="26" w:firstLine="709"/>
        <w:jc w:val="both"/>
        <w:rPr>
          <w:rFonts w:ascii="Times New Roman" w:hAnsi="Times New Roman" w:cs="Times New Roman"/>
          <w:sz w:val="24"/>
          <w:szCs w:val="24"/>
        </w:rPr>
      </w:pPr>
      <w:r w:rsidRPr="009F2FE3">
        <w:rPr>
          <w:rFonts w:ascii="Times New Roman" w:hAnsi="Times New Roman" w:cs="Times New Roman"/>
          <w:sz w:val="24"/>
          <w:szCs w:val="24"/>
        </w:rPr>
        <w:t xml:space="preserve">Celková </w:t>
      </w:r>
      <w:r w:rsidR="0032403F">
        <w:rPr>
          <w:rFonts w:ascii="Times New Roman" w:hAnsi="Times New Roman" w:cs="Times New Roman"/>
          <w:sz w:val="24"/>
          <w:szCs w:val="24"/>
        </w:rPr>
        <w:t>výška</w:t>
      </w:r>
      <w:r w:rsidRPr="009F2FE3">
        <w:rPr>
          <w:rFonts w:ascii="Times New Roman" w:hAnsi="Times New Roman" w:cs="Times New Roman"/>
          <w:sz w:val="24"/>
          <w:szCs w:val="24"/>
        </w:rPr>
        <w:t xml:space="preserve"> schválen</w:t>
      </w:r>
      <w:r>
        <w:rPr>
          <w:rFonts w:ascii="Times New Roman" w:hAnsi="Times New Roman" w:cs="Times New Roman"/>
          <w:sz w:val="24"/>
          <w:szCs w:val="24"/>
        </w:rPr>
        <w:t>ých výdavkov</w:t>
      </w:r>
      <w:r w:rsidRPr="009F2FE3">
        <w:rPr>
          <w:rFonts w:ascii="Times New Roman" w:hAnsi="Times New Roman" w:cs="Times New Roman"/>
          <w:sz w:val="24"/>
          <w:szCs w:val="24"/>
        </w:rPr>
        <w:t xml:space="preserve"> na uvedený prvok v sume 404 000,00 eur bola na rok 2015  rozpočtovaná v štruktúre:  </w:t>
      </w:r>
    </w:p>
    <w:p w:rsidR="009F2FE3" w:rsidRPr="009F2FE3" w:rsidRDefault="009F2FE3" w:rsidP="00441B11">
      <w:pPr>
        <w:numPr>
          <w:ilvl w:val="0"/>
          <w:numId w:val="9"/>
        </w:numPr>
        <w:spacing w:after="0" w:line="240" w:lineRule="auto"/>
        <w:ind w:left="426" w:right="26" w:hanging="426"/>
        <w:jc w:val="both"/>
        <w:rPr>
          <w:rFonts w:ascii="Times New Roman" w:hAnsi="Times New Roman" w:cs="Times New Roman"/>
          <w:sz w:val="24"/>
          <w:szCs w:val="24"/>
        </w:rPr>
      </w:pPr>
      <w:r w:rsidRPr="009F2FE3">
        <w:rPr>
          <w:rFonts w:ascii="Times New Roman" w:hAnsi="Times New Roman" w:cs="Times New Roman"/>
          <w:sz w:val="24"/>
          <w:szCs w:val="24"/>
        </w:rPr>
        <w:t>deputátne uhlie pre dôchodcov a vdovy po baníkoch v hodnote 324 000,00 eur,</w:t>
      </w:r>
    </w:p>
    <w:p w:rsidR="009F2FE3" w:rsidRDefault="009F2FE3" w:rsidP="00441B11">
      <w:pPr>
        <w:numPr>
          <w:ilvl w:val="0"/>
          <w:numId w:val="9"/>
        </w:numPr>
        <w:spacing w:after="0" w:line="240" w:lineRule="auto"/>
        <w:ind w:left="426" w:right="26" w:hanging="426"/>
        <w:jc w:val="both"/>
        <w:rPr>
          <w:rFonts w:ascii="Times New Roman" w:hAnsi="Times New Roman" w:cs="Times New Roman"/>
          <w:sz w:val="24"/>
          <w:szCs w:val="24"/>
        </w:rPr>
      </w:pPr>
      <w:r w:rsidRPr="009F2FE3">
        <w:rPr>
          <w:rFonts w:ascii="Times New Roman" w:hAnsi="Times New Roman" w:cs="Times New Roman"/>
          <w:sz w:val="24"/>
          <w:szCs w:val="24"/>
        </w:rPr>
        <w:t xml:space="preserve">útlm v Bani Dolina, a.s. Veľký Krtíš  v sume 80 000,00 eur. </w:t>
      </w:r>
    </w:p>
    <w:p w:rsidR="009F2FE3" w:rsidRPr="009F2FE3" w:rsidRDefault="009F2FE3" w:rsidP="009F2FE3">
      <w:pPr>
        <w:spacing w:after="0" w:line="240" w:lineRule="auto"/>
        <w:ind w:right="26" w:firstLine="709"/>
        <w:jc w:val="both"/>
        <w:rPr>
          <w:rFonts w:ascii="Times New Roman" w:hAnsi="Times New Roman" w:cs="Times New Roman"/>
          <w:sz w:val="24"/>
          <w:szCs w:val="24"/>
        </w:rPr>
      </w:pPr>
    </w:p>
    <w:p w:rsidR="009F2FE3" w:rsidRDefault="009F2FE3" w:rsidP="00441B11">
      <w:pPr>
        <w:spacing w:after="0" w:line="240" w:lineRule="auto"/>
        <w:ind w:right="-2" w:firstLine="709"/>
        <w:jc w:val="both"/>
        <w:rPr>
          <w:rFonts w:ascii="Times New Roman" w:hAnsi="Times New Roman" w:cs="Times New Roman"/>
          <w:sz w:val="24"/>
          <w:szCs w:val="24"/>
        </w:rPr>
      </w:pPr>
      <w:r w:rsidRPr="009F2FE3">
        <w:rPr>
          <w:rFonts w:ascii="Times New Roman" w:hAnsi="Times New Roman" w:cs="Times New Roman"/>
          <w:sz w:val="24"/>
          <w:szCs w:val="24"/>
        </w:rPr>
        <w:t xml:space="preserve">V priebehu roka 2015 bol rozpočet navýšený rozpočtovým opatrením  MF SR o prostriedky nevyčerpané v roku 2014 v sume 119 089,94 eur na útlm v Bani Dolina, a.s., t.j. celkový upravený rozpočet na tento prvok rozpočtu bol upravený na  sumu 523 089,94 eur. </w:t>
      </w:r>
    </w:p>
    <w:p w:rsidR="009F2FE3" w:rsidRPr="009F2FE3" w:rsidRDefault="009F2FE3" w:rsidP="009F2FE3">
      <w:pPr>
        <w:spacing w:after="0" w:line="240" w:lineRule="auto"/>
        <w:ind w:right="26" w:firstLine="709"/>
        <w:jc w:val="both"/>
        <w:rPr>
          <w:rFonts w:ascii="Times New Roman" w:hAnsi="Times New Roman" w:cs="Times New Roman"/>
          <w:sz w:val="24"/>
          <w:szCs w:val="24"/>
        </w:rPr>
      </w:pPr>
    </w:p>
    <w:p w:rsidR="009F2FE3" w:rsidRDefault="009F2FE3" w:rsidP="009F2FE3">
      <w:pPr>
        <w:spacing w:after="0" w:line="240" w:lineRule="auto"/>
        <w:ind w:right="26" w:firstLine="709"/>
        <w:jc w:val="both"/>
        <w:rPr>
          <w:rFonts w:ascii="Times New Roman" w:hAnsi="Times New Roman" w:cs="Times New Roman"/>
          <w:sz w:val="24"/>
          <w:szCs w:val="24"/>
        </w:rPr>
      </w:pPr>
      <w:r w:rsidRPr="009F2FE3">
        <w:rPr>
          <w:rFonts w:ascii="Times New Roman" w:hAnsi="Times New Roman" w:cs="Times New Roman"/>
          <w:sz w:val="24"/>
          <w:szCs w:val="24"/>
        </w:rPr>
        <w:t xml:space="preserve">V hodnotenom období boli rozpočtové prostriedky na uvedený podprogram čerpané v celkovej sume 523 089,00 eur, čo je čerpanie vo výške </w:t>
      </w:r>
      <w:r>
        <w:rPr>
          <w:rFonts w:ascii="Times New Roman" w:hAnsi="Times New Roman" w:cs="Times New Roman"/>
          <w:sz w:val="24"/>
          <w:szCs w:val="24"/>
        </w:rPr>
        <w:t>99,99</w:t>
      </w:r>
      <w:r w:rsidRPr="009F2FE3">
        <w:rPr>
          <w:rFonts w:ascii="Times New Roman" w:hAnsi="Times New Roman" w:cs="Times New Roman"/>
          <w:sz w:val="24"/>
          <w:szCs w:val="24"/>
        </w:rPr>
        <w:t xml:space="preserve"> % z upraveného rozpočtu. </w:t>
      </w:r>
    </w:p>
    <w:p w:rsidR="009F2FE3" w:rsidRPr="009F2FE3" w:rsidRDefault="009F2FE3" w:rsidP="009F2FE3">
      <w:pPr>
        <w:spacing w:after="0" w:line="240" w:lineRule="auto"/>
        <w:ind w:right="26" w:firstLine="709"/>
        <w:jc w:val="both"/>
        <w:rPr>
          <w:rFonts w:ascii="Times New Roman" w:hAnsi="Times New Roman" w:cs="Times New Roman"/>
          <w:sz w:val="24"/>
          <w:szCs w:val="24"/>
        </w:rPr>
      </w:pPr>
    </w:p>
    <w:p w:rsidR="009F2FE3" w:rsidRDefault="009F2FE3" w:rsidP="0032403F">
      <w:pPr>
        <w:spacing w:after="0" w:line="240" w:lineRule="auto"/>
        <w:ind w:right="26" w:firstLine="709"/>
        <w:jc w:val="both"/>
        <w:rPr>
          <w:rFonts w:ascii="Times New Roman" w:hAnsi="Times New Roman" w:cs="Times New Roman"/>
          <w:sz w:val="24"/>
          <w:szCs w:val="24"/>
        </w:rPr>
      </w:pPr>
      <w:r w:rsidRPr="009F2FE3">
        <w:rPr>
          <w:rFonts w:ascii="Times New Roman" w:hAnsi="Times New Roman" w:cs="Times New Roman"/>
          <w:sz w:val="24"/>
          <w:szCs w:val="24"/>
        </w:rPr>
        <w:t xml:space="preserve">Rozpočtové prostriedky v sume 324 000,00 eur boli poskytnuté Rudným baniam, š. p. (46 550,93 eur), Hornonitrianskym baniam Prievidza, a. s. (274 014,47 eur) a Bani Čáry, a. s. (3 434,60 eur) na základe podpísaných Zmlúv o poskytnutí dotácie na rok 2015 medzi        MH SR a baníckymi organizáciami. </w:t>
      </w:r>
    </w:p>
    <w:p w:rsidR="009F2FE3" w:rsidRPr="009F2FE3" w:rsidRDefault="009F2FE3" w:rsidP="009F2FE3">
      <w:pPr>
        <w:spacing w:after="0" w:line="240" w:lineRule="auto"/>
        <w:ind w:right="26" w:firstLine="709"/>
        <w:jc w:val="both"/>
        <w:rPr>
          <w:rFonts w:ascii="Times New Roman" w:hAnsi="Times New Roman" w:cs="Times New Roman"/>
          <w:sz w:val="24"/>
          <w:szCs w:val="24"/>
        </w:rPr>
      </w:pPr>
    </w:p>
    <w:p w:rsidR="009F2FE3" w:rsidRDefault="009F2FE3" w:rsidP="009F2FE3">
      <w:pPr>
        <w:spacing w:after="0" w:line="240" w:lineRule="auto"/>
        <w:ind w:right="26" w:firstLine="709"/>
        <w:jc w:val="both"/>
        <w:rPr>
          <w:rFonts w:ascii="Times New Roman" w:hAnsi="Times New Roman" w:cs="Times New Roman"/>
          <w:sz w:val="24"/>
          <w:szCs w:val="24"/>
        </w:rPr>
      </w:pPr>
      <w:r w:rsidRPr="009F2FE3">
        <w:rPr>
          <w:rFonts w:ascii="Times New Roman" w:hAnsi="Times New Roman" w:cs="Times New Roman"/>
          <w:sz w:val="24"/>
          <w:szCs w:val="24"/>
        </w:rPr>
        <w:t>Finančné prostriedky v sume 199 089,00 eur boli poskytnuté bani Dolina, a. s. na spoluúčasť pri úhrade sociálnych vplyvov útlmu banskej činnosti a likvidáciu uhoľnej bane v</w:t>
      </w:r>
      <w:r w:rsidR="0032403F">
        <w:rPr>
          <w:rFonts w:ascii="Times New Roman" w:hAnsi="Times New Roman" w:cs="Times New Roman"/>
          <w:sz w:val="24"/>
          <w:szCs w:val="24"/>
        </w:rPr>
        <w:t> </w:t>
      </w:r>
      <w:r w:rsidRPr="009F2FE3">
        <w:rPr>
          <w:rFonts w:ascii="Times New Roman" w:hAnsi="Times New Roman" w:cs="Times New Roman"/>
          <w:sz w:val="24"/>
          <w:szCs w:val="24"/>
        </w:rPr>
        <w:t>súlade</w:t>
      </w:r>
      <w:r w:rsidR="0032403F">
        <w:rPr>
          <w:rFonts w:ascii="Times New Roman" w:hAnsi="Times New Roman" w:cs="Times New Roman"/>
          <w:sz w:val="24"/>
          <w:szCs w:val="24"/>
        </w:rPr>
        <w:t xml:space="preserve"> so</w:t>
      </w:r>
      <w:r w:rsidRPr="009F2FE3">
        <w:rPr>
          <w:rFonts w:ascii="Times New Roman" w:hAnsi="Times New Roman" w:cs="Times New Roman"/>
          <w:sz w:val="24"/>
          <w:szCs w:val="24"/>
        </w:rPr>
        <w:t xml:space="preserve"> Zmluvou o poskytnutí dotácie na rok 2015 uzatvorenou medzi MH SR a Baňou Dolina, a. s.</w:t>
      </w:r>
    </w:p>
    <w:p w:rsidR="00846713" w:rsidRPr="009F1E92" w:rsidRDefault="00846713" w:rsidP="009F1E92">
      <w:pPr>
        <w:pStyle w:val="Zkladntext"/>
        <w:spacing w:after="0" w:line="240" w:lineRule="auto"/>
        <w:rPr>
          <w:rFonts w:ascii="Times New Roman" w:hAnsi="Times New Roman" w:cs="Times New Roman"/>
          <w:i/>
          <w:sz w:val="24"/>
          <w:szCs w:val="24"/>
        </w:rPr>
      </w:pPr>
      <w:r w:rsidRPr="009F1E92">
        <w:rPr>
          <w:rFonts w:ascii="Times New Roman" w:hAnsi="Times New Roman" w:cs="Times New Roman"/>
          <w:i/>
          <w:sz w:val="24"/>
          <w:szCs w:val="24"/>
        </w:rPr>
        <w:t xml:space="preserve">07K 01 0F Podpora útlmu rudného baníctva </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559"/>
        <w:gridCol w:w="1559"/>
        <w:gridCol w:w="1559"/>
        <w:gridCol w:w="1134"/>
      </w:tblGrid>
      <w:tr w:rsidR="0059693B" w:rsidRPr="00BF60D6" w:rsidTr="0098744C">
        <w:trPr>
          <w:trHeight w:val="721"/>
        </w:trPr>
        <w:tc>
          <w:tcPr>
            <w:tcW w:w="2410"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134"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846713" w:rsidRPr="00BF60D6" w:rsidTr="0098744C">
        <w:tc>
          <w:tcPr>
            <w:tcW w:w="2410" w:type="dxa"/>
            <w:shd w:val="clear" w:color="auto" w:fill="auto"/>
          </w:tcPr>
          <w:p w:rsidR="00846713" w:rsidRPr="00BF60D6" w:rsidRDefault="00846713"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846713" w:rsidRPr="00BF60D6" w:rsidRDefault="00846713" w:rsidP="009F1E9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846713" w:rsidRPr="00BF60D6" w:rsidRDefault="00846713"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1 711 000,00</w:t>
            </w:r>
          </w:p>
        </w:tc>
        <w:tc>
          <w:tcPr>
            <w:tcW w:w="1559" w:type="dxa"/>
            <w:shd w:val="clear" w:color="auto" w:fill="auto"/>
          </w:tcPr>
          <w:p w:rsidR="00846713" w:rsidRPr="00BF60D6" w:rsidRDefault="006D533C"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1 561 000,00</w:t>
            </w:r>
          </w:p>
        </w:tc>
        <w:tc>
          <w:tcPr>
            <w:tcW w:w="1559" w:type="dxa"/>
            <w:shd w:val="clear" w:color="auto" w:fill="auto"/>
          </w:tcPr>
          <w:p w:rsidR="00846713" w:rsidRPr="00BF60D6" w:rsidRDefault="006D533C"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1 561 000,00</w:t>
            </w:r>
          </w:p>
        </w:tc>
        <w:tc>
          <w:tcPr>
            <w:tcW w:w="1134" w:type="dxa"/>
            <w:shd w:val="clear" w:color="auto" w:fill="auto"/>
          </w:tcPr>
          <w:p w:rsidR="00846713" w:rsidRPr="00BF60D6" w:rsidRDefault="006D533C"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6920C0" w:rsidRDefault="006920C0" w:rsidP="006920C0">
      <w:pPr>
        <w:tabs>
          <w:tab w:val="num" w:pos="540"/>
        </w:tabs>
        <w:spacing w:after="0" w:line="240" w:lineRule="auto"/>
        <w:ind w:right="26" w:firstLine="709"/>
        <w:jc w:val="both"/>
        <w:rPr>
          <w:rFonts w:ascii="Times New Roman" w:hAnsi="Times New Roman" w:cs="Times New Roman"/>
          <w:sz w:val="24"/>
          <w:szCs w:val="24"/>
        </w:rPr>
      </w:pPr>
    </w:p>
    <w:p w:rsidR="006920C0" w:rsidRPr="006920C0" w:rsidRDefault="006920C0" w:rsidP="006920C0">
      <w:pPr>
        <w:tabs>
          <w:tab w:val="num" w:pos="540"/>
        </w:tabs>
        <w:spacing w:after="0" w:line="240" w:lineRule="auto"/>
        <w:ind w:right="26" w:firstLine="709"/>
        <w:jc w:val="both"/>
        <w:rPr>
          <w:rFonts w:ascii="Times New Roman" w:hAnsi="Times New Roman" w:cs="Times New Roman"/>
          <w:sz w:val="24"/>
          <w:szCs w:val="24"/>
        </w:rPr>
      </w:pPr>
      <w:r w:rsidRPr="006920C0">
        <w:rPr>
          <w:rFonts w:ascii="Times New Roman" w:hAnsi="Times New Roman" w:cs="Times New Roman"/>
          <w:sz w:val="24"/>
          <w:szCs w:val="24"/>
        </w:rPr>
        <w:t xml:space="preserve">Záväzný ukazovateľ  rozpočtu </w:t>
      </w:r>
      <w:r w:rsidR="0046660A">
        <w:rPr>
          <w:rFonts w:ascii="Times New Roman" w:hAnsi="Times New Roman" w:cs="Times New Roman"/>
          <w:sz w:val="24"/>
          <w:szCs w:val="24"/>
        </w:rPr>
        <w:t>v sume</w:t>
      </w:r>
      <w:r w:rsidRPr="006920C0">
        <w:rPr>
          <w:rFonts w:ascii="Times New Roman" w:hAnsi="Times New Roman" w:cs="Times New Roman"/>
          <w:sz w:val="24"/>
          <w:szCs w:val="24"/>
        </w:rPr>
        <w:t xml:space="preserve">  1 711 000,00 eur bol v roku 2015  rozdelený do dvoch položiek:</w:t>
      </w:r>
    </w:p>
    <w:p w:rsidR="006920C0" w:rsidRPr="006920C0" w:rsidRDefault="006920C0" w:rsidP="00441B11">
      <w:pPr>
        <w:numPr>
          <w:ilvl w:val="0"/>
          <w:numId w:val="9"/>
        </w:numPr>
        <w:spacing w:after="0" w:line="240" w:lineRule="auto"/>
        <w:ind w:left="426" w:right="26" w:hanging="426"/>
        <w:jc w:val="both"/>
        <w:rPr>
          <w:rFonts w:ascii="Times New Roman" w:hAnsi="Times New Roman" w:cs="Times New Roman"/>
          <w:sz w:val="24"/>
          <w:szCs w:val="24"/>
        </w:rPr>
      </w:pPr>
      <w:r w:rsidRPr="006920C0">
        <w:rPr>
          <w:rFonts w:ascii="Times New Roman" w:hAnsi="Times New Roman" w:cs="Times New Roman"/>
          <w:sz w:val="24"/>
          <w:szCs w:val="24"/>
        </w:rPr>
        <w:t xml:space="preserve">technické práce súvisiace s  likvidáciou neefektívnych banských  prevádzok a odstraňovaním následkov banskej činnosti na životnom prostredí </w:t>
      </w:r>
      <w:r w:rsidR="00F47A20">
        <w:rPr>
          <w:rFonts w:ascii="Times New Roman" w:hAnsi="Times New Roman" w:cs="Times New Roman"/>
          <w:sz w:val="24"/>
          <w:szCs w:val="24"/>
        </w:rPr>
        <w:t>v sume</w:t>
      </w:r>
      <w:r w:rsidRPr="006920C0">
        <w:rPr>
          <w:rFonts w:ascii="Times New Roman" w:hAnsi="Times New Roman" w:cs="Times New Roman"/>
          <w:sz w:val="24"/>
          <w:szCs w:val="24"/>
        </w:rPr>
        <w:t xml:space="preserve">     1 161 000,00 eur,</w:t>
      </w:r>
    </w:p>
    <w:p w:rsidR="006920C0" w:rsidRPr="006920C0" w:rsidRDefault="006920C0" w:rsidP="00441B11">
      <w:pPr>
        <w:numPr>
          <w:ilvl w:val="0"/>
          <w:numId w:val="9"/>
        </w:numPr>
        <w:spacing w:after="0" w:line="240" w:lineRule="auto"/>
        <w:ind w:left="426" w:right="26" w:hanging="426"/>
        <w:jc w:val="both"/>
        <w:rPr>
          <w:rFonts w:ascii="Times New Roman" w:hAnsi="Times New Roman" w:cs="Times New Roman"/>
          <w:sz w:val="24"/>
          <w:szCs w:val="24"/>
        </w:rPr>
      </w:pPr>
      <w:r w:rsidRPr="006920C0">
        <w:rPr>
          <w:rFonts w:ascii="Times New Roman" w:hAnsi="Times New Roman" w:cs="Times New Roman"/>
          <w:sz w:val="24"/>
          <w:szCs w:val="24"/>
        </w:rPr>
        <w:t xml:space="preserve">sociálne   náklady   (sociálne   dávky   a  dávky   z titulu   dosiahnutia   najvyššej   prípustnej expozície) v sume 550 000,00 eur. </w:t>
      </w:r>
    </w:p>
    <w:p w:rsidR="006920C0" w:rsidRPr="006920C0" w:rsidRDefault="006920C0" w:rsidP="00441B11">
      <w:pPr>
        <w:tabs>
          <w:tab w:val="num" w:pos="540"/>
        </w:tabs>
        <w:spacing w:after="0" w:line="240" w:lineRule="auto"/>
        <w:ind w:left="426" w:right="26" w:hanging="426"/>
        <w:jc w:val="both"/>
        <w:rPr>
          <w:rFonts w:ascii="Times New Roman" w:hAnsi="Times New Roman" w:cs="Times New Roman"/>
          <w:sz w:val="24"/>
          <w:szCs w:val="24"/>
        </w:rPr>
      </w:pPr>
    </w:p>
    <w:p w:rsidR="006920C0" w:rsidRPr="006920C0" w:rsidRDefault="006920C0" w:rsidP="006920C0">
      <w:pPr>
        <w:tabs>
          <w:tab w:val="num" w:pos="540"/>
        </w:tabs>
        <w:spacing w:after="0" w:line="240" w:lineRule="auto"/>
        <w:ind w:right="26" w:firstLine="709"/>
        <w:jc w:val="both"/>
        <w:rPr>
          <w:rFonts w:ascii="Times New Roman" w:hAnsi="Times New Roman" w:cs="Times New Roman"/>
          <w:sz w:val="24"/>
          <w:szCs w:val="24"/>
        </w:rPr>
      </w:pPr>
      <w:r w:rsidRPr="006920C0">
        <w:rPr>
          <w:rFonts w:ascii="Times New Roman" w:hAnsi="Times New Roman" w:cs="Times New Roman"/>
          <w:sz w:val="24"/>
          <w:szCs w:val="24"/>
        </w:rPr>
        <w:t xml:space="preserve">Rozpočtovým opatrením MF SR bol rozpočet v uvedenom prvku v  oblasti sociálnych   nákladov znížený o 150 000,00 eur na sumu 400 000,00 eur.   </w:t>
      </w:r>
    </w:p>
    <w:p w:rsidR="006920C0" w:rsidRPr="006920C0" w:rsidRDefault="006920C0" w:rsidP="006920C0">
      <w:pPr>
        <w:tabs>
          <w:tab w:val="num" w:pos="540"/>
        </w:tabs>
        <w:spacing w:after="0" w:line="240" w:lineRule="auto"/>
        <w:ind w:right="26" w:firstLine="709"/>
        <w:jc w:val="both"/>
        <w:rPr>
          <w:rFonts w:ascii="Times New Roman" w:hAnsi="Times New Roman" w:cs="Times New Roman"/>
          <w:sz w:val="24"/>
          <w:szCs w:val="24"/>
        </w:rPr>
      </w:pPr>
      <w:r w:rsidRPr="006920C0">
        <w:rPr>
          <w:rFonts w:ascii="Times New Roman" w:hAnsi="Times New Roman" w:cs="Times New Roman"/>
          <w:sz w:val="24"/>
          <w:szCs w:val="24"/>
        </w:rPr>
        <w:t xml:space="preserve">Finančné prostriedky v hodnotenom období boli v uvedenom prvku čerpané v sume 1 561 000,00 eur, čo je 100,00 % z upraveného rozpočtu. </w:t>
      </w:r>
    </w:p>
    <w:p w:rsidR="006920C0" w:rsidRPr="006920C0" w:rsidRDefault="006920C0" w:rsidP="006920C0">
      <w:pPr>
        <w:tabs>
          <w:tab w:val="num" w:pos="540"/>
        </w:tabs>
        <w:spacing w:after="0" w:line="240" w:lineRule="auto"/>
        <w:ind w:right="26" w:firstLine="709"/>
        <w:jc w:val="both"/>
        <w:rPr>
          <w:rFonts w:ascii="Times New Roman" w:hAnsi="Times New Roman" w:cs="Times New Roman"/>
          <w:sz w:val="24"/>
          <w:szCs w:val="24"/>
        </w:rPr>
      </w:pPr>
      <w:r w:rsidRPr="006920C0">
        <w:rPr>
          <w:rFonts w:ascii="Times New Roman" w:hAnsi="Times New Roman" w:cs="Times New Roman"/>
          <w:sz w:val="24"/>
          <w:szCs w:val="24"/>
        </w:rPr>
        <w:t xml:space="preserve">Rozpočtové prostriedky v sume 400 000,00 eur  boli poukázané  Rudným baniam, </w:t>
      </w:r>
      <w:r w:rsidR="0032403F">
        <w:rPr>
          <w:rFonts w:ascii="Times New Roman" w:hAnsi="Times New Roman" w:cs="Times New Roman"/>
          <w:sz w:val="24"/>
          <w:szCs w:val="24"/>
        </w:rPr>
        <w:t xml:space="preserve">     </w:t>
      </w:r>
      <w:r w:rsidRPr="006920C0">
        <w:rPr>
          <w:rFonts w:ascii="Times New Roman" w:hAnsi="Times New Roman" w:cs="Times New Roman"/>
          <w:sz w:val="24"/>
          <w:szCs w:val="24"/>
        </w:rPr>
        <w:t xml:space="preserve">š. p. na úhradu sociálnych nákladov, ktoré sú poskytované  vo forme osobitného príspevku baníkom v zmysle zákona č. 200/2009 Z. z., ktorým sa mení a dopĺňa zákon č. 98/1987 Zb. o osobitnom príspevku baníkom v znení neskorších predpisov. Podľa vyhlášky MH SR         č. 244/2009 Z. z. o určení subjektu, u ktorého sa uplatňuje nárok na osobitný príspevok baníkom vykonávajú Rudné bane, š. p. Banská Bystrica, ktoré majú povinnosť vyplácať osobitný príspevok baníkom za všetky subjekty na Slovensku. Čerpanie v tejto časti prvku rozpočtu bolo 100,00 % z upraveného rozpočtu k 31.12.2015. </w:t>
      </w:r>
    </w:p>
    <w:p w:rsidR="006920C0" w:rsidRDefault="006920C0" w:rsidP="006920C0">
      <w:pPr>
        <w:tabs>
          <w:tab w:val="num" w:pos="540"/>
        </w:tabs>
        <w:spacing w:after="0" w:line="240" w:lineRule="auto"/>
        <w:ind w:right="26" w:firstLine="709"/>
        <w:jc w:val="both"/>
        <w:rPr>
          <w:rFonts w:ascii="Times New Roman" w:hAnsi="Times New Roman" w:cs="Times New Roman"/>
          <w:sz w:val="24"/>
          <w:szCs w:val="24"/>
        </w:rPr>
      </w:pPr>
      <w:r w:rsidRPr="006920C0">
        <w:rPr>
          <w:rFonts w:ascii="Times New Roman" w:hAnsi="Times New Roman" w:cs="Times New Roman"/>
          <w:sz w:val="24"/>
          <w:szCs w:val="24"/>
        </w:rPr>
        <w:t xml:space="preserve">Na technické práce vykonávané podľa útlmového programu banskej činnosti boli Rudným baniam, Banská Bystrica, š. p. na základe Zmluvy o poskytnutí dotácie na rok 2015 poskytnuté finančné prostriedky v sume 1 161 000,00, čo je 100% čerpanie výdavkov na technické práce. Technické práce boli vykonané na jednotlivých lokalitách v Banskej Štiavnici, v </w:t>
      </w:r>
      <w:proofErr w:type="spellStart"/>
      <w:r w:rsidRPr="006920C0">
        <w:rPr>
          <w:rFonts w:ascii="Times New Roman" w:hAnsi="Times New Roman" w:cs="Times New Roman"/>
          <w:sz w:val="24"/>
          <w:szCs w:val="24"/>
        </w:rPr>
        <w:t>Hodruši</w:t>
      </w:r>
      <w:proofErr w:type="spellEnd"/>
      <w:r w:rsidRPr="006920C0">
        <w:rPr>
          <w:rFonts w:ascii="Times New Roman" w:hAnsi="Times New Roman" w:cs="Times New Roman"/>
          <w:sz w:val="24"/>
          <w:szCs w:val="24"/>
        </w:rPr>
        <w:t xml:space="preserve"> Hámroch, v Pezinku, v Malachove - Španej Doline a i.</w:t>
      </w:r>
    </w:p>
    <w:p w:rsidR="00441B11" w:rsidRPr="006920C0" w:rsidRDefault="00441B11" w:rsidP="006920C0">
      <w:pPr>
        <w:tabs>
          <w:tab w:val="num" w:pos="540"/>
        </w:tabs>
        <w:spacing w:after="0" w:line="240" w:lineRule="auto"/>
        <w:ind w:right="26" w:firstLine="709"/>
        <w:jc w:val="both"/>
        <w:rPr>
          <w:rFonts w:ascii="Times New Roman" w:hAnsi="Times New Roman" w:cs="Times New Roman"/>
          <w:sz w:val="24"/>
          <w:szCs w:val="24"/>
        </w:rPr>
      </w:pPr>
    </w:p>
    <w:p w:rsidR="00B11258" w:rsidRPr="009F1E92" w:rsidRDefault="00B11258" w:rsidP="009F1E92">
      <w:pPr>
        <w:pStyle w:val="Zkladntext"/>
        <w:spacing w:after="0" w:line="240" w:lineRule="auto"/>
        <w:rPr>
          <w:rFonts w:ascii="Times New Roman" w:hAnsi="Times New Roman" w:cs="Times New Roman"/>
          <w:i/>
          <w:sz w:val="24"/>
          <w:szCs w:val="24"/>
        </w:rPr>
      </w:pPr>
      <w:r w:rsidRPr="009F1E92">
        <w:rPr>
          <w:rFonts w:ascii="Times New Roman" w:hAnsi="Times New Roman" w:cs="Times New Roman"/>
          <w:i/>
          <w:sz w:val="24"/>
          <w:szCs w:val="24"/>
        </w:rPr>
        <w:t>07K 01 15 Národný jadrový fond</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59693B" w:rsidRPr="00BF60D6" w:rsidTr="0098744C">
        <w:trPr>
          <w:trHeight w:val="778"/>
        </w:trPr>
        <w:tc>
          <w:tcPr>
            <w:tcW w:w="2410" w:type="dxa"/>
            <w:shd w:val="clear" w:color="auto" w:fill="auto"/>
          </w:tcPr>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9F1E9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9F1E9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B11258" w:rsidRPr="00BF60D6" w:rsidTr="0098744C">
        <w:tc>
          <w:tcPr>
            <w:tcW w:w="2410" w:type="dxa"/>
            <w:shd w:val="clear" w:color="auto" w:fill="auto"/>
          </w:tcPr>
          <w:p w:rsidR="00B11258" w:rsidRPr="00BF60D6" w:rsidRDefault="00B11258" w:rsidP="009F1E9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B11258" w:rsidRPr="00BF60D6" w:rsidRDefault="00B11258" w:rsidP="009F1E9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B11258" w:rsidRPr="00BF60D6" w:rsidRDefault="00B11258" w:rsidP="00E97B3A">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w:t>
            </w:r>
            <w:r w:rsidR="00E97B3A" w:rsidRPr="00BF60D6">
              <w:rPr>
                <w:rFonts w:ascii="Times New Roman" w:hAnsi="Times New Roman" w:cs="Times New Roman"/>
                <w:lang w:eastAsia="sk-SK"/>
              </w:rPr>
              <w:t>66</w:t>
            </w:r>
            <w:r w:rsidRPr="00BF60D6">
              <w:rPr>
                <w:rFonts w:ascii="Times New Roman" w:hAnsi="Times New Roman" w:cs="Times New Roman"/>
                <w:lang w:eastAsia="sk-SK"/>
              </w:rPr>
              <w:t> 000,00</w:t>
            </w:r>
          </w:p>
        </w:tc>
        <w:tc>
          <w:tcPr>
            <w:tcW w:w="1559" w:type="dxa"/>
            <w:shd w:val="clear" w:color="auto" w:fill="auto"/>
          </w:tcPr>
          <w:p w:rsidR="00B11258" w:rsidRPr="00BF60D6" w:rsidRDefault="00441B11" w:rsidP="009F1E9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151 000,00</w:t>
            </w:r>
          </w:p>
        </w:tc>
        <w:tc>
          <w:tcPr>
            <w:tcW w:w="1418" w:type="dxa"/>
            <w:shd w:val="clear" w:color="auto" w:fill="auto"/>
          </w:tcPr>
          <w:p w:rsidR="00B11258" w:rsidRPr="00BF60D6" w:rsidRDefault="00441B11" w:rsidP="00F47A2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146 520,94</w:t>
            </w:r>
          </w:p>
        </w:tc>
        <w:tc>
          <w:tcPr>
            <w:tcW w:w="1417" w:type="dxa"/>
            <w:shd w:val="clear" w:color="auto" w:fill="auto"/>
          </w:tcPr>
          <w:p w:rsidR="00B11258" w:rsidRPr="00BF60D6" w:rsidRDefault="00441B11" w:rsidP="009F1E9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97,04</w:t>
            </w:r>
          </w:p>
        </w:tc>
      </w:tr>
    </w:tbl>
    <w:p w:rsidR="0098744C" w:rsidRDefault="0098744C" w:rsidP="0098744C">
      <w:pPr>
        <w:autoSpaceDE w:val="0"/>
        <w:autoSpaceDN w:val="0"/>
        <w:adjustRightInd w:val="0"/>
        <w:spacing w:before="240"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 xml:space="preserve">Národnému jadrovému fondu  poskytuje  MH SR rozpočtové  prostriedky na základe    § 7, ods. 1, písm. g) zákona  č. 238/2006 Z. z. na prefinancovanie zachytených rádioaktívnych materiálov od neznámych vlastníkov. Schválený rozpočet na rok 2015 v sume  366 000,00 eur bol rozpočtovým opatrením MF SR upravený na sumu 151 000,00 eur. K 31.12.2015 boli </w:t>
      </w:r>
      <w:r w:rsidR="00F47A20">
        <w:rPr>
          <w:rFonts w:ascii="Times New Roman" w:hAnsi="Times New Roman" w:cs="Times New Roman"/>
          <w:sz w:val="24"/>
          <w:szCs w:val="24"/>
        </w:rPr>
        <w:t>vy</w:t>
      </w:r>
      <w:r w:rsidRPr="0098744C">
        <w:rPr>
          <w:rFonts w:ascii="Times New Roman" w:hAnsi="Times New Roman" w:cs="Times New Roman"/>
          <w:sz w:val="24"/>
          <w:szCs w:val="24"/>
        </w:rPr>
        <w:t xml:space="preserve">čerpané  prostriedky v sume  146 520,94 eur, t.j. 97,04 %. </w:t>
      </w:r>
    </w:p>
    <w:p w:rsidR="0046660A" w:rsidRDefault="0046660A" w:rsidP="0098744C">
      <w:pPr>
        <w:autoSpaceDE w:val="0"/>
        <w:autoSpaceDN w:val="0"/>
        <w:adjustRightInd w:val="0"/>
        <w:spacing w:before="240" w:line="240" w:lineRule="auto"/>
        <w:ind w:firstLine="567"/>
        <w:jc w:val="both"/>
        <w:rPr>
          <w:rFonts w:ascii="Times New Roman" w:hAnsi="Times New Roman" w:cs="Times New Roman"/>
          <w:sz w:val="24"/>
          <w:szCs w:val="24"/>
        </w:rPr>
      </w:pPr>
    </w:p>
    <w:p w:rsidR="0046660A" w:rsidRPr="0098744C" w:rsidRDefault="0046660A" w:rsidP="0098744C">
      <w:pPr>
        <w:autoSpaceDE w:val="0"/>
        <w:autoSpaceDN w:val="0"/>
        <w:adjustRightInd w:val="0"/>
        <w:spacing w:before="240" w:line="240" w:lineRule="auto"/>
        <w:ind w:firstLine="567"/>
        <w:jc w:val="both"/>
        <w:rPr>
          <w:rFonts w:ascii="Times New Roman" w:hAnsi="Times New Roman" w:cs="Times New Roman"/>
          <w:sz w:val="24"/>
          <w:szCs w:val="24"/>
        </w:rPr>
      </w:pPr>
    </w:p>
    <w:p w:rsidR="00122FE4" w:rsidRPr="00122FE4" w:rsidRDefault="00122FE4" w:rsidP="00122FE4">
      <w:pPr>
        <w:pStyle w:val="Zkladntext"/>
        <w:spacing w:after="0" w:line="240" w:lineRule="auto"/>
        <w:rPr>
          <w:rFonts w:ascii="Times New Roman" w:hAnsi="Times New Roman" w:cs="Times New Roman"/>
          <w:i/>
          <w:sz w:val="24"/>
          <w:szCs w:val="24"/>
        </w:rPr>
      </w:pPr>
      <w:r w:rsidRPr="00122FE4">
        <w:rPr>
          <w:rFonts w:ascii="Times New Roman" w:hAnsi="Times New Roman" w:cs="Times New Roman"/>
          <w:i/>
          <w:sz w:val="24"/>
          <w:szCs w:val="24"/>
        </w:rPr>
        <w:t>07K 01 17 Staré banské diela</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59693B" w:rsidRPr="00BF60D6" w:rsidTr="0098744C">
        <w:trPr>
          <w:trHeight w:val="783"/>
        </w:trPr>
        <w:tc>
          <w:tcPr>
            <w:tcW w:w="2410" w:type="dxa"/>
            <w:shd w:val="clear" w:color="auto" w:fill="auto"/>
          </w:tcPr>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122FE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122FE4" w:rsidRPr="00BF60D6" w:rsidTr="0098744C">
        <w:tc>
          <w:tcPr>
            <w:tcW w:w="2410" w:type="dxa"/>
            <w:shd w:val="clear" w:color="auto" w:fill="auto"/>
          </w:tcPr>
          <w:p w:rsidR="00122FE4" w:rsidRPr="00BF60D6" w:rsidRDefault="00122FE4" w:rsidP="00122FE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122FE4" w:rsidRPr="00BF60D6" w:rsidRDefault="00122FE4" w:rsidP="00E847FF">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122FE4" w:rsidRPr="00BF60D6" w:rsidRDefault="00122FE4" w:rsidP="00AC001F">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100 000,00</w:t>
            </w:r>
          </w:p>
        </w:tc>
        <w:tc>
          <w:tcPr>
            <w:tcW w:w="1559" w:type="dxa"/>
            <w:shd w:val="clear" w:color="auto" w:fill="auto"/>
          </w:tcPr>
          <w:p w:rsidR="00122FE4" w:rsidRPr="00BF60D6" w:rsidRDefault="0098744C" w:rsidP="00AC001F">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100 000,00</w:t>
            </w:r>
          </w:p>
        </w:tc>
        <w:tc>
          <w:tcPr>
            <w:tcW w:w="1418" w:type="dxa"/>
            <w:shd w:val="clear" w:color="auto" w:fill="auto"/>
          </w:tcPr>
          <w:p w:rsidR="00122FE4" w:rsidRPr="00BF60D6" w:rsidRDefault="0098744C" w:rsidP="00AC001F">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100 000,00</w:t>
            </w:r>
          </w:p>
        </w:tc>
        <w:tc>
          <w:tcPr>
            <w:tcW w:w="1417" w:type="dxa"/>
            <w:shd w:val="clear" w:color="auto" w:fill="auto"/>
          </w:tcPr>
          <w:p w:rsidR="00122FE4" w:rsidRPr="00BF60D6" w:rsidRDefault="0098744C" w:rsidP="00122FE4">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98744C" w:rsidRPr="0098744C" w:rsidRDefault="0098744C" w:rsidP="0098744C">
      <w:pPr>
        <w:autoSpaceDE w:val="0"/>
        <w:autoSpaceDN w:val="0"/>
        <w:adjustRightInd w:val="0"/>
        <w:spacing w:before="240"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 xml:space="preserve">Na tento prvok bola v roku 2015 schválená suma výdavkov 100 000,00 eur. </w:t>
      </w:r>
    </w:p>
    <w:p w:rsidR="0098744C" w:rsidRPr="0098744C" w:rsidRDefault="0098744C" w:rsidP="0098744C">
      <w:pPr>
        <w:autoSpaceDE w:val="0"/>
        <w:autoSpaceDN w:val="0"/>
        <w:adjustRightInd w:val="0"/>
        <w:spacing w:before="240"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 xml:space="preserve">MH SR má zákonnú povinnosť zabezpečovať alebo likvidovať staré banské diela a ich následky, ktoré ohrozujú verejný záujem. Túto povinnosť zabezpečuje v nevyhnutne potrebnom rozsahu v zmysle zákona č. 219/2007 Z. z., ktorým sa novelizoval zákon              č. 44/1988 Zb. o ochrane a využití nerastného bohatstva (banský zákon) v znení neskorších predpisov (ustanovenie § 35 ods. 4 banského zákona). </w:t>
      </w:r>
    </w:p>
    <w:p w:rsidR="0098744C" w:rsidRPr="0098744C" w:rsidRDefault="0098744C" w:rsidP="0098744C">
      <w:pPr>
        <w:autoSpaceDE w:val="0"/>
        <w:autoSpaceDN w:val="0"/>
        <w:adjustRightInd w:val="0"/>
        <w:spacing w:before="240"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K 31. 12. 2015 boli na uvedenom prvku čerpané rozpočtové prostriedky v sume 100 000,00 eur, čo je 100,00 % zo schváleného rozpočtu. Rozpočtové prostriedky boli poskytnuté Rudným baniam Banská Bystrica, š. p. na zabezpečenie a likvidáciu starých banských diel a ich následkov. Práce boli vykonané v lokalitách starých banských diel v Novej Bani, Slovinkách, v Smolníckej Hute a i.</w:t>
      </w:r>
    </w:p>
    <w:p w:rsidR="00122FE4" w:rsidRPr="009E5419" w:rsidRDefault="00122FE4" w:rsidP="00DC2169">
      <w:pPr>
        <w:pStyle w:val="Zkladntext"/>
        <w:spacing w:after="0" w:line="240" w:lineRule="auto"/>
        <w:rPr>
          <w:i/>
        </w:rPr>
      </w:pPr>
      <w:r w:rsidRPr="00DC2169">
        <w:rPr>
          <w:rFonts w:ascii="Times New Roman" w:hAnsi="Times New Roman" w:cs="Times New Roman"/>
          <w:i/>
          <w:sz w:val="24"/>
          <w:szCs w:val="24"/>
        </w:rPr>
        <w:t xml:space="preserve">07K 01 19 Národný jadrový fond – odvody od prenosovej sústavy a distribučných sústav </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66"/>
        <w:gridCol w:w="1502"/>
        <w:gridCol w:w="1560"/>
        <w:gridCol w:w="1559"/>
        <w:gridCol w:w="1417"/>
      </w:tblGrid>
      <w:tr w:rsidR="0059693B" w:rsidRPr="00BF60D6" w:rsidTr="00F47A20">
        <w:trPr>
          <w:trHeight w:val="707"/>
        </w:trPr>
        <w:tc>
          <w:tcPr>
            <w:tcW w:w="2268" w:type="dxa"/>
            <w:shd w:val="clear" w:color="auto" w:fill="auto"/>
          </w:tcPr>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122FE4">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766" w:type="dxa"/>
          </w:tcPr>
          <w:p w:rsidR="0059693B" w:rsidRPr="00BF60D6" w:rsidRDefault="0059693B" w:rsidP="00122FE4">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02"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122FE4" w:rsidRPr="00BF60D6" w:rsidTr="00F47A20">
        <w:tc>
          <w:tcPr>
            <w:tcW w:w="2268" w:type="dxa"/>
            <w:shd w:val="clear" w:color="auto" w:fill="auto"/>
          </w:tcPr>
          <w:p w:rsidR="00122FE4" w:rsidRPr="00BF60D6" w:rsidRDefault="00122FE4" w:rsidP="00122FE4">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766" w:type="dxa"/>
          </w:tcPr>
          <w:p w:rsidR="00122FE4" w:rsidRPr="00BF60D6" w:rsidRDefault="00122FE4" w:rsidP="00E847FF">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02" w:type="dxa"/>
            <w:shd w:val="clear" w:color="auto" w:fill="auto"/>
          </w:tcPr>
          <w:p w:rsidR="00122FE4" w:rsidRPr="00BF60D6" w:rsidRDefault="00250AAC"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71 147 650,00</w:t>
            </w:r>
          </w:p>
        </w:tc>
        <w:tc>
          <w:tcPr>
            <w:tcW w:w="1560" w:type="dxa"/>
            <w:shd w:val="clear" w:color="auto" w:fill="auto"/>
          </w:tcPr>
          <w:p w:rsidR="00122FE4" w:rsidRPr="00BF60D6" w:rsidRDefault="0098744C"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67 334 577,75</w:t>
            </w:r>
          </w:p>
        </w:tc>
        <w:tc>
          <w:tcPr>
            <w:tcW w:w="1559" w:type="dxa"/>
            <w:shd w:val="clear" w:color="auto" w:fill="auto"/>
          </w:tcPr>
          <w:p w:rsidR="00122FE4" w:rsidRPr="00BF60D6" w:rsidRDefault="0098744C" w:rsidP="0012177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67 334 577,75</w:t>
            </w:r>
          </w:p>
        </w:tc>
        <w:tc>
          <w:tcPr>
            <w:tcW w:w="1417" w:type="dxa"/>
            <w:shd w:val="clear" w:color="auto" w:fill="auto"/>
          </w:tcPr>
          <w:p w:rsidR="00122FE4" w:rsidRPr="00BF60D6" w:rsidRDefault="0098744C" w:rsidP="00122FE4">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122FE4" w:rsidRPr="008B28B3" w:rsidRDefault="00122FE4" w:rsidP="00122FE4">
      <w:pPr>
        <w:pStyle w:val="Podtitul"/>
        <w:tabs>
          <w:tab w:val="left" w:pos="-2127"/>
          <w:tab w:val="left" w:pos="540"/>
        </w:tabs>
        <w:spacing w:after="0" w:line="240" w:lineRule="auto"/>
        <w:jc w:val="both"/>
        <w:rPr>
          <w:b/>
          <w:bCs/>
        </w:rPr>
      </w:pPr>
    </w:p>
    <w:p w:rsidR="0098744C" w:rsidRPr="0098744C" w:rsidRDefault="0098744C" w:rsidP="00124984">
      <w:pPr>
        <w:autoSpaceDE w:val="0"/>
        <w:autoSpaceDN w:val="0"/>
        <w:adjustRightInd w:val="0"/>
        <w:spacing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V zmysle zákona č. 391/2012 Z. z., ktorým sa mení a dopĺňa zákon č. 238/2006 Z. z.</w:t>
      </w:r>
      <w:r w:rsidRPr="0098744C">
        <w:rPr>
          <w:rFonts w:ascii="Times New Roman" w:hAnsi="Times New Roman" w:cs="Times New Roman"/>
          <w:sz w:val="24"/>
          <w:szCs w:val="24"/>
        </w:rPr>
        <w:br/>
        <w:t>o Národnom jadrovom fonde na vyraďovanie jadrových zariadení a na nakladanie</w:t>
      </w:r>
      <w:r w:rsidRPr="0098744C">
        <w:rPr>
          <w:rFonts w:ascii="Times New Roman" w:hAnsi="Times New Roman" w:cs="Times New Roman"/>
          <w:sz w:val="24"/>
          <w:szCs w:val="24"/>
        </w:rPr>
        <w:br/>
        <w:t>s vyhoretým jadrovým palivom a rádioaktívnymi odpadmi (zákon o jadrovom fonde)</w:t>
      </w:r>
      <w:r w:rsidRPr="0098744C">
        <w:rPr>
          <w:rFonts w:ascii="Times New Roman" w:hAnsi="Times New Roman" w:cs="Times New Roman"/>
          <w:sz w:val="24"/>
          <w:szCs w:val="24"/>
        </w:rPr>
        <w:br/>
        <w:t xml:space="preserve">a o zmene a doplnení niektorých zákonov v znení neskorších predpisov a ktorým sa mení zákon č. 251/2012 Z. z. o energetike a o zmene a doplnení niektorých zákonov  sú prevádzkovatelia distribučných sústav a prevádzkovateľ prenosovej sústavy povinní </w:t>
      </w:r>
      <w:r w:rsidRPr="0098744C">
        <w:rPr>
          <w:sz w:val="24"/>
          <w:szCs w:val="24"/>
        </w:rPr>
        <w:t>odvádzať odvod (finančné prostriedky) z množstva elektriny dodanej koncovým odberateľom elektriny</w:t>
      </w:r>
      <w:r w:rsidRPr="0098744C">
        <w:rPr>
          <w:rFonts w:ascii="Times New Roman" w:hAnsi="Times New Roman" w:cs="Times New Roman"/>
          <w:sz w:val="24"/>
          <w:szCs w:val="24"/>
        </w:rPr>
        <w:t xml:space="preserve"> do štátneho rozpočtu, t.j. na príjmový rozpočtový účet kapitoly MH SR.</w:t>
      </w:r>
      <w:r w:rsidRPr="0098744C">
        <w:rPr>
          <w:sz w:val="24"/>
          <w:szCs w:val="24"/>
        </w:rPr>
        <w:t xml:space="preserve"> Predmetný odvod je súčasťou ceny  elektriny dodanej koncovým odberateľom elektriny. </w:t>
      </w:r>
      <w:r w:rsidRPr="0098744C">
        <w:rPr>
          <w:rFonts w:ascii="Times New Roman" w:hAnsi="Times New Roman" w:cs="Times New Roman"/>
          <w:sz w:val="24"/>
          <w:szCs w:val="24"/>
        </w:rPr>
        <w:t>Súčasne vyplýva pre    MH SR povinnosť previesť zo štátneho rozpočtu finančné prostriedky (odvod) na účet Národného jadrového fondu.</w:t>
      </w:r>
    </w:p>
    <w:p w:rsidR="0098744C" w:rsidRPr="0098744C" w:rsidRDefault="0098744C" w:rsidP="00124984">
      <w:pPr>
        <w:autoSpaceDE w:val="0"/>
        <w:autoSpaceDN w:val="0"/>
        <w:adjustRightInd w:val="0"/>
        <w:spacing w:before="240" w:line="240" w:lineRule="auto"/>
        <w:ind w:firstLine="567"/>
        <w:jc w:val="both"/>
        <w:rPr>
          <w:rFonts w:ascii="Times New Roman" w:hAnsi="Times New Roman" w:cs="Times New Roman"/>
          <w:sz w:val="24"/>
          <w:szCs w:val="24"/>
        </w:rPr>
      </w:pPr>
      <w:r w:rsidRPr="0098744C">
        <w:rPr>
          <w:rFonts w:ascii="Times New Roman" w:hAnsi="Times New Roman" w:cs="Times New Roman"/>
          <w:sz w:val="24"/>
          <w:szCs w:val="24"/>
        </w:rPr>
        <w:t>Na uvedený prvok bol v roku 2015 schválený  rozpočet v sume 71 147 650,00 eur, ktorý bol rozpočtovými opatreniami MF SR upravený na sumu 67 334 577,75 eur. K                31. 12. 2015 boli  na účet NJF prevedené  prostriedky v sume 67 334 577,75 eur,                   t.j. 100,00  % z upraveného  rozpočtu.</w:t>
      </w:r>
    </w:p>
    <w:p w:rsidR="00AC001F" w:rsidRPr="00305411" w:rsidRDefault="00AC001F" w:rsidP="00305411">
      <w:pPr>
        <w:pStyle w:val="Zkladntext1"/>
        <w:rPr>
          <w:rFonts w:ascii="Times New Roman" w:hAnsi="Times New Roman" w:cs="Times New Roman"/>
          <w:i/>
          <w:lang w:eastAsia="en-US"/>
        </w:rPr>
      </w:pPr>
      <w:r w:rsidRPr="00305411">
        <w:rPr>
          <w:rFonts w:ascii="Times New Roman" w:hAnsi="Times New Roman" w:cs="Times New Roman"/>
          <w:i/>
          <w:lang w:eastAsia="en-US"/>
        </w:rPr>
        <w:t xml:space="preserve">07K 02 02 Administrácia </w:t>
      </w:r>
      <w:proofErr w:type="spellStart"/>
      <w:r w:rsidRPr="00305411">
        <w:rPr>
          <w:rFonts w:ascii="Times New Roman" w:hAnsi="Times New Roman" w:cs="Times New Roman"/>
          <w:i/>
          <w:lang w:eastAsia="en-US"/>
        </w:rPr>
        <w:t>NARMSP</w:t>
      </w:r>
      <w:proofErr w:type="spellEnd"/>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275"/>
        <w:gridCol w:w="1560"/>
        <w:gridCol w:w="1476"/>
        <w:gridCol w:w="1479"/>
      </w:tblGrid>
      <w:tr w:rsidR="0059693B" w:rsidRPr="00BF60D6" w:rsidTr="00124984">
        <w:trPr>
          <w:trHeight w:val="721"/>
        </w:trPr>
        <w:tc>
          <w:tcPr>
            <w:tcW w:w="2410"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275"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76"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7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AC001F" w:rsidRPr="00BF60D6" w:rsidTr="00124984">
        <w:tc>
          <w:tcPr>
            <w:tcW w:w="2410" w:type="dxa"/>
            <w:shd w:val="clear" w:color="auto" w:fill="auto"/>
          </w:tcPr>
          <w:p w:rsidR="00AC001F" w:rsidRPr="00BF60D6" w:rsidRDefault="00AC001F"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AC001F" w:rsidRPr="00BF60D6" w:rsidRDefault="00AC001F"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275" w:type="dxa"/>
            <w:shd w:val="clear" w:color="auto" w:fill="auto"/>
          </w:tcPr>
          <w:p w:rsidR="00AC001F" w:rsidRPr="00BF60D6" w:rsidRDefault="00250AAC"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60" w:type="dxa"/>
            <w:shd w:val="clear" w:color="auto" w:fill="auto"/>
          </w:tcPr>
          <w:p w:rsidR="00AC001F" w:rsidRPr="00BF60D6" w:rsidRDefault="000D4DB2"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1 000,000,00</w:t>
            </w:r>
          </w:p>
        </w:tc>
        <w:tc>
          <w:tcPr>
            <w:tcW w:w="1476" w:type="dxa"/>
            <w:shd w:val="clear" w:color="auto" w:fill="auto"/>
          </w:tcPr>
          <w:p w:rsidR="00AC001F" w:rsidRPr="00BF60D6" w:rsidRDefault="000D4DB2"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1 000 000,00</w:t>
            </w:r>
          </w:p>
        </w:tc>
        <w:tc>
          <w:tcPr>
            <w:tcW w:w="1479" w:type="dxa"/>
            <w:shd w:val="clear" w:color="auto" w:fill="auto"/>
          </w:tcPr>
          <w:p w:rsidR="00AC001F" w:rsidRPr="00BF60D6" w:rsidRDefault="000D4DB2"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AC001F" w:rsidRPr="00305411" w:rsidRDefault="00AC001F" w:rsidP="00305411">
      <w:pPr>
        <w:pStyle w:val="Zkladntext20"/>
        <w:rPr>
          <w:rFonts w:ascii="Times New Roman" w:hAnsi="Times New Roman" w:cs="Times New Roman"/>
          <w:lang w:val="sk-SK"/>
        </w:rPr>
      </w:pPr>
    </w:p>
    <w:p w:rsidR="00124984" w:rsidRPr="00124984" w:rsidRDefault="00124984" w:rsidP="00124984">
      <w:pPr>
        <w:pStyle w:val="Zkladntext20"/>
        <w:tabs>
          <w:tab w:val="left" w:pos="540"/>
        </w:tabs>
        <w:rPr>
          <w:rFonts w:ascii="Times New Roman" w:eastAsia="Times" w:hAnsi="Times New Roman" w:cs="Times New Roman"/>
          <w:lang w:val="sk-SK" w:eastAsia="en-US"/>
        </w:rPr>
      </w:pPr>
      <w:r>
        <w:rPr>
          <w:rFonts w:ascii="Times New Roman" w:eastAsia="Times" w:hAnsi="Times New Roman" w:cs="Times New Roman"/>
          <w:lang w:val="sk-SK" w:eastAsia="en-US"/>
        </w:rPr>
        <w:tab/>
      </w:r>
      <w:r w:rsidRPr="00124984">
        <w:rPr>
          <w:rFonts w:ascii="Times New Roman" w:eastAsia="Times" w:hAnsi="Times New Roman" w:cs="Times New Roman"/>
          <w:lang w:val="sk-SK" w:eastAsia="en-US"/>
        </w:rPr>
        <w:t>V rámci uvedeného prvku bola v roku 2015 zabezpečovaná propagácia podpory malého a stredného podnikania, realizácia a monitoring podporných programov pre malé a stredné podnikanie. Prostriedky na realizáciu programu boli určené na úhradu mzdových a prevádzkových nákladov Slovak Business Agency</w:t>
      </w:r>
      <w:r w:rsidR="00293375">
        <w:rPr>
          <w:rFonts w:ascii="Times New Roman" w:eastAsia="Times" w:hAnsi="Times New Roman" w:cs="Times New Roman"/>
          <w:lang w:val="sk-SK" w:eastAsia="en-US"/>
        </w:rPr>
        <w:t xml:space="preserve"> (SBA)</w:t>
      </w:r>
      <w:r w:rsidRPr="00124984">
        <w:rPr>
          <w:rFonts w:ascii="Times New Roman" w:eastAsia="Times" w:hAnsi="Times New Roman" w:cs="Times New Roman"/>
          <w:lang w:val="sk-SK" w:eastAsia="en-US"/>
        </w:rPr>
        <w:t>, vrátane úhrady za prenájom sídla SBA.</w:t>
      </w:r>
    </w:p>
    <w:p w:rsidR="00124984" w:rsidRDefault="00124984" w:rsidP="00124984">
      <w:pPr>
        <w:tabs>
          <w:tab w:val="left" w:pos="540"/>
        </w:tabs>
        <w:overflowPunct w:val="0"/>
        <w:autoSpaceDE w:val="0"/>
        <w:autoSpaceDN w:val="0"/>
        <w:adjustRightInd w:val="0"/>
        <w:spacing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ab/>
      </w:r>
      <w:r w:rsidRPr="00124984">
        <w:rPr>
          <w:rFonts w:ascii="Times New Roman" w:hAnsi="Times New Roman" w:cs="Times New Roman"/>
          <w:sz w:val="24"/>
          <w:szCs w:val="24"/>
        </w:rPr>
        <w:t>Na  tento  prvok  nebol rozpisom rozpočtu schválený rozpočet. Ten bol rozpočtovými opatreniami MF SR k 31. 12. 2015 upravený na konečnú sumu 1 000 000,00 eur a bežný transfer bol poskytnutý  v tejto sume na úhradu mzdových a prevádzkových nákladov Slovak Business Agency, vrátane úhrady za prenájom sídla SBA, čo je 100,00 % z upraveného rozpočtu k 31. 12. 2015.</w:t>
      </w:r>
    </w:p>
    <w:p w:rsidR="00614C6B" w:rsidRPr="00305411" w:rsidRDefault="00614C6B" w:rsidP="00305411">
      <w:pPr>
        <w:pStyle w:val="Zkladntext1"/>
        <w:rPr>
          <w:rFonts w:ascii="Times New Roman" w:hAnsi="Times New Roman" w:cs="Times New Roman"/>
          <w:i/>
          <w:lang w:eastAsia="en-US"/>
        </w:rPr>
      </w:pPr>
      <w:r w:rsidRPr="00305411">
        <w:rPr>
          <w:rFonts w:ascii="Times New Roman" w:hAnsi="Times New Roman" w:cs="Times New Roman"/>
          <w:i/>
          <w:lang w:eastAsia="en-US"/>
        </w:rPr>
        <w:t>07K 02 09 Podpora vzdelávania a poradenstva pre vybrané skupiny záujemcov o podnikanie</w:t>
      </w:r>
    </w:p>
    <w:p w:rsidR="000275A9" w:rsidRPr="007D774A" w:rsidRDefault="000275A9" w:rsidP="001C0394">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908"/>
        <w:gridCol w:w="1257"/>
        <w:gridCol w:w="1521"/>
        <w:gridCol w:w="1559"/>
        <w:gridCol w:w="1417"/>
      </w:tblGrid>
      <w:tr w:rsidR="0059693B" w:rsidRPr="00BF60D6" w:rsidTr="00124984">
        <w:trPr>
          <w:trHeight w:val="710"/>
        </w:trPr>
        <w:tc>
          <w:tcPr>
            <w:tcW w:w="2410"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08"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25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21"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614C6B" w:rsidRPr="00BF60D6" w:rsidTr="00124984">
        <w:tc>
          <w:tcPr>
            <w:tcW w:w="2410" w:type="dxa"/>
            <w:shd w:val="clear" w:color="auto" w:fill="auto"/>
          </w:tcPr>
          <w:p w:rsidR="00614C6B" w:rsidRPr="00BF60D6" w:rsidRDefault="00614C6B"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908" w:type="dxa"/>
          </w:tcPr>
          <w:p w:rsidR="00614C6B" w:rsidRPr="00BF60D6" w:rsidRDefault="00614C6B"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257" w:type="dxa"/>
            <w:shd w:val="clear" w:color="auto" w:fill="auto"/>
          </w:tcPr>
          <w:p w:rsidR="00614C6B" w:rsidRPr="00BF60D6" w:rsidRDefault="00250AAC"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21" w:type="dxa"/>
            <w:shd w:val="clear" w:color="auto" w:fill="auto"/>
          </w:tcPr>
          <w:p w:rsidR="00614C6B" w:rsidRPr="00BF60D6" w:rsidRDefault="00124984"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 xml:space="preserve">20 000,00 </w:t>
            </w:r>
          </w:p>
        </w:tc>
        <w:tc>
          <w:tcPr>
            <w:tcW w:w="1559" w:type="dxa"/>
            <w:shd w:val="clear" w:color="auto" w:fill="auto"/>
          </w:tcPr>
          <w:p w:rsidR="00614C6B" w:rsidRPr="00BF60D6" w:rsidRDefault="00124984"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20 000,00</w:t>
            </w:r>
          </w:p>
        </w:tc>
        <w:tc>
          <w:tcPr>
            <w:tcW w:w="1417" w:type="dxa"/>
            <w:shd w:val="clear" w:color="auto" w:fill="auto"/>
          </w:tcPr>
          <w:p w:rsidR="00614C6B" w:rsidRPr="00BF60D6" w:rsidRDefault="00124984"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614C6B" w:rsidRPr="00305411" w:rsidRDefault="00614C6B" w:rsidP="00305411">
      <w:pPr>
        <w:pStyle w:val="Zkladntext20"/>
        <w:rPr>
          <w:rFonts w:ascii="Times New Roman" w:hAnsi="Times New Roman" w:cs="Times New Roman"/>
          <w:b/>
          <w:bCs/>
          <w:lang w:val="sk-SK"/>
        </w:rPr>
      </w:pPr>
    </w:p>
    <w:p w:rsidR="00124984" w:rsidRDefault="00124984" w:rsidP="00124984">
      <w:pPr>
        <w:pStyle w:val="Zkladntext20"/>
        <w:ind w:firstLine="540"/>
        <w:rPr>
          <w:rFonts w:ascii="Times New Roman" w:hAnsi="Times New Roman"/>
          <w:lang w:val="sk-SK"/>
        </w:rPr>
      </w:pPr>
      <w:r w:rsidRPr="00D21B91">
        <w:rPr>
          <w:lang w:val="sk-SK"/>
        </w:rPr>
        <w:t xml:space="preserve">Upravený rozpočet bežných výdavkov v sume 20 000,00 eur na tento prvok bol v roku 2015 vyčerpaný v sume 20 000,00 eur na </w:t>
      </w:r>
      <w:r w:rsidRPr="00D21B91">
        <w:rPr>
          <w:rFonts w:ascii="Times New Roman" w:hAnsi="Times New Roman"/>
          <w:lang w:val="sk-SK"/>
        </w:rPr>
        <w:t>realizáciu vzdelávacích kurzov a školení, týkajúcich  sa základov podnikania. Súčasťou bolo odborné vedenie pri vypracovaní podnikateľských plánov a poskytovanie poradenských služieb v oblasti podnikania (informácie a odborné konzultácie).</w:t>
      </w:r>
    </w:p>
    <w:p w:rsidR="00124984" w:rsidRPr="00D21B91" w:rsidRDefault="00124984" w:rsidP="00124984">
      <w:pPr>
        <w:pStyle w:val="Zkladntext20"/>
        <w:ind w:firstLine="540"/>
        <w:rPr>
          <w:rFonts w:ascii="Times New Roman" w:hAnsi="Times New Roman"/>
          <w:lang w:val="sk-SK"/>
        </w:rPr>
      </w:pPr>
    </w:p>
    <w:p w:rsidR="00614C6B" w:rsidRPr="00305411" w:rsidRDefault="00614C6B" w:rsidP="00305411">
      <w:pPr>
        <w:pStyle w:val="Zkladntext1"/>
        <w:rPr>
          <w:rFonts w:ascii="Times New Roman" w:hAnsi="Times New Roman" w:cs="Times New Roman"/>
          <w:i/>
          <w:lang w:eastAsia="en-US"/>
        </w:rPr>
      </w:pPr>
      <w:r w:rsidRPr="00305411">
        <w:rPr>
          <w:rFonts w:ascii="Times New Roman" w:hAnsi="Times New Roman" w:cs="Times New Roman"/>
          <w:i/>
          <w:lang w:eastAsia="en-US"/>
        </w:rPr>
        <w:t>07K 02 0D Podpora inovačných projektov v rezorte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417"/>
        <w:gridCol w:w="1559"/>
        <w:gridCol w:w="1418"/>
        <w:gridCol w:w="1417"/>
      </w:tblGrid>
      <w:tr w:rsidR="0059693B" w:rsidRPr="00BF60D6" w:rsidTr="00BC014B">
        <w:trPr>
          <w:trHeight w:val="771"/>
        </w:trPr>
        <w:tc>
          <w:tcPr>
            <w:tcW w:w="2410"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614C6B" w:rsidRPr="00BF60D6" w:rsidTr="00BC014B">
        <w:tc>
          <w:tcPr>
            <w:tcW w:w="2410" w:type="dxa"/>
            <w:shd w:val="clear" w:color="auto" w:fill="auto"/>
          </w:tcPr>
          <w:p w:rsidR="00614C6B" w:rsidRPr="00BF60D6" w:rsidRDefault="00614C6B"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614C6B" w:rsidRPr="00BF60D6" w:rsidRDefault="00614C6B"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614C6B" w:rsidRPr="00BF60D6" w:rsidRDefault="00250AAC"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500 00</w:t>
            </w:r>
            <w:r w:rsidR="00614C6B" w:rsidRPr="00BF60D6">
              <w:rPr>
                <w:rFonts w:ascii="Times New Roman" w:hAnsi="Times New Roman" w:cs="Times New Roman"/>
                <w:lang w:eastAsia="sk-SK"/>
              </w:rPr>
              <w:t>0,00</w:t>
            </w:r>
          </w:p>
        </w:tc>
        <w:tc>
          <w:tcPr>
            <w:tcW w:w="1559" w:type="dxa"/>
            <w:shd w:val="clear" w:color="auto" w:fill="auto"/>
          </w:tcPr>
          <w:p w:rsidR="00614C6B" w:rsidRPr="00BF60D6" w:rsidRDefault="00BC014B" w:rsidP="00BC014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480 000,00</w:t>
            </w:r>
          </w:p>
        </w:tc>
        <w:tc>
          <w:tcPr>
            <w:tcW w:w="1418" w:type="dxa"/>
            <w:shd w:val="clear" w:color="auto" w:fill="auto"/>
          </w:tcPr>
          <w:p w:rsidR="00614C6B" w:rsidRPr="00BF60D6" w:rsidRDefault="00BC014B" w:rsidP="00BC014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477 703,95</w:t>
            </w:r>
          </w:p>
        </w:tc>
        <w:tc>
          <w:tcPr>
            <w:tcW w:w="1417" w:type="dxa"/>
            <w:shd w:val="clear" w:color="auto" w:fill="auto"/>
          </w:tcPr>
          <w:p w:rsidR="00614C6B" w:rsidRPr="00BF60D6" w:rsidRDefault="00BC014B"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99,53</w:t>
            </w:r>
          </w:p>
        </w:tc>
      </w:tr>
    </w:tbl>
    <w:p w:rsidR="00614C6B" w:rsidRPr="00305411" w:rsidRDefault="00614C6B" w:rsidP="00305411">
      <w:pPr>
        <w:pStyle w:val="Zkladntext20"/>
        <w:rPr>
          <w:rFonts w:ascii="Times New Roman" w:hAnsi="Times New Roman" w:cs="Times New Roman"/>
          <w:lang w:val="sk-SK"/>
        </w:rPr>
      </w:pPr>
    </w:p>
    <w:p w:rsidR="000B38F0" w:rsidRPr="000B38F0" w:rsidRDefault="000B38F0" w:rsidP="000B38F0">
      <w:pPr>
        <w:autoSpaceDE w:val="0"/>
        <w:autoSpaceDN w:val="0"/>
        <w:adjustRightInd w:val="0"/>
        <w:spacing w:after="0" w:line="240" w:lineRule="auto"/>
        <w:ind w:firstLine="709"/>
        <w:jc w:val="both"/>
        <w:rPr>
          <w:rFonts w:ascii="Times New Roman" w:hAnsi="Times New Roman" w:cs="Times New Roman"/>
          <w:sz w:val="24"/>
          <w:szCs w:val="24"/>
        </w:rPr>
      </w:pPr>
      <w:r w:rsidRPr="000B38F0">
        <w:rPr>
          <w:rFonts w:ascii="Times New Roman" w:hAnsi="Times New Roman" w:cs="Times New Roman"/>
          <w:sz w:val="24"/>
          <w:szCs w:val="24"/>
        </w:rPr>
        <w:t xml:space="preserve">Na rok 2015 bol na uvedený prvok schválený rozpočet v </w:t>
      </w:r>
      <w:r w:rsidR="00293375">
        <w:rPr>
          <w:rFonts w:ascii="Times New Roman" w:hAnsi="Times New Roman" w:cs="Times New Roman"/>
          <w:sz w:val="24"/>
          <w:szCs w:val="24"/>
        </w:rPr>
        <w:t>sume</w:t>
      </w:r>
      <w:r w:rsidRPr="000B38F0">
        <w:rPr>
          <w:rFonts w:ascii="Times New Roman" w:hAnsi="Times New Roman" w:cs="Times New Roman"/>
          <w:sz w:val="24"/>
          <w:szCs w:val="24"/>
        </w:rPr>
        <w:t xml:space="preserve"> 500 000,00 eur. Rozpočtovým </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opatrením</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 MF SR</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 bol</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 rozpočet</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 k </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31. 12. 2015 </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upravený </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na </w:t>
      </w:r>
      <w:r w:rsidR="0032403F">
        <w:rPr>
          <w:rFonts w:ascii="Times New Roman" w:hAnsi="Times New Roman" w:cs="Times New Roman"/>
          <w:sz w:val="24"/>
          <w:szCs w:val="24"/>
        </w:rPr>
        <w:t xml:space="preserve">  </w:t>
      </w:r>
      <w:r w:rsidRPr="000B38F0">
        <w:rPr>
          <w:rFonts w:ascii="Times New Roman" w:hAnsi="Times New Roman" w:cs="Times New Roman"/>
          <w:sz w:val="24"/>
          <w:szCs w:val="24"/>
        </w:rPr>
        <w:t xml:space="preserve">sumu                   </w:t>
      </w:r>
      <w:r>
        <w:rPr>
          <w:rFonts w:ascii="Times New Roman" w:hAnsi="Times New Roman" w:cs="Times New Roman"/>
          <w:sz w:val="24"/>
          <w:szCs w:val="24"/>
        </w:rPr>
        <w:t>480 000,00</w:t>
      </w:r>
      <w:r w:rsidRPr="000B38F0">
        <w:rPr>
          <w:rFonts w:ascii="Times New Roman" w:hAnsi="Times New Roman" w:cs="Times New Roman"/>
          <w:sz w:val="24"/>
          <w:szCs w:val="24"/>
        </w:rPr>
        <w:t xml:space="preserve"> eur.</w:t>
      </w:r>
    </w:p>
    <w:p w:rsidR="000B38F0" w:rsidRPr="000B38F0" w:rsidRDefault="000B38F0" w:rsidP="000B38F0">
      <w:pPr>
        <w:autoSpaceDE w:val="0"/>
        <w:autoSpaceDN w:val="0"/>
        <w:adjustRightInd w:val="0"/>
        <w:spacing w:after="0" w:line="240" w:lineRule="auto"/>
        <w:ind w:firstLine="709"/>
        <w:jc w:val="both"/>
        <w:rPr>
          <w:rFonts w:ascii="Times New Roman" w:hAnsi="Times New Roman" w:cs="Times New Roman"/>
          <w:sz w:val="24"/>
          <w:szCs w:val="24"/>
        </w:rPr>
      </w:pPr>
      <w:r w:rsidRPr="000B38F0">
        <w:rPr>
          <w:rFonts w:ascii="Times New Roman" w:hAnsi="Times New Roman" w:cs="Times New Roman"/>
          <w:sz w:val="24"/>
          <w:szCs w:val="24"/>
        </w:rPr>
        <w:t xml:space="preserve"> Cieľom tohto projektu bolo v roku 2015 podporiť prenos poznatkov a technológií získaných priemyselným výskumom a vývojom do štádia komerčnej zrelosti. Podpora inovačných aktivít v podnikoch, najmä malých a stredných podnikov, je jedným zo základných nástrojov pre zabezpečenie rozvoja Slovenska. Ide o aktivity v oblasti:</w:t>
      </w:r>
    </w:p>
    <w:p w:rsidR="000B38F0" w:rsidRPr="000B38F0" w:rsidRDefault="000B38F0" w:rsidP="000B38F0">
      <w:pPr>
        <w:numPr>
          <w:ilvl w:val="0"/>
          <w:numId w:val="9"/>
        </w:numPr>
        <w:autoSpaceDE w:val="0"/>
        <w:autoSpaceDN w:val="0"/>
        <w:adjustRightInd w:val="0"/>
        <w:spacing w:after="0" w:line="240" w:lineRule="auto"/>
        <w:ind w:left="426" w:hanging="426"/>
        <w:jc w:val="both"/>
        <w:rPr>
          <w:rFonts w:ascii="Times New Roman" w:hAnsi="Times New Roman" w:cs="Times New Roman"/>
          <w:sz w:val="24"/>
          <w:szCs w:val="24"/>
        </w:rPr>
      </w:pPr>
      <w:r w:rsidRPr="000B38F0">
        <w:rPr>
          <w:sz w:val="24"/>
          <w:szCs w:val="24"/>
        </w:rPr>
        <w:t>z</w:t>
      </w:r>
      <w:r w:rsidRPr="000B38F0">
        <w:rPr>
          <w:rFonts w:ascii="Times New Roman" w:hAnsi="Times New Roman" w:cs="Times New Roman"/>
          <w:sz w:val="24"/>
          <w:szCs w:val="24"/>
        </w:rPr>
        <w:t>výšenia konkurencieschopnosti členov priemyselných klastrových organizácií prostredníctvom zefektívnenia ich vzájomnej spolupráce a posilnenie priemyselných klastrov v medzinárodnom meradle, s</w:t>
      </w:r>
      <w:r w:rsidR="00293375">
        <w:rPr>
          <w:rFonts w:ascii="Times New Roman" w:hAnsi="Times New Roman" w:cs="Times New Roman"/>
          <w:sz w:val="24"/>
          <w:szCs w:val="24"/>
        </w:rPr>
        <w:t xml:space="preserve">o schváleným </w:t>
      </w:r>
      <w:r w:rsidRPr="000B38F0">
        <w:rPr>
          <w:rFonts w:ascii="Times New Roman" w:hAnsi="Times New Roman" w:cs="Times New Roman"/>
          <w:sz w:val="24"/>
          <w:szCs w:val="24"/>
        </w:rPr>
        <w:t>rozpočtom 130 000,00 eur,</w:t>
      </w:r>
    </w:p>
    <w:p w:rsidR="000B38F0" w:rsidRPr="000B38F0" w:rsidRDefault="000B38F0" w:rsidP="000B38F0">
      <w:pPr>
        <w:numPr>
          <w:ilvl w:val="0"/>
          <w:numId w:val="9"/>
        </w:numPr>
        <w:autoSpaceDE w:val="0"/>
        <w:autoSpaceDN w:val="0"/>
        <w:adjustRightInd w:val="0"/>
        <w:spacing w:after="0" w:line="240" w:lineRule="auto"/>
        <w:ind w:left="426" w:hanging="426"/>
        <w:jc w:val="both"/>
        <w:rPr>
          <w:sz w:val="24"/>
          <w:szCs w:val="24"/>
        </w:rPr>
      </w:pPr>
      <w:r w:rsidRPr="000B38F0">
        <w:rPr>
          <w:rFonts w:ascii="Times New Roman" w:hAnsi="Times New Roman" w:cs="Times New Roman"/>
          <w:sz w:val="24"/>
          <w:szCs w:val="24"/>
        </w:rPr>
        <w:t xml:space="preserve">inovačných vouchrov pôjde o </w:t>
      </w:r>
      <w:r w:rsidRPr="000B38F0">
        <w:rPr>
          <w:sz w:val="24"/>
          <w:szCs w:val="24"/>
        </w:rPr>
        <w:t xml:space="preserve">podporenie podnikateľských subjektov, ktoré majú potenciál zvyšovať svoju konkurencieschopnosť prostredníctvom inovácií vlastných produktov, služieb, alebo technológií, pri riešení inovačných projektov riešiteľmi projektu – oprávnenými organizáciami, </w:t>
      </w:r>
      <w:r w:rsidR="00293375" w:rsidRPr="000B38F0">
        <w:rPr>
          <w:rFonts w:ascii="Times New Roman" w:hAnsi="Times New Roman" w:cs="Times New Roman"/>
          <w:sz w:val="24"/>
          <w:szCs w:val="24"/>
        </w:rPr>
        <w:t>s</w:t>
      </w:r>
      <w:r w:rsidR="00293375">
        <w:rPr>
          <w:rFonts w:ascii="Times New Roman" w:hAnsi="Times New Roman" w:cs="Times New Roman"/>
          <w:sz w:val="24"/>
          <w:szCs w:val="24"/>
        </w:rPr>
        <w:t>o schváleným</w:t>
      </w:r>
      <w:r w:rsidRPr="000B38F0">
        <w:rPr>
          <w:sz w:val="24"/>
          <w:szCs w:val="24"/>
        </w:rPr>
        <w:t> rozpočtom 370 000,00 eur.</w:t>
      </w:r>
    </w:p>
    <w:p w:rsidR="000B38F0" w:rsidRPr="000B38F0" w:rsidRDefault="000B38F0" w:rsidP="000B38F0">
      <w:pPr>
        <w:autoSpaceDE w:val="0"/>
        <w:autoSpaceDN w:val="0"/>
        <w:adjustRightInd w:val="0"/>
        <w:spacing w:after="0" w:line="240" w:lineRule="auto"/>
        <w:ind w:firstLine="567"/>
        <w:jc w:val="both"/>
        <w:rPr>
          <w:sz w:val="24"/>
          <w:szCs w:val="24"/>
        </w:rPr>
      </w:pPr>
    </w:p>
    <w:p w:rsidR="000B38F0" w:rsidRPr="000B38F0" w:rsidRDefault="000B38F0" w:rsidP="000B38F0">
      <w:pPr>
        <w:autoSpaceDE w:val="0"/>
        <w:autoSpaceDN w:val="0"/>
        <w:adjustRightInd w:val="0"/>
        <w:spacing w:after="0" w:line="240" w:lineRule="auto"/>
        <w:ind w:firstLine="709"/>
        <w:jc w:val="both"/>
        <w:rPr>
          <w:rFonts w:ascii="Times New Roman" w:hAnsi="Times New Roman" w:cs="Times New Roman"/>
          <w:sz w:val="24"/>
          <w:szCs w:val="24"/>
        </w:rPr>
      </w:pPr>
      <w:r w:rsidRPr="000B38F0">
        <w:rPr>
          <w:rFonts w:ascii="Times New Roman" w:hAnsi="Times New Roman" w:cs="Times New Roman"/>
          <w:sz w:val="24"/>
          <w:szCs w:val="24"/>
        </w:rPr>
        <w:t xml:space="preserve">V hodnotenom období boli vyhlásené v rámci prvku Podpora inovačných projektov v rezorte MH SR dve výzvy: </w:t>
      </w:r>
    </w:p>
    <w:p w:rsidR="000B38F0" w:rsidRPr="000B38F0" w:rsidRDefault="000B38F0" w:rsidP="000B38F0">
      <w:pPr>
        <w:numPr>
          <w:ilvl w:val="0"/>
          <w:numId w:val="9"/>
        </w:numPr>
        <w:autoSpaceDE w:val="0"/>
        <w:autoSpaceDN w:val="0"/>
        <w:adjustRightInd w:val="0"/>
        <w:spacing w:after="0" w:line="240" w:lineRule="auto"/>
        <w:ind w:left="426" w:hanging="426"/>
        <w:jc w:val="both"/>
        <w:rPr>
          <w:rFonts w:ascii="Times New Roman" w:hAnsi="Times New Roman" w:cs="Times New Roman"/>
          <w:sz w:val="24"/>
          <w:szCs w:val="24"/>
        </w:rPr>
      </w:pPr>
      <w:r w:rsidRPr="000B38F0">
        <w:rPr>
          <w:rFonts w:ascii="Times New Roman" w:hAnsi="Times New Roman" w:cs="Times New Roman"/>
          <w:sz w:val="24"/>
          <w:szCs w:val="24"/>
        </w:rPr>
        <w:t>Výzva na predkladanie žiadostí o poskytnutie dotácie na podporu priemyselných klastrových organizácií,</w:t>
      </w:r>
    </w:p>
    <w:p w:rsidR="000B38F0" w:rsidRPr="000B38F0" w:rsidRDefault="000B38F0" w:rsidP="000B38F0">
      <w:pPr>
        <w:numPr>
          <w:ilvl w:val="0"/>
          <w:numId w:val="9"/>
        </w:numPr>
        <w:autoSpaceDE w:val="0"/>
        <w:autoSpaceDN w:val="0"/>
        <w:adjustRightInd w:val="0"/>
        <w:spacing w:after="0" w:line="240" w:lineRule="auto"/>
        <w:ind w:left="426" w:hanging="426"/>
        <w:jc w:val="both"/>
        <w:rPr>
          <w:rFonts w:ascii="Times New Roman" w:hAnsi="Times New Roman" w:cs="Times New Roman"/>
          <w:sz w:val="24"/>
          <w:szCs w:val="24"/>
        </w:rPr>
      </w:pPr>
      <w:r w:rsidRPr="000B38F0">
        <w:rPr>
          <w:rFonts w:ascii="Times New Roman" w:hAnsi="Times New Roman" w:cs="Times New Roman"/>
          <w:sz w:val="24"/>
          <w:szCs w:val="24"/>
        </w:rPr>
        <w:t xml:space="preserve">Výzva na podporu spolupráce podnikateľských subjektov a  vedecko – výskumných pracovísk formou Inovačných voucherov. </w:t>
      </w:r>
    </w:p>
    <w:p w:rsidR="000B38F0" w:rsidRPr="000B38F0" w:rsidRDefault="000B38F0" w:rsidP="000B38F0">
      <w:pPr>
        <w:autoSpaceDE w:val="0"/>
        <w:autoSpaceDN w:val="0"/>
        <w:adjustRightInd w:val="0"/>
        <w:spacing w:after="0" w:line="240" w:lineRule="auto"/>
        <w:ind w:firstLine="567"/>
        <w:jc w:val="both"/>
        <w:rPr>
          <w:rFonts w:ascii="Times New Roman" w:hAnsi="Times New Roman" w:cs="Times New Roman"/>
          <w:sz w:val="24"/>
          <w:szCs w:val="24"/>
        </w:rPr>
      </w:pPr>
    </w:p>
    <w:p w:rsidR="000B38F0" w:rsidRPr="000B38F0" w:rsidRDefault="000B38F0" w:rsidP="000B38F0">
      <w:pPr>
        <w:autoSpaceDE w:val="0"/>
        <w:autoSpaceDN w:val="0"/>
        <w:adjustRightInd w:val="0"/>
        <w:spacing w:after="0" w:line="240" w:lineRule="auto"/>
        <w:ind w:firstLine="709"/>
        <w:jc w:val="both"/>
        <w:rPr>
          <w:rFonts w:ascii="Times New Roman" w:hAnsi="Times New Roman" w:cs="Times New Roman"/>
          <w:sz w:val="24"/>
          <w:szCs w:val="24"/>
        </w:rPr>
      </w:pPr>
      <w:r w:rsidRPr="000B38F0">
        <w:rPr>
          <w:rFonts w:ascii="Times New Roman" w:hAnsi="Times New Roman" w:cs="Times New Roman"/>
          <w:sz w:val="24"/>
          <w:szCs w:val="24"/>
        </w:rPr>
        <w:t xml:space="preserve">Čerpanie bežných transferov bolo vykázané v sume 477 703, 95 eur, čo predstavuje plnenie na 99,53 %. </w:t>
      </w:r>
    </w:p>
    <w:p w:rsidR="000B38F0" w:rsidRPr="000B38F0" w:rsidRDefault="000B38F0" w:rsidP="000B38F0">
      <w:pPr>
        <w:autoSpaceDE w:val="0"/>
        <w:autoSpaceDN w:val="0"/>
        <w:adjustRightInd w:val="0"/>
        <w:spacing w:after="0" w:line="240" w:lineRule="auto"/>
        <w:ind w:firstLine="567"/>
        <w:jc w:val="both"/>
        <w:rPr>
          <w:rFonts w:ascii="Times New Roman" w:hAnsi="Times New Roman" w:cs="Times New Roman"/>
          <w:sz w:val="24"/>
          <w:szCs w:val="24"/>
        </w:rPr>
      </w:pPr>
    </w:p>
    <w:p w:rsidR="000B38F0" w:rsidRPr="000B38F0" w:rsidRDefault="000B38F0" w:rsidP="000B38F0">
      <w:pPr>
        <w:autoSpaceDE w:val="0"/>
        <w:autoSpaceDN w:val="0"/>
        <w:adjustRightInd w:val="0"/>
        <w:spacing w:after="0" w:line="240" w:lineRule="auto"/>
        <w:ind w:firstLine="709"/>
        <w:jc w:val="both"/>
        <w:rPr>
          <w:rFonts w:ascii="Times New Roman" w:hAnsi="Times New Roman" w:cs="Times New Roman"/>
          <w:sz w:val="24"/>
          <w:szCs w:val="24"/>
        </w:rPr>
      </w:pPr>
      <w:r w:rsidRPr="000B38F0">
        <w:rPr>
          <w:rFonts w:ascii="Times New Roman" w:hAnsi="Times New Roman" w:cs="Times New Roman"/>
          <w:sz w:val="24"/>
          <w:szCs w:val="24"/>
        </w:rPr>
        <w:t>V rámci prvku bolo riešených 75 projektov nasledovne:</w:t>
      </w:r>
    </w:p>
    <w:p w:rsidR="000B38F0" w:rsidRPr="000B38F0" w:rsidRDefault="000B38F0" w:rsidP="000B38F0">
      <w:pPr>
        <w:numPr>
          <w:ilvl w:val="0"/>
          <w:numId w:val="9"/>
        </w:numPr>
        <w:autoSpaceDE w:val="0"/>
        <w:autoSpaceDN w:val="0"/>
        <w:adjustRightInd w:val="0"/>
        <w:spacing w:after="0" w:line="240" w:lineRule="auto"/>
        <w:ind w:left="426" w:hanging="426"/>
        <w:jc w:val="both"/>
        <w:rPr>
          <w:rFonts w:ascii="Times New Roman" w:hAnsi="Times New Roman" w:cs="Times New Roman"/>
          <w:sz w:val="24"/>
          <w:szCs w:val="24"/>
        </w:rPr>
      </w:pPr>
      <w:r w:rsidRPr="000B38F0">
        <w:rPr>
          <w:rFonts w:ascii="Times New Roman" w:hAnsi="Times New Roman" w:cs="Times New Roman"/>
          <w:sz w:val="24"/>
          <w:szCs w:val="24"/>
        </w:rPr>
        <w:t xml:space="preserve">v rámci Schémy na podporu priemyselných klastrových organizácií (schéma de </w:t>
      </w:r>
      <w:proofErr w:type="spellStart"/>
      <w:r w:rsidRPr="000B38F0">
        <w:rPr>
          <w:rFonts w:ascii="Times New Roman" w:hAnsi="Times New Roman" w:cs="Times New Roman"/>
          <w:sz w:val="24"/>
          <w:szCs w:val="24"/>
        </w:rPr>
        <w:t>minimis</w:t>
      </w:r>
      <w:proofErr w:type="spellEnd"/>
      <w:r w:rsidRPr="000B38F0">
        <w:rPr>
          <w:rFonts w:ascii="Times New Roman" w:hAnsi="Times New Roman" w:cs="Times New Roman"/>
          <w:sz w:val="24"/>
          <w:szCs w:val="24"/>
        </w:rPr>
        <w:t>), v znení dodatku č. 1 Schéma DM – 18/2014, bolo riešených 7 projektov klastrových organizácií vo finančnom objeme uvoľnených prostriedkov zo štátneho rozpočtu v sume 130 000,00 eur,</w:t>
      </w:r>
    </w:p>
    <w:p w:rsidR="000B38F0" w:rsidRPr="000B38F0" w:rsidRDefault="000B38F0" w:rsidP="000B38F0">
      <w:pPr>
        <w:numPr>
          <w:ilvl w:val="0"/>
          <w:numId w:val="9"/>
        </w:numPr>
        <w:autoSpaceDE w:val="0"/>
        <w:autoSpaceDN w:val="0"/>
        <w:adjustRightInd w:val="0"/>
        <w:spacing w:after="0" w:line="240" w:lineRule="auto"/>
        <w:ind w:left="426" w:hanging="426"/>
        <w:jc w:val="both"/>
        <w:rPr>
          <w:rFonts w:ascii="Times New Roman" w:hAnsi="Times New Roman" w:cs="Times New Roman"/>
          <w:sz w:val="24"/>
          <w:szCs w:val="24"/>
        </w:rPr>
      </w:pPr>
      <w:r w:rsidRPr="000B38F0">
        <w:rPr>
          <w:rFonts w:ascii="Times New Roman" w:hAnsi="Times New Roman" w:cs="Times New Roman"/>
          <w:sz w:val="24"/>
          <w:szCs w:val="24"/>
        </w:rPr>
        <w:t xml:space="preserve">v rámci Schémy na podporu spolupráce podnikateľských subjektov a vedecko-výskumných pracovísk formou Inovačných voucherov (schéma pomoci de </w:t>
      </w:r>
      <w:proofErr w:type="spellStart"/>
      <w:r w:rsidRPr="000B38F0">
        <w:rPr>
          <w:rFonts w:ascii="Times New Roman" w:hAnsi="Times New Roman" w:cs="Times New Roman"/>
          <w:sz w:val="24"/>
          <w:szCs w:val="24"/>
        </w:rPr>
        <w:t>minimis</w:t>
      </w:r>
      <w:proofErr w:type="spellEnd"/>
      <w:r w:rsidRPr="000B38F0">
        <w:rPr>
          <w:rFonts w:ascii="Times New Roman" w:hAnsi="Times New Roman" w:cs="Times New Roman"/>
          <w:sz w:val="24"/>
          <w:szCs w:val="24"/>
        </w:rPr>
        <w:t>), Schéma DM – 17/2014, bolo riešených 68 projektov, na ktoré boli uvoľnené prostriedky v sume 347 703,95 eur zo štátneho rozpočtu.</w:t>
      </w:r>
    </w:p>
    <w:p w:rsidR="000B38F0" w:rsidRPr="000B38F0" w:rsidRDefault="000B38F0" w:rsidP="000B38F0">
      <w:pPr>
        <w:autoSpaceDE w:val="0"/>
        <w:autoSpaceDN w:val="0"/>
        <w:adjustRightInd w:val="0"/>
        <w:spacing w:after="0" w:line="240" w:lineRule="auto"/>
        <w:ind w:firstLine="567"/>
        <w:jc w:val="both"/>
        <w:rPr>
          <w:rFonts w:ascii="Times New Roman" w:hAnsi="Times New Roman" w:cs="Times New Roman"/>
          <w:sz w:val="24"/>
          <w:szCs w:val="24"/>
        </w:rPr>
      </w:pPr>
    </w:p>
    <w:p w:rsidR="000B38F0" w:rsidRPr="000B38F0" w:rsidRDefault="000B38F0" w:rsidP="000B38F0">
      <w:pPr>
        <w:autoSpaceDE w:val="0"/>
        <w:autoSpaceDN w:val="0"/>
        <w:adjustRightInd w:val="0"/>
        <w:spacing w:after="0" w:line="240" w:lineRule="auto"/>
        <w:ind w:firstLine="709"/>
        <w:jc w:val="both"/>
        <w:rPr>
          <w:rFonts w:ascii="Times New Roman" w:hAnsi="Times New Roman" w:cs="Times New Roman"/>
          <w:sz w:val="24"/>
          <w:szCs w:val="24"/>
        </w:rPr>
      </w:pPr>
      <w:r w:rsidRPr="000B38F0">
        <w:rPr>
          <w:rFonts w:ascii="Times New Roman" w:hAnsi="Times New Roman" w:cs="Times New Roman"/>
          <w:sz w:val="24"/>
          <w:szCs w:val="24"/>
        </w:rPr>
        <w:t>Prínosom pomoci bolo zvýšenie konkurencieschopnosti členov priemyselných klastrových organizácií prostredníctvom zefektívnenia ich vzájomnej spolupráce a posilnenie priemyselných klastrov v medzinárodnom meradle. V prípade inovačných vouchrov sa jednalo o podporenie podnikateľských subjektov, ktoré majú potenciál zvyšovať svoju konkurencieschopnosť prostredníctvom inovácií vlastných produktov, služieb alebo technológií, pri riešení inovačných projektov riešiteľmi projektu – oprávnenými organizáciami.</w:t>
      </w:r>
    </w:p>
    <w:p w:rsidR="00DC7936" w:rsidRDefault="00DC7936" w:rsidP="00305411">
      <w:pPr>
        <w:pStyle w:val="Zkladntext20"/>
        <w:tabs>
          <w:tab w:val="left" w:pos="540"/>
        </w:tabs>
        <w:jc w:val="left"/>
        <w:rPr>
          <w:rFonts w:ascii="Times New Roman" w:hAnsi="Times New Roman" w:cs="Times New Roman"/>
          <w:bCs/>
          <w:i/>
          <w:lang w:val="sk-SK"/>
        </w:rPr>
      </w:pPr>
    </w:p>
    <w:p w:rsidR="003A3D8B" w:rsidRPr="00305411" w:rsidRDefault="003A3D8B" w:rsidP="00305411">
      <w:pPr>
        <w:pStyle w:val="Zkladntext20"/>
        <w:tabs>
          <w:tab w:val="left" w:pos="540"/>
        </w:tabs>
        <w:jc w:val="left"/>
        <w:rPr>
          <w:rFonts w:ascii="Times New Roman" w:hAnsi="Times New Roman" w:cs="Times New Roman"/>
          <w:bCs/>
          <w:i/>
          <w:lang w:val="sk-SK"/>
        </w:rPr>
      </w:pPr>
      <w:r w:rsidRPr="00305411">
        <w:rPr>
          <w:rFonts w:ascii="Times New Roman" w:hAnsi="Times New Roman" w:cs="Times New Roman"/>
          <w:bCs/>
          <w:i/>
          <w:lang w:val="sk-SK"/>
        </w:rPr>
        <w:t>07K 02 11 Monitoring a výskum MSP</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816"/>
        <w:gridCol w:w="1333"/>
        <w:gridCol w:w="1559"/>
        <w:gridCol w:w="1418"/>
        <w:gridCol w:w="1417"/>
      </w:tblGrid>
      <w:tr w:rsidR="0059693B" w:rsidRPr="00BF60D6" w:rsidTr="000B38F0">
        <w:trPr>
          <w:trHeight w:val="866"/>
        </w:trPr>
        <w:tc>
          <w:tcPr>
            <w:tcW w:w="2529"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16"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333"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A3D8B" w:rsidRPr="00BF60D6" w:rsidTr="000B38F0">
        <w:tc>
          <w:tcPr>
            <w:tcW w:w="2529" w:type="dxa"/>
            <w:shd w:val="clear" w:color="auto" w:fill="auto"/>
          </w:tcPr>
          <w:p w:rsidR="003A3D8B" w:rsidRPr="00BF60D6" w:rsidRDefault="003A3D8B"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16" w:type="dxa"/>
          </w:tcPr>
          <w:p w:rsidR="003A3D8B" w:rsidRPr="00BF60D6" w:rsidRDefault="003A3D8B"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333" w:type="dxa"/>
            <w:shd w:val="clear" w:color="auto" w:fill="auto"/>
          </w:tcPr>
          <w:p w:rsidR="003A3D8B" w:rsidRPr="00BF60D6" w:rsidRDefault="003A3D8B"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3A3D8B" w:rsidRPr="00BF60D6" w:rsidRDefault="000B38F0"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50 000,00</w:t>
            </w:r>
          </w:p>
        </w:tc>
        <w:tc>
          <w:tcPr>
            <w:tcW w:w="1418" w:type="dxa"/>
            <w:shd w:val="clear" w:color="auto" w:fill="auto"/>
          </w:tcPr>
          <w:p w:rsidR="003A3D8B" w:rsidRPr="00BF60D6" w:rsidRDefault="000B38F0"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50 000,00</w:t>
            </w:r>
          </w:p>
        </w:tc>
        <w:tc>
          <w:tcPr>
            <w:tcW w:w="1417" w:type="dxa"/>
            <w:shd w:val="clear" w:color="auto" w:fill="auto"/>
          </w:tcPr>
          <w:p w:rsidR="003A3D8B" w:rsidRPr="00BF60D6" w:rsidRDefault="000B38F0"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3A3D8B" w:rsidRPr="00305411" w:rsidRDefault="003A3D8B" w:rsidP="00305411">
      <w:pPr>
        <w:pStyle w:val="Zkladntext20"/>
        <w:rPr>
          <w:rFonts w:ascii="Times New Roman" w:hAnsi="Times New Roman" w:cs="Times New Roman"/>
          <w:b/>
          <w:bCs/>
          <w:lang w:val="sk-SK"/>
        </w:rPr>
      </w:pPr>
    </w:p>
    <w:p w:rsidR="000B38F0" w:rsidRPr="000B38F0" w:rsidRDefault="000B38F0" w:rsidP="000B38F0">
      <w:pPr>
        <w:pStyle w:val="Zkladntext20"/>
        <w:ind w:firstLine="540"/>
        <w:rPr>
          <w:rFonts w:ascii="Times New Roman" w:eastAsia="Times" w:hAnsi="Times New Roman" w:cs="Times New Roman"/>
          <w:lang w:val="sk-SK" w:eastAsia="en-US"/>
        </w:rPr>
      </w:pPr>
      <w:r w:rsidRPr="000B38F0">
        <w:rPr>
          <w:rFonts w:ascii="Times New Roman" w:eastAsia="Times" w:hAnsi="Times New Roman" w:cs="Times New Roman"/>
          <w:lang w:val="sk-SK" w:eastAsia="en-US"/>
        </w:rPr>
        <w:t>Bežné výdavky na tento prvok boli rozpočtov</w:t>
      </w:r>
      <w:r w:rsidR="0032403F">
        <w:rPr>
          <w:rFonts w:ascii="Times New Roman" w:eastAsia="Times" w:hAnsi="Times New Roman" w:cs="Times New Roman"/>
          <w:lang w:val="sk-SK" w:eastAsia="en-US"/>
        </w:rPr>
        <w:t>ým opatrením upravené na sumu</w:t>
      </w:r>
      <w:r w:rsidRPr="000B38F0">
        <w:rPr>
          <w:rFonts w:ascii="Times New Roman" w:eastAsia="Times" w:hAnsi="Times New Roman" w:cs="Times New Roman"/>
          <w:lang w:val="sk-SK" w:eastAsia="en-US"/>
        </w:rPr>
        <w:t xml:space="preserve"> 50 000,00 eur. </w:t>
      </w:r>
    </w:p>
    <w:p w:rsidR="000B38F0" w:rsidRDefault="000B38F0" w:rsidP="000B38F0">
      <w:pPr>
        <w:pStyle w:val="Zkladntext20"/>
        <w:ind w:firstLine="540"/>
        <w:rPr>
          <w:rFonts w:ascii="Times New Roman" w:eastAsia="Times" w:hAnsi="Times New Roman" w:cs="Times New Roman"/>
          <w:lang w:val="sk-SK" w:eastAsia="en-US"/>
        </w:rPr>
      </w:pPr>
      <w:r w:rsidRPr="000B38F0">
        <w:rPr>
          <w:rFonts w:ascii="Times New Roman" w:eastAsia="Times" w:hAnsi="Times New Roman" w:cs="Times New Roman"/>
          <w:lang w:val="sk-SK" w:eastAsia="en-US"/>
        </w:rPr>
        <w:t xml:space="preserve">K 31.12.2015 boli finančné prostriedky čerpané v sume 50 000,00 eur, čo je 100,00 % z upraveného rozpočtu. </w:t>
      </w:r>
    </w:p>
    <w:p w:rsidR="00722C98" w:rsidRPr="000B38F0" w:rsidRDefault="00722C98" w:rsidP="00722C98">
      <w:pPr>
        <w:pStyle w:val="Zkladntext20"/>
        <w:ind w:firstLine="540"/>
        <w:rPr>
          <w:rFonts w:ascii="Times New Roman" w:eastAsia="Times" w:hAnsi="Times New Roman" w:cs="Times New Roman"/>
          <w:lang w:val="sk-SK" w:eastAsia="en-US"/>
        </w:rPr>
      </w:pPr>
      <w:r w:rsidRPr="000B38F0">
        <w:rPr>
          <w:rFonts w:ascii="Times New Roman" w:eastAsia="Times" w:hAnsi="Times New Roman" w:cs="Times New Roman"/>
          <w:lang w:val="sk-SK" w:eastAsia="en-US"/>
        </w:rPr>
        <w:t>Prostredníctvom uvedeného prvku sa v roku 2015 financovalo vypracovanie materiálov, správ, štúdií a analýz, ktoré tvoria základnú bázu údajov pre tvorbu materiálov o stave podnikateľského prostredia a realizovaných podporných programov pre MSP, pre potreby MH SR, vlády SR a štruktúr Európskej komisie.</w:t>
      </w:r>
    </w:p>
    <w:p w:rsidR="00722C98" w:rsidRPr="000B38F0" w:rsidRDefault="00722C98" w:rsidP="000B38F0">
      <w:pPr>
        <w:pStyle w:val="Zkladntext20"/>
        <w:ind w:firstLine="540"/>
        <w:rPr>
          <w:rFonts w:ascii="Times New Roman" w:eastAsia="Times" w:hAnsi="Times New Roman" w:cs="Times New Roman"/>
          <w:lang w:val="sk-SK" w:eastAsia="en-US"/>
        </w:rPr>
      </w:pPr>
    </w:p>
    <w:p w:rsidR="009F576C" w:rsidRPr="00305411" w:rsidRDefault="009F576C" w:rsidP="00305411">
      <w:pPr>
        <w:pStyle w:val="Zkladntext20"/>
        <w:rPr>
          <w:rFonts w:ascii="Times New Roman" w:hAnsi="Times New Roman" w:cs="Times New Roman"/>
          <w:bCs/>
          <w:i/>
          <w:lang w:val="sk-SK"/>
        </w:rPr>
      </w:pPr>
      <w:r w:rsidRPr="00305411">
        <w:rPr>
          <w:rFonts w:ascii="Times New Roman" w:hAnsi="Times New Roman" w:cs="Times New Roman"/>
          <w:bCs/>
          <w:i/>
          <w:lang w:val="sk-SK"/>
        </w:rPr>
        <w:t>07K 02 1F Podpora úspešnej podnikateľskej praxe a výchovy k podnikaniu</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1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72"/>
      </w:tblGrid>
      <w:tr w:rsidR="0059693B" w:rsidRPr="00BF60D6" w:rsidTr="00293375">
        <w:trPr>
          <w:trHeight w:val="697"/>
        </w:trPr>
        <w:tc>
          <w:tcPr>
            <w:tcW w:w="2410"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72"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9F576C" w:rsidRPr="00BF60D6" w:rsidTr="00293375">
        <w:tc>
          <w:tcPr>
            <w:tcW w:w="2410" w:type="dxa"/>
            <w:shd w:val="clear" w:color="auto" w:fill="auto"/>
          </w:tcPr>
          <w:p w:rsidR="009F576C" w:rsidRPr="00BF60D6" w:rsidRDefault="009F576C"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9F576C" w:rsidRPr="00BF60D6" w:rsidRDefault="009F576C"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9F576C" w:rsidRPr="00BF60D6" w:rsidRDefault="009F576C"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9F576C" w:rsidRPr="00BF60D6" w:rsidRDefault="00524B44"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35 000,00</w:t>
            </w:r>
          </w:p>
        </w:tc>
        <w:tc>
          <w:tcPr>
            <w:tcW w:w="1418" w:type="dxa"/>
            <w:shd w:val="clear" w:color="auto" w:fill="auto"/>
          </w:tcPr>
          <w:p w:rsidR="009F576C" w:rsidRPr="00BF60D6" w:rsidRDefault="00524B44"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35 000,00</w:t>
            </w:r>
          </w:p>
        </w:tc>
        <w:tc>
          <w:tcPr>
            <w:tcW w:w="1472" w:type="dxa"/>
            <w:shd w:val="clear" w:color="auto" w:fill="auto"/>
          </w:tcPr>
          <w:p w:rsidR="009F576C" w:rsidRPr="00BF60D6" w:rsidRDefault="00524B44"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DC7936" w:rsidRDefault="00DC7936" w:rsidP="00305411">
      <w:pPr>
        <w:pStyle w:val="Zkladntext20"/>
        <w:ind w:firstLine="540"/>
        <w:rPr>
          <w:rFonts w:ascii="Times New Roman" w:hAnsi="Times New Roman" w:cs="Times New Roman"/>
          <w:lang w:val="sk-SK"/>
        </w:rPr>
      </w:pPr>
    </w:p>
    <w:p w:rsidR="00524B44" w:rsidRPr="00524B44" w:rsidRDefault="00524B44" w:rsidP="00524B44">
      <w:pPr>
        <w:autoSpaceDE w:val="0"/>
        <w:autoSpaceDN w:val="0"/>
        <w:adjustRightInd w:val="0"/>
        <w:spacing w:after="0" w:line="240" w:lineRule="auto"/>
        <w:ind w:firstLine="567"/>
        <w:jc w:val="both"/>
        <w:rPr>
          <w:rFonts w:ascii="Times New Roman" w:hAnsi="Times New Roman" w:cs="Times New Roman"/>
          <w:sz w:val="24"/>
          <w:szCs w:val="24"/>
        </w:rPr>
      </w:pPr>
      <w:r w:rsidRPr="00524B44">
        <w:rPr>
          <w:rFonts w:ascii="Times New Roman" w:hAnsi="Times New Roman" w:cs="Times New Roman"/>
          <w:sz w:val="24"/>
          <w:szCs w:val="24"/>
        </w:rPr>
        <w:t>Na rok 2015 v rámci rozpočtu kapitoly MH SR nebol na tento prvok schválený rozpočet. Rozpočtovým opatrením bol rozpočet upravený na 35 000,00 eur.</w:t>
      </w:r>
    </w:p>
    <w:p w:rsidR="00524B44" w:rsidRPr="00524B44" w:rsidRDefault="00524B44" w:rsidP="00524B44">
      <w:pPr>
        <w:autoSpaceDE w:val="0"/>
        <w:autoSpaceDN w:val="0"/>
        <w:adjustRightInd w:val="0"/>
        <w:spacing w:after="0" w:line="240" w:lineRule="auto"/>
        <w:ind w:firstLine="567"/>
        <w:jc w:val="both"/>
        <w:rPr>
          <w:rFonts w:ascii="Times New Roman" w:hAnsi="Times New Roman" w:cs="Times New Roman"/>
          <w:sz w:val="24"/>
          <w:szCs w:val="24"/>
        </w:rPr>
      </w:pPr>
      <w:r w:rsidRPr="00524B44">
        <w:rPr>
          <w:rFonts w:ascii="Times New Roman" w:hAnsi="Times New Roman" w:cs="Times New Roman"/>
          <w:sz w:val="24"/>
          <w:szCs w:val="24"/>
        </w:rPr>
        <w:t xml:space="preserve">Prostredníctvom prvku sa každoročne zabezpečuje organizácia podujatia Podnikateľka Slovenska – ocenenie úspešných slovenských podnikateliek, ako aj spoluorganizovanie, podpora a účasť na ďalších podujatiach zameraných na prezentáciu podnikania s poukázaním na úspešnú podnikateľskú prax.  </w:t>
      </w:r>
    </w:p>
    <w:p w:rsidR="00524B44" w:rsidRPr="00524B44" w:rsidRDefault="00524B44" w:rsidP="00524B44">
      <w:pPr>
        <w:pStyle w:val="Zkladntext20"/>
        <w:ind w:firstLine="540"/>
        <w:rPr>
          <w:rFonts w:ascii="Times New Roman" w:eastAsia="Times" w:hAnsi="Times New Roman" w:cs="Times New Roman"/>
          <w:lang w:val="sk-SK" w:eastAsia="en-US"/>
        </w:rPr>
      </w:pPr>
      <w:r w:rsidRPr="00524B44">
        <w:rPr>
          <w:rFonts w:ascii="Times New Roman" w:eastAsia="Times" w:hAnsi="Times New Roman" w:cs="Times New Roman"/>
          <w:lang w:val="sk-SK" w:eastAsia="en-US"/>
        </w:rPr>
        <w:t xml:space="preserve">Prostriedky na realizáciu tohto prvku v roku 2015 boli vyčerpané v sume 35 000,00 eur, čo je 100,00 % z upraveného rozpočtu. </w:t>
      </w:r>
    </w:p>
    <w:p w:rsidR="00BD1E5E" w:rsidRPr="00305411" w:rsidRDefault="00BD1E5E" w:rsidP="001C782A">
      <w:pPr>
        <w:spacing w:after="0" w:line="240" w:lineRule="auto"/>
        <w:ind w:right="26"/>
        <w:jc w:val="both"/>
        <w:rPr>
          <w:rFonts w:ascii="Times New Roman" w:hAnsi="Times New Roman" w:cs="Times New Roman"/>
          <w:sz w:val="24"/>
          <w:szCs w:val="24"/>
        </w:rPr>
      </w:pPr>
    </w:p>
    <w:p w:rsidR="00794975" w:rsidRPr="0065735F" w:rsidRDefault="00794975" w:rsidP="00305411">
      <w:pPr>
        <w:pStyle w:val="Zkladntext20"/>
        <w:rPr>
          <w:rFonts w:ascii="Times New Roman" w:hAnsi="Times New Roman" w:cs="Times New Roman"/>
          <w:bCs/>
          <w:i/>
          <w:lang w:val="sk-SK"/>
        </w:rPr>
      </w:pPr>
      <w:r w:rsidRPr="0065735F">
        <w:rPr>
          <w:rFonts w:ascii="Times New Roman" w:hAnsi="Times New Roman" w:cs="Times New Roman"/>
          <w:bCs/>
          <w:i/>
          <w:lang w:val="sk-SK"/>
        </w:rPr>
        <w:t>07K 02 1G Podpora startupov</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849"/>
        <w:gridCol w:w="1594"/>
        <w:gridCol w:w="1490"/>
        <w:gridCol w:w="1545"/>
        <w:gridCol w:w="1123"/>
      </w:tblGrid>
      <w:tr w:rsidR="0059693B" w:rsidRPr="00BF60D6" w:rsidTr="00D564AF">
        <w:trPr>
          <w:trHeight w:val="681"/>
        </w:trPr>
        <w:tc>
          <w:tcPr>
            <w:tcW w:w="2519"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49"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94"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49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45"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123"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794975" w:rsidRPr="00BF60D6" w:rsidTr="00D564AF">
        <w:tc>
          <w:tcPr>
            <w:tcW w:w="2519" w:type="dxa"/>
            <w:shd w:val="clear" w:color="auto" w:fill="auto"/>
          </w:tcPr>
          <w:p w:rsidR="00794975" w:rsidRPr="00BF60D6" w:rsidRDefault="00794975"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49" w:type="dxa"/>
          </w:tcPr>
          <w:p w:rsidR="00794975" w:rsidRPr="00BF60D6" w:rsidRDefault="00794975"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94" w:type="dxa"/>
            <w:shd w:val="clear" w:color="auto" w:fill="auto"/>
          </w:tcPr>
          <w:p w:rsidR="00794975" w:rsidRPr="00BF60D6" w:rsidRDefault="0092516A"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1 500 00</w:t>
            </w:r>
            <w:r w:rsidR="00794975" w:rsidRPr="00BF60D6">
              <w:rPr>
                <w:rFonts w:ascii="Times New Roman" w:hAnsi="Times New Roman" w:cs="Times New Roman"/>
                <w:lang w:eastAsia="sk-SK"/>
              </w:rPr>
              <w:t>0,00</w:t>
            </w:r>
          </w:p>
        </w:tc>
        <w:tc>
          <w:tcPr>
            <w:tcW w:w="1490" w:type="dxa"/>
            <w:shd w:val="clear" w:color="auto" w:fill="auto"/>
          </w:tcPr>
          <w:p w:rsidR="00794975" w:rsidRPr="00BF60D6" w:rsidRDefault="00D564AF"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1 300 000,00</w:t>
            </w:r>
          </w:p>
        </w:tc>
        <w:tc>
          <w:tcPr>
            <w:tcW w:w="1545" w:type="dxa"/>
            <w:shd w:val="clear" w:color="auto" w:fill="auto"/>
          </w:tcPr>
          <w:p w:rsidR="00794975" w:rsidRPr="00BF60D6" w:rsidRDefault="00D564AF"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1 300 000,00</w:t>
            </w:r>
          </w:p>
        </w:tc>
        <w:tc>
          <w:tcPr>
            <w:tcW w:w="1123" w:type="dxa"/>
            <w:shd w:val="clear" w:color="auto" w:fill="auto"/>
          </w:tcPr>
          <w:p w:rsidR="00794975" w:rsidRPr="00BF60D6" w:rsidRDefault="00D564AF"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3F443F" w:rsidRDefault="003F443F" w:rsidP="006B7B75">
      <w:pPr>
        <w:pStyle w:val="Zkladntext20"/>
        <w:ind w:firstLine="709"/>
        <w:rPr>
          <w:rFonts w:ascii="Times New Roman" w:hAnsi="Times New Roman" w:cs="Times New Roman"/>
          <w:lang w:val="sk-SK"/>
        </w:rPr>
      </w:pPr>
    </w:p>
    <w:p w:rsidR="00794975" w:rsidRPr="00305411" w:rsidRDefault="00794975" w:rsidP="006B7B75">
      <w:pPr>
        <w:pStyle w:val="Zkladntext20"/>
        <w:ind w:firstLine="709"/>
        <w:rPr>
          <w:rFonts w:ascii="Times New Roman" w:hAnsi="Times New Roman" w:cs="Times New Roman"/>
          <w:b/>
          <w:lang w:val="sk-SK"/>
        </w:rPr>
      </w:pPr>
      <w:r w:rsidRPr="00305411">
        <w:rPr>
          <w:rFonts w:ascii="Times New Roman" w:hAnsi="Times New Roman" w:cs="Times New Roman"/>
          <w:lang w:val="sk-SK"/>
        </w:rPr>
        <w:t>Bežný transfer na tento prvok bol v roku 201</w:t>
      </w:r>
      <w:r w:rsidR="0092516A">
        <w:rPr>
          <w:rFonts w:ascii="Times New Roman" w:hAnsi="Times New Roman" w:cs="Times New Roman"/>
          <w:lang w:val="sk-SK"/>
        </w:rPr>
        <w:t>5</w:t>
      </w:r>
      <w:r w:rsidRPr="00305411">
        <w:rPr>
          <w:rFonts w:ascii="Times New Roman" w:hAnsi="Times New Roman" w:cs="Times New Roman"/>
          <w:lang w:val="sk-SK"/>
        </w:rPr>
        <w:t xml:space="preserve"> </w:t>
      </w:r>
      <w:r w:rsidR="0092516A">
        <w:rPr>
          <w:rFonts w:ascii="Times New Roman" w:hAnsi="Times New Roman" w:cs="Times New Roman"/>
          <w:lang w:val="sk-SK"/>
        </w:rPr>
        <w:t xml:space="preserve">schválený v </w:t>
      </w:r>
      <w:r w:rsidR="0065735F">
        <w:rPr>
          <w:rFonts w:ascii="Times New Roman" w:hAnsi="Times New Roman" w:cs="Times New Roman"/>
          <w:lang w:val="sk-SK"/>
        </w:rPr>
        <w:t>sume</w:t>
      </w:r>
      <w:r w:rsidRPr="00305411">
        <w:rPr>
          <w:rFonts w:ascii="Times New Roman" w:hAnsi="Times New Roman" w:cs="Times New Roman"/>
          <w:lang w:val="sk-SK"/>
        </w:rPr>
        <w:t xml:space="preserve"> </w:t>
      </w:r>
      <w:r w:rsidR="0092516A">
        <w:rPr>
          <w:rFonts w:ascii="Times New Roman" w:hAnsi="Times New Roman" w:cs="Times New Roman"/>
          <w:lang w:val="sk-SK"/>
        </w:rPr>
        <w:t>1 500</w:t>
      </w:r>
      <w:r w:rsidRPr="00305411">
        <w:rPr>
          <w:rFonts w:ascii="Times New Roman" w:hAnsi="Times New Roman" w:cs="Times New Roman"/>
          <w:lang w:val="sk-SK"/>
        </w:rPr>
        <w:t> 000,00 eur a poskytnutý bol</w:t>
      </w:r>
      <w:r w:rsidR="0065735F">
        <w:rPr>
          <w:rFonts w:ascii="Times New Roman" w:hAnsi="Times New Roman" w:cs="Times New Roman"/>
          <w:lang w:val="sk-SK"/>
        </w:rPr>
        <w:t xml:space="preserve"> </w:t>
      </w:r>
      <w:r w:rsidR="0065735F" w:rsidRPr="00D21B91">
        <w:t>Slovak Business Agency</w:t>
      </w:r>
      <w:r w:rsidR="0065735F">
        <w:t xml:space="preserve"> (</w:t>
      </w:r>
      <w:r w:rsidRPr="00305411">
        <w:rPr>
          <w:rFonts w:ascii="Times New Roman" w:hAnsi="Times New Roman" w:cs="Times New Roman"/>
          <w:lang w:val="sk-SK"/>
        </w:rPr>
        <w:t>SBA</w:t>
      </w:r>
      <w:r w:rsidR="0065735F">
        <w:rPr>
          <w:rFonts w:ascii="Times New Roman" w:hAnsi="Times New Roman" w:cs="Times New Roman"/>
          <w:lang w:val="sk-SK"/>
        </w:rPr>
        <w:t>)</w:t>
      </w:r>
      <w:r w:rsidRPr="00305411">
        <w:rPr>
          <w:rFonts w:ascii="Times New Roman" w:hAnsi="Times New Roman" w:cs="Times New Roman"/>
          <w:lang w:val="sk-SK"/>
        </w:rPr>
        <w:t xml:space="preserve"> vo výške </w:t>
      </w:r>
      <w:r w:rsidR="0065735F">
        <w:rPr>
          <w:rFonts w:ascii="Times New Roman" w:hAnsi="Times New Roman" w:cs="Times New Roman"/>
          <w:lang w:val="sk-SK"/>
        </w:rPr>
        <w:t>100,00</w:t>
      </w:r>
      <w:r w:rsidRPr="00305411">
        <w:rPr>
          <w:rFonts w:ascii="Times New Roman" w:hAnsi="Times New Roman" w:cs="Times New Roman"/>
          <w:lang w:val="sk-SK"/>
        </w:rPr>
        <w:t>% z upraveného rozpočtu</w:t>
      </w:r>
      <w:r w:rsidR="0065735F">
        <w:rPr>
          <w:rFonts w:ascii="Times New Roman" w:hAnsi="Times New Roman" w:cs="Times New Roman"/>
          <w:lang w:val="sk-SK"/>
        </w:rPr>
        <w:t>,</w:t>
      </w:r>
      <w:r w:rsidR="0032403F">
        <w:rPr>
          <w:rFonts w:ascii="Times New Roman" w:hAnsi="Times New Roman" w:cs="Times New Roman"/>
          <w:lang w:val="sk-SK"/>
        </w:rPr>
        <w:t xml:space="preserve">   </w:t>
      </w:r>
      <w:r w:rsidR="0065735F">
        <w:rPr>
          <w:rFonts w:ascii="Times New Roman" w:hAnsi="Times New Roman" w:cs="Times New Roman"/>
          <w:lang w:val="sk-SK"/>
        </w:rPr>
        <w:t>t. j.1 300 000,00 eur</w:t>
      </w:r>
      <w:r w:rsidRPr="00305411">
        <w:rPr>
          <w:rFonts w:ascii="Times New Roman" w:hAnsi="Times New Roman" w:cs="Times New Roman"/>
          <w:lang w:val="sk-SK"/>
        </w:rPr>
        <w:t xml:space="preserve">. Prostriedky </w:t>
      </w:r>
      <w:r w:rsidR="0092516A">
        <w:rPr>
          <w:rFonts w:ascii="Times New Roman" w:hAnsi="Times New Roman" w:cs="Times New Roman"/>
          <w:lang w:val="sk-SK"/>
        </w:rPr>
        <w:t>boli použité</w:t>
      </w:r>
      <w:r w:rsidRPr="00305411">
        <w:rPr>
          <w:rFonts w:ascii="Times New Roman" w:hAnsi="Times New Roman" w:cs="Times New Roman"/>
          <w:lang w:val="sk-SK"/>
        </w:rPr>
        <w:t xml:space="preserve"> v súlade s uzatvorenou zmluvou a podmienkami štátneho programu na  podporu podnikateľov a širokej verejnosť (potenciálni podnikatelia) počas prípravnej a počiatočnej fázy podnikania. Ide konkrétne o poskytovanie informácií, poradenstva, zabezpečenie účasti na  start up podujatiach, podpora pri spracovaní štúdií realizovateľnosti, umožnenie absolvovania zahraničných stáží v svetových centrách podpory startupov.</w:t>
      </w:r>
    </w:p>
    <w:p w:rsidR="00305411" w:rsidRPr="00D601ED" w:rsidRDefault="00305411" w:rsidP="00794975">
      <w:pPr>
        <w:pStyle w:val="Zkladntext20"/>
        <w:ind w:firstLine="540"/>
        <w:rPr>
          <w:rFonts w:ascii="Times New Roman" w:hAnsi="Times New Roman"/>
          <w:lang w:val="sk-SK"/>
        </w:rPr>
      </w:pPr>
    </w:p>
    <w:p w:rsidR="00794975" w:rsidRPr="00305411" w:rsidRDefault="00794975" w:rsidP="00305411">
      <w:pPr>
        <w:pStyle w:val="Zkladntext20"/>
        <w:rPr>
          <w:rFonts w:ascii="Times New Roman" w:hAnsi="Times New Roman" w:cs="Times New Roman"/>
          <w:bCs/>
          <w:i/>
          <w:lang w:val="sk-SK"/>
        </w:rPr>
      </w:pPr>
      <w:r w:rsidRPr="00305411">
        <w:rPr>
          <w:rFonts w:ascii="Times New Roman" w:hAnsi="Times New Roman" w:cs="Times New Roman"/>
          <w:bCs/>
          <w:i/>
          <w:lang w:val="sk-SK"/>
        </w:rPr>
        <w:t>07K 02 1</w:t>
      </w:r>
      <w:r w:rsidR="00C60072">
        <w:rPr>
          <w:rFonts w:ascii="Times New Roman" w:hAnsi="Times New Roman" w:cs="Times New Roman"/>
          <w:bCs/>
          <w:i/>
          <w:lang w:val="sk-SK"/>
        </w:rPr>
        <w:t>H</w:t>
      </w:r>
      <w:r w:rsidR="0092516A">
        <w:rPr>
          <w:rFonts w:ascii="Times New Roman" w:hAnsi="Times New Roman" w:cs="Times New Roman"/>
          <w:bCs/>
          <w:i/>
          <w:lang w:val="sk-SK"/>
        </w:rPr>
        <w:t xml:space="preserve"> </w:t>
      </w:r>
      <w:r w:rsidRPr="00305411">
        <w:rPr>
          <w:rFonts w:ascii="Times New Roman" w:hAnsi="Times New Roman" w:cs="Times New Roman"/>
          <w:bCs/>
          <w:i/>
          <w:lang w:val="sk-SK"/>
        </w:rPr>
        <w:t> Podpora internetovej ekonomiky</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59693B" w:rsidRPr="00BF60D6" w:rsidTr="00A809F7">
        <w:trPr>
          <w:trHeight w:val="697"/>
        </w:trPr>
        <w:tc>
          <w:tcPr>
            <w:tcW w:w="2410"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794975" w:rsidRPr="00BF60D6" w:rsidTr="00A809F7">
        <w:tc>
          <w:tcPr>
            <w:tcW w:w="2410" w:type="dxa"/>
            <w:shd w:val="clear" w:color="auto" w:fill="auto"/>
          </w:tcPr>
          <w:p w:rsidR="00794975" w:rsidRPr="00BF60D6" w:rsidRDefault="00794975"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794975" w:rsidRPr="00BF60D6" w:rsidRDefault="00794975"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794975" w:rsidRPr="00BF60D6" w:rsidRDefault="00794975"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559" w:type="dxa"/>
            <w:shd w:val="clear" w:color="auto" w:fill="auto"/>
          </w:tcPr>
          <w:p w:rsidR="00794975" w:rsidRPr="00BF60D6" w:rsidRDefault="0065735F"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180 000,00</w:t>
            </w:r>
          </w:p>
        </w:tc>
        <w:tc>
          <w:tcPr>
            <w:tcW w:w="1418" w:type="dxa"/>
            <w:shd w:val="clear" w:color="auto" w:fill="auto"/>
          </w:tcPr>
          <w:p w:rsidR="00794975" w:rsidRPr="00BF60D6" w:rsidRDefault="0065735F"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180 000,00</w:t>
            </w:r>
          </w:p>
        </w:tc>
        <w:tc>
          <w:tcPr>
            <w:tcW w:w="1417" w:type="dxa"/>
            <w:shd w:val="clear" w:color="auto" w:fill="auto"/>
          </w:tcPr>
          <w:p w:rsidR="00794975" w:rsidRPr="00BF60D6" w:rsidRDefault="0065735F"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794975" w:rsidRPr="00BF60D6" w:rsidRDefault="00794975" w:rsidP="00305411">
      <w:pPr>
        <w:pStyle w:val="Zkladntext20"/>
        <w:rPr>
          <w:rFonts w:ascii="Times New Roman" w:hAnsi="Times New Roman" w:cs="Times New Roman"/>
          <w:bCs/>
          <w:sz w:val="22"/>
          <w:szCs w:val="22"/>
          <w:lang w:val="sk-SK"/>
        </w:rPr>
      </w:pPr>
    </w:p>
    <w:p w:rsidR="00722C98" w:rsidRDefault="0065735F" w:rsidP="00722C98">
      <w:pPr>
        <w:autoSpaceDE w:val="0"/>
        <w:autoSpaceDN w:val="0"/>
        <w:adjustRightInd w:val="0"/>
        <w:spacing w:after="0" w:line="240" w:lineRule="auto"/>
        <w:ind w:firstLine="567"/>
        <w:jc w:val="both"/>
        <w:rPr>
          <w:rFonts w:ascii="Times New Roman" w:eastAsia="Times New Roman" w:hAnsi="Times New Roman" w:cs="Times New Roman"/>
          <w:sz w:val="24"/>
          <w:szCs w:val="24"/>
          <w:lang w:eastAsia="sk-SK"/>
        </w:rPr>
      </w:pPr>
      <w:r w:rsidRPr="0065735F">
        <w:rPr>
          <w:rFonts w:ascii="Times New Roman" w:eastAsia="Times New Roman" w:hAnsi="Times New Roman" w:cs="Times New Roman"/>
          <w:sz w:val="24"/>
          <w:szCs w:val="24"/>
          <w:lang w:eastAsia="sk-SK"/>
        </w:rPr>
        <w:t>Na uvedený prvok nebol rozpisom rozpočtu schválený rozpočet. Úpravou bol rozpočet navýšený na 180 000,00 e</w:t>
      </w:r>
      <w:r w:rsidR="00722C98">
        <w:rPr>
          <w:rFonts w:ascii="Times New Roman" w:eastAsia="Times New Roman" w:hAnsi="Times New Roman" w:cs="Times New Roman"/>
          <w:sz w:val="24"/>
          <w:szCs w:val="24"/>
          <w:lang w:eastAsia="sk-SK"/>
        </w:rPr>
        <w:t xml:space="preserve">ur vo forme bežného transferu. </w:t>
      </w:r>
    </w:p>
    <w:p w:rsidR="0065735F" w:rsidRPr="0065735F" w:rsidRDefault="0065735F" w:rsidP="00722C98">
      <w:pPr>
        <w:autoSpaceDE w:val="0"/>
        <w:autoSpaceDN w:val="0"/>
        <w:adjustRightInd w:val="0"/>
        <w:spacing w:line="240" w:lineRule="auto"/>
        <w:ind w:firstLine="567"/>
        <w:jc w:val="both"/>
        <w:rPr>
          <w:rFonts w:ascii="Times New Roman" w:eastAsia="Times New Roman" w:hAnsi="Times New Roman" w:cs="Times New Roman"/>
          <w:sz w:val="24"/>
          <w:szCs w:val="24"/>
          <w:lang w:eastAsia="sk-SK"/>
        </w:rPr>
      </w:pPr>
      <w:r w:rsidRPr="0065735F">
        <w:rPr>
          <w:rFonts w:ascii="Times New Roman" w:eastAsia="Times New Roman" w:hAnsi="Times New Roman" w:cs="Times New Roman"/>
          <w:sz w:val="24"/>
          <w:szCs w:val="24"/>
          <w:lang w:eastAsia="sk-SK"/>
        </w:rPr>
        <w:t>Prostredníctvom prvku sa realizovali informačné aktivity, aktivity na propagáciu a popularizáciu internetovej ekonomiky, tvorba nástrojov na zavádzanie elektronických služieb a vytvorenie elektronických platforiem. Na základe zavedenia elektronických nástrojov má široká verejnosť (potenciálni podnikatelia) možnosť zvýšiť šancu na presadenie svojich inovatívnych a konkurencieschopných nápadov na trhu.</w:t>
      </w:r>
    </w:p>
    <w:p w:rsidR="0065735F" w:rsidRDefault="0065735F" w:rsidP="0065735F">
      <w:pPr>
        <w:pStyle w:val="Zkladntext20"/>
        <w:ind w:firstLine="540"/>
        <w:rPr>
          <w:rFonts w:ascii="Times New Roman" w:hAnsi="Times New Roman" w:cs="Times New Roman"/>
          <w:lang w:val="sk-SK"/>
        </w:rPr>
      </w:pPr>
      <w:r w:rsidRPr="0065735F">
        <w:rPr>
          <w:rFonts w:ascii="Times New Roman" w:hAnsi="Times New Roman" w:cs="Times New Roman"/>
          <w:lang w:val="sk-SK"/>
        </w:rPr>
        <w:t xml:space="preserve">V hodnotenom období boli rozpočtové prostriedky vyčerpané v sume 180 000,00 eur, čo je 100,00 % zo schváleného rozpočtu. </w:t>
      </w:r>
    </w:p>
    <w:p w:rsidR="006A7AC6" w:rsidRDefault="006A7AC6" w:rsidP="0065735F">
      <w:pPr>
        <w:pStyle w:val="Zkladntext20"/>
        <w:ind w:firstLine="540"/>
        <w:rPr>
          <w:rFonts w:ascii="Times New Roman" w:hAnsi="Times New Roman" w:cs="Times New Roman"/>
          <w:lang w:val="sk-SK"/>
        </w:rPr>
      </w:pPr>
    </w:p>
    <w:p w:rsidR="00366009" w:rsidRPr="00305411" w:rsidRDefault="00366009" w:rsidP="00305411">
      <w:pPr>
        <w:pStyle w:val="Zkladntext"/>
        <w:tabs>
          <w:tab w:val="left" w:pos="-4962"/>
          <w:tab w:val="left" w:pos="540"/>
          <w:tab w:val="right" w:pos="8460"/>
        </w:tabs>
        <w:spacing w:after="0" w:line="240" w:lineRule="auto"/>
        <w:rPr>
          <w:rFonts w:ascii="Times New Roman" w:hAnsi="Times New Roman" w:cs="Times New Roman"/>
          <w:i/>
          <w:sz w:val="24"/>
          <w:szCs w:val="24"/>
        </w:rPr>
      </w:pPr>
      <w:r w:rsidRPr="00305411">
        <w:rPr>
          <w:rFonts w:ascii="Times New Roman" w:hAnsi="Times New Roman" w:cs="Times New Roman"/>
          <w:i/>
          <w:sz w:val="24"/>
          <w:szCs w:val="24"/>
        </w:rPr>
        <w:t xml:space="preserve">07K 04 02 – Administrácia SARIO  </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992"/>
        <w:gridCol w:w="1559"/>
        <w:gridCol w:w="1560"/>
        <w:gridCol w:w="1559"/>
        <w:gridCol w:w="1417"/>
      </w:tblGrid>
      <w:tr w:rsidR="007B6FCC" w:rsidRPr="00BF60D6" w:rsidTr="007B6FCC">
        <w:trPr>
          <w:trHeight w:val="744"/>
        </w:trPr>
        <w:tc>
          <w:tcPr>
            <w:tcW w:w="1985"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992"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7B6FCC" w:rsidRPr="00BF60D6" w:rsidTr="007B6FCC">
        <w:tc>
          <w:tcPr>
            <w:tcW w:w="1985" w:type="dxa"/>
            <w:shd w:val="clear" w:color="auto" w:fill="auto"/>
          </w:tcPr>
          <w:p w:rsidR="00366009" w:rsidRPr="00BF60D6" w:rsidRDefault="00366009"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992" w:type="dxa"/>
          </w:tcPr>
          <w:p w:rsidR="00AB4EEE" w:rsidRPr="00BF60D6" w:rsidRDefault="00AB4EEE" w:rsidP="00305411">
            <w:pPr>
              <w:autoSpaceDE w:val="0"/>
              <w:autoSpaceDN w:val="0"/>
              <w:adjustRightInd w:val="0"/>
              <w:spacing w:after="0" w:line="240" w:lineRule="auto"/>
              <w:jc w:val="center"/>
              <w:rPr>
                <w:rFonts w:ascii="Times New Roman" w:hAnsi="Times New Roman" w:cs="Times New Roman"/>
                <w:lang w:eastAsia="sk-SK"/>
              </w:rPr>
            </w:pPr>
          </w:p>
          <w:p w:rsidR="00366009" w:rsidRPr="00BF60D6" w:rsidRDefault="00366009"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AB4EEE" w:rsidRPr="00BF60D6" w:rsidRDefault="00AB4EEE" w:rsidP="002C6A88">
            <w:pPr>
              <w:autoSpaceDE w:val="0"/>
              <w:autoSpaceDN w:val="0"/>
              <w:adjustRightInd w:val="0"/>
              <w:spacing w:after="0" w:line="240" w:lineRule="auto"/>
              <w:jc w:val="right"/>
              <w:rPr>
                <w:rFonts w:ascii="Times New Roman" w:hAnsi="Times New Roman" w:cs="Times New Roman"/>
                <w:lang w:eastAsia="sk-SK"/>
              </w:rPr>
            </w:pPr>
          </w:p>
          <w:p w:rsidR="00366009" w:rsidRPr="00BF60D6" w:rsidRDefault="002C6A88" w:rsidP="002C6A88">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w:t>
            </w:r>
            <w:r w:rsidR="00366009" w:rsidRPr="00BF60D6">
              <w:rPr>
                <w:rFonts w:ascii="Times New Roman" w:hAnsi="Times New Roman" w:cs="Times New Roman"/>
                <w:lang w:eastAsia="sk-SK"/>
              </w:rPr>
              <w:t> </w:t>
            </w:r>
            <w:r w:rsidRPr="00BF60D6">
              <w:rPr>
                <w:rFonts w:ascii="Times New Roman" w:hAnsi="Times New Roman" w:cs="Times New Roman"/>
                <w:lang w:eastAsia="sk-SK"/>
              </w:rPr>
              <w:t>4</w:t>
            </w:r>
            <w:r w:rsidR="00AB5BB4" w:rsidRPr="00BF60D6">
              <w:rPr>
                <w:rFonts w:ascii="Times New Roman" w:hAnsi="Times New Roman" w:cs="Times New Roman"/>
                <w:lang w:eastAsia="sk-SK"/>
              </w:rPr>
              <w:t>0</w:t>
            </w:r>
            <w:r w:rsidR="00366009" w:rsidRPr="00BF60D6">
              <w:rPr>
                <w:rFonts w:ascii="Times New Roman" w:hAnsi="Times New Roman" w:cs="Times New Roman"/>
                <w:lang w:eastAsia="sk-SK"/>
              </w:rPr>
              <w:t>0 000,00</w:t>
            </w:r>
          </w:p>
        </w:tc>
        <w:tc>
          <w:tcPr>
            <w:tcW w:w="1560" w:type="dxa"/>
            <w:shd w:val="clear" w:color="auto" w:fill="auto"/>
          </w:tcPr>
          <w:p w:rsidR="00AB4EEE" w:rsidRPr="00BF60D6" w:rsidRDefault="00AB4EEE" w:rsidP="00A809F7">
            <w:pPr>
              <w:autoSpaceDE w:val="0"/>
              <w:autoSpaceDN w:val="0"/>
              <w:adjustRightInd w:val="0"/>
              <w:spacing w:after="0" w:line="240" w:lineRule="auto"/>
              <w:jc w:val="right"/>
              <w:rPr>
                <w:rFonts w:ascii="Times New Roman" w:hAnsi="Times New Roman" w:cs="Times New Roman"/>
                <w:lang w:eastAsia="sk-SK"/>
              </w:rPr>
            </w:pPr>
          </w:p>
          <w:p w:rsidR="00366009" w:rsidRPr="00BF60D6" w:rsidRDefault="005B00A6" w:rsidP="00A809F7">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2 871 250,00</w:t>
            </w:r>
          </w:p>
        </w:tc>
        <w:tc>
          <w:tcPr>
            <w:tcW w:w="1559" w:type="dxa"/>
            <w:shd w:val="clear" w:color="auto" w:fill="auto"/>
          </w:tcPr>
          <w:p w:rsidR="00AB4EEE" w:rsidRPr="00BF60D6" w:rsidRDefault="00AB4EEE" w:rsidP="00A809F7">
            <w:pPr>
              <w:autoSpaceDE w:val="0"/>
              <w:autoSpaceDN w:val="0"/>
              <w:adjustRightInd w:val="0"/>
              <w:spacing w:after="0" w:line="240" w:lineRule="auto"/>
              <w:jc w:val="right"/>
              <w:rPr>
                <w:rFonts w:ascii="Times New Roman" w:hAnsi="Times New Roman" w:cs="Times New Roman"/>
                <w:lang w:eastAsia="sk-SK"/>
              </w:rPr>
            </w:pPr>
          </w:p>
          <w:p w:rsidR="00366009" w:rsidRPr="00BF60D6" w:rsidRDefault="005B00A6" w:rsidP="00A809F7">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2 871 250,00</w:t>
            </w:r>
          </w:p>
        </w:tc>
        <w:tc>
          <w:tcPr>
            <w:tcW w:w="1417" w:type="dxa"/>
            <w:shd w:val="clear" w:color="auto" w:fill="auto"/>
          </w:tcPr>
          <w:p w:rsidR="00AB4EEE" w:rsidRPr="00BF60D6" w:rsidRDefault="00AB4EEE" w:rsidP="00305411">
            <w:pPr>
              <w:spacing w:after="0" w:line="240" w:lineRule="auto"/>
              <w:jc w:val="center"/>
              <w:rPr>
                <w:rFonts w:ascii="Times New Roman" w:eastAsia="Times New Roman" w:hAnsi="Times New Roman" w:cs="Times New Roman"/>
              </w:rPr>
            </w:pPr>
          </w:p>
          <w:p w:rsidR="00366009" w:rsidRPr="00BF60D6" w:rsidRDefault="005B00A6"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7B6FCC" w:rsidRDefault="00366009" w:rsidP="00EA5219">
      <w:pPr>
        <w:autoSpaceDE w:val="0"/>
        <w:autoSpaceDN w:val="0"/>
        <w:adjustRightInd w:val="0"/>
        <w:spacing w:before="240" w:after="0" w:line="240" w:lineRule="auto"/>
        <w:ind w:firstLine="709"/>
        <w:jc w:val="both"/>
        <w:rPr>
          <w:rFonts w:ascii="Times New Roman" w:hAnsi="Times New Roman" w:cs="Times New Roman"/>
          <w:sz w:val="24"/>
          <w:szCs w:val="24"/>
        </w:rPr>
      </w:pPr>
      <w:r w:rsidRPr="00305411">
        <w:rPr>
          <w:rFonts w:ascii="Times New Roman" w:hAnsi="Times New Roman" w:cs="Times New Roman"/>
          <w:sz w:val="24"/>
          <w:szCs w:val="24"/>
        </w:rPr>
        <w:t xml:space="preserve">Schválený rozpočet </w:t>
      </w:r>
      <w:r w:rsidR="00AB5BB4" w:rsidRPr="00305411">
        <w:rPr>
          <w:rFonts w:ascii="Times New Roman" w:hAnsi="Times New Roman" w:cs="Times New Roman"/>
          <w:sz w:val="24"/>
          <w:szCs w:val="24"/>
        </w:rPr>
        <w:t xml:space="preserve">bežného transferu </w:t>
      </w:r>
      <w:r w:rsidRPr="00305411">
        <w:rPr>
          <w:rFonts w:ascii="Times New Roman" w:hAnsi="Times New Roman" w:cs="Times New Roman"/>
          <w:sz w:val="24"/>
          <w:szCs w:val="24"/>
        </w:rPr>
        <w:t xml:space="preserve">na uvedený prvok bol </w:t>
      </w:r>
      <w:r w:rsidR="00D65E6B">
        <w:rPr>
          <w:rFonts w:ascii="Times New Roman" w:hAnsi="Times New Roman" w:cs="Times New Roman"/>
          <w:sz w:val="24"/>
          <w:szCs w:val="24"/>
        </w:rPr>
        <w:t xml:space="preserve">v </w:t>
      </w:r>
      <w:r w:rsidR="001C782A">
        <w:rPr>
          <w:rFonts w:ascii="Times New Roman" w:hAnsi="Times New Roman" w:cs="Times New Roman"/>
          <w:sz w:val="24"/>
          <w:szCs w:val="24"/>
        </w:rPr>
        <w:t>sume</w:t>
      </w:r>
      <w:r w:rsidRPr="00305411">
        <w:rPr>
          <w:rFonts w:ascii="Times New Roman" w:hAnsi="Times New Roman" w:cs="Times New Roman"/>
          <w:sz w:val="24"/>
          <w:szCs w:val="24"/>
        </w:rPr>
        <w:t xml:space="preserve"> </w:t>
      </w:r>
      <w:r w:rsidR="00D65E6B">
        <w:rPr>
          <w:rFonts w:ascii="Times New Roman" w:hAnsi="Times New Roman" w:cs="Times New Roman"/>
          <w:sz w:val="24"/>
          <w:szCs w:val="24"/>
        </w:rPr>
        <w:t>2 4</w:t>
      </w:r>
      <w:r w:rsidR="00AB5BB4" w:rsidRPr="00305411">
        <w:rPr>
          <w:rFonts w:ascii="Times New Roman" w:hAnsi="Times New Roman" w:cs="Times New Roman"/>
          <w:sz w:val="24"/>
          <w:szCs w:val="24"/>
        </w:rPr>
        <w:t>0</w:t>
      </w:r>
      <w:r w:rsidRPr="00305411">
        <w:rPr>
          <w:rFonts w:ascii="Times New Roman" w:hAnsi="Times New Roman" w:cs="Times New Roman"/>
          <w:sz w:val="24"/>
          <w:szCs w:val="24"/>
        </w:rPr>
        <w:t xml:space="preserve">0 000,00 eur a rozpočtovými opatreniami bol upravený na </w:t>
      </w:r>
      <w:r w:rsidR="00D65E6B">
        <w:rPr>
          <w:rFonts w:ascii="Times New Roman" w:hAnsi="Times New Roman" w:cs="Times New Roman"/>
          <w:sz w:val="24"/>
          <w:szCs w:val="24"/>
        </w:rPr>
        <w:t>sumu</w:t>
      </w:r>
      <w:r w:rsidR="007B6FCC">
        <w:rPr>
          <w:rFonts w:ascii="Times New Roman" w:hAnsi="Times New Roman" w:cs="Times New Roman"/>
          <w:sz w:val="24"/>
          <w:szCs w:val="24"/>
        </w:rPr>
        <w:t xml:space="preserve"> 2 871 250,00</w:t>
      </w:r>
      <w:r w:rsidRPr="00305411">
        <w:rPr>
          <w:rFonts w:ascii="Times New Roman" w:hAnsi="Times New Roman" w:cs="Times New Roman"/>
          <w:sz w:val="24"/>
          <w:szCs w:val="24"/>
        </w:rPr>
        <w:t xml:space="preserve"> eur</w:t>
      </w:r>
      <w:r w:rsidR="00AB5BB4" w:rsidRPr="00305411">
        <w:rPr>
          <w:rFonts w:ascii="Times New Roman" w:hAnsi="Times New Roman" w:cs="Times New Roman"/>
          <w:sz w:val="24"/>
          <w:szCs w:val="24"/>
        </w:rPr>
        <w:t xml:space="preserve"> a v uvedenej </w:t>
      </w:r>
      <w:r w:rsidR="00D65E6B">
        <w:rPr>
          <w:rFonts w:ascii="Times New Roman" w:hAnsi="Times New Roman" w:cs="Times New Roman"/>
          <w:sz w:val="24"/>
          <w:szCs w:val="24"/>
        </w:rPr>
        <w:t>sume</w:t>
      </w:r>
      <w:r w:rsidR="00AB5BB4" w:rsidRPr="00305411">
        <w:rPr>
          <w:rFonts w:ascii="Times New Roman" w:hAnsi="Times New Roman" w:cs="Times New Roman"/>
          <w:sz w:val="24"/>
          <w:szCs w:val="24"/>
        </w:rPr>
        <w:t xml:space="preserve"> bol orga</w:t>
      </w:r>
      <w:r w:rsidRPr="00305411">
        <w:rPr>
          <w:rFonts w:ascii="Times New Roman" w:hAnsi="Times New Roman" w:cs="Times New Roman"/>
          <w:sz w:val="24"/>
          <w:szCs w:val="24"/>
        </w:rPr>
        <w:t xml:space="preserve">nizácii </w:t>
      </w:r>
      <w:r w:rsidR="00AB5BB4" w:rsidRPr="00305411">
        <w:rPr>
          <w:rFonts w:ascii="Times New Roman" w:hAnsi="Times New Roman" w:cs="Times New Roman"/>
          <w:sz w:val="24"/>
          <w:szCs w:val="24"/>
        </w:rPr>
        <w:t>poskytnutý.</w:t>
      </w:r>
      <w:r w:rsidRPr="00305411">
        <w:rPr>
          <w:rFonts w:ascii="Times New Roman" w:hAnsi="Times New Roman" w:cs="Times New Roman"/>
          <w:sz w:val="24"/>
          <w:szCs w:val="24"/>
        </w:rPr>
        <w:t xml:space="preserve"> </w:t>
      </w:r>
      <w:r w:rsidR="007B6FCC" w:rsidRPr="001C782A">
        <w:rPr>
          <w:rFonts w:ascii="Times New Roman" w:hAnsi="Times New Roman" w:cs="Times New Roman"/>
          <w:sz w:val="24"/>
          <w:szCs w:val="24"/>
        </w:rPr>
        <w:t>Prostriedky sa použili na zabezpečenie riadneho chodu organizácie, zabezpečenie činností delegovaných na Slovenskú agentúru pre rozvoj investícií a obchodu v súvislosti s podporou prílevu priamych zahraničných investícií a exportného potenciálu slovenských podnikateľov.</w:t>
      </w:r>
    </w:p>
    <w:p w:rsidR="00D65E6B" w:rsidRDefault="00D65E6B" w:rsidP="00305411">
      <w:pPr>
        <w:spacing w:after="0" w:line="240" w:lineRule="auto"/>
        <w:ind w:right="26" w:firstLine="540"/>
        <w:jc w:val="both"/>
        <w:rPr>
          <w:rFonts w:ascii="Times New Roman" w:hAnsi="Times New Roman" w:cs="Times New Roman"/>
          <w:sz w:val="24"/>
          <w:szCs w:val="24"/>
        </w:rPr>
      </w:pPr>
    </w:p>
    <w:p w:rsidR="00D65E6B" w:rsidRPr="00305411" w:rsidRDefault="00D65E6B" w:rsidP="00D65E6B">
      <w:pPr>
        <w:pStyle w:val="Zkladntext"/>
        <w:tabs>
          <w:tab w:val="left" w:pos="-4962"/>
          <w:tab w:val="left" w:pos="540"/>
          <w:tab w:val="right" w:pos="8460"/>
        </w:tabs>
        <w:spacing w:after="0" w:line="240" w:lineRule="auto"/>
        <w:rPr>
          <w:rFonts w:ascii="Times New Roman" w:hAnsi="Times New Roman" w:cs="Times New Roman"/>
          <w:i/>
          <w:sz w:val="24"/>
          <w:szCs w:val="24"/>
        </w:rPr>
      </w:pPr>
      <w:r w:rsidRPr="00305411">
        <w:rPr>
          <w:rFonts w:ascii="Times New Roman" w:hAnsi="Times New Roman" w:cs="Times New Roman"/>
          <w:i/>
          <w:sz w:val="24"/>
          <w:szCs w:val="24"/>
        </w:rPr>
        <w:t>07K 0</w:t>
      </w:r>
      <w:r>
        <w:rPr>
          <w:rFonts w:ascii="Times New Roman" w:hAnsi="Times New Roman" w:cs="Times New Roman"/>
          <w:i/>
          <w:sz w:val="24"/>
          <w:szCs w:val="24"/>
        </w:rPr>
        <w:t xml:space="preserve">9 </w:t>
      </w:r>
      <w:r w:rsidRPr="00305411">
        <w:rPr>
          <w:rFonts w:ascii="Times New Roman" w:hAnsi="Times New Roman" w:cs="Times New Roman"/>
          <w:i/>
          <w:sz w:val="24"/>
          <w:szCs w:val="24"/>
        </w:rPr>
        <w:t xml:space="preserve"> – </w:t>
      </w:r>
      <w:r>
        <w:rPr>
          <w:rFonts w:ascii="Times New Roman" w:hAnsi="Times New Roman" w:cs="Times New Roman"/>
          <w:i/>
          <w:sz w:val="24"/>
          <w:szCs w:val="24"/>
        </w:rPr>
        <w:t>Podpora projektu Samsung</w:t>
      </w:r>
      <w:r w:rsidRPr="00305411">
        <w:rPr>
          <w:rFonts w:ascii="Times New Roman" w:hAnsi="Times New Roman" w:cs="Times New Roman"/>
          <w:i/>
          <w:sz w:val="24"/>
          <w:szCs w:val="24"/>
        </w:rPr>
        <w:t xml:space="preserve">  </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51"/>
        <w:gridCol w:w="1417"/>
        <w:gridCol w:w="1559"/>
        <w:gridCol w:w="1418"/>
        <w:gridCol w:w="1417"/>
      </w:tblGrid>
      <w:tr w:rsidR="00D65E6B" w:rsidRPr="00BF60D6" w:rsidTr="007B6FCC">
        <w:trPr>
          <w:trHeight w:val="744"/>
        </w:trPr>
        <w:tc>
          <w:tcPr>
            <w:tcW w:w="2410" w:type="dxa"/>
            <w:shd w:val="clear" w:color="auto" w:fill="auto"/>
          </w:tcPr>
          <w:p w:rsidR="00D65E6B" w:rsidRPr="00BF60D6" w:rsidRDefault="00D65E6B" w:rsidP="00C6007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D65E6B" w:rsidRPr="00BF60D6" w:rsidRDefault="00D65E6B" w:rsidP="00C6007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D65E6B" w:rsidRPr="00BF60D6" w:rsidTr="007B6FCC">
        <w:tc>
          <w:tcPr>
            <w:tcW w:w="2410" w:type="dxa"/>
            <w:shd w:val="clear" w:color="auto" w:fill="auto"/>
          </w:tcPr>
          <w:p w:rsidR="00D65E6B" w:rsidRPr="00BF60D6" w:rsidRDefault="00D65E6B" w:rsidP="00C6007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D65E6B" w:rsidRPr="00BF60D6" w:rsidRDefault="00D65E6B" w:rsidP="00C6007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D65E6B" w:rsidRPr="00BF60D6" w:rsidRDefault="00D65E6B" w:rsidP="00D65E6B">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300 000,00</w:t>
            </w:r>
          </w:p>
        </w:tc>
        <w:tc>
          <w:tcPr>
            <w:tcW w:w="1559" w:type="dxa"/>
            <w:shd w:val="clear" w:color="auto" w:fill="auto"/>
          </w:tcPr>
          <w:p w:rsidR="00D65E6B" w:rsidRPr="00BF60D6" w:rsidRDefault="007B6FCC" w:rsidP="00C6007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D65E6B" w:rsidRPr="00BF60D6" w:rsidRDefault="007B6FCC" w:rsidP="00C6007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D65E6B" w:rsidRPr="00BF60D6" w:rsidRDefault="007B6FCC" w:rsidP="00C6007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tc>
      </w:tr>
    </w:tbl>
    <w:p w:rsidR="00722C98" w:rsidRDefault="007B6FCC" w:rsidP="002E3FFA">
      <w:pPr>
        <w:autoSpaceDE w:val="0"/>
        <w:autoSpaceDN w:val="0"/>
        <w:adjustRightInd w:val="0"/>
        <w:spacing w:after="0" w:line="240" w:lineRule="auto"/>
        <w:ind w:firstLine="709"/>
        <w:jc w:val="both"/>
        <w:rPr>
          <w:rFonts w:ascii="Times New Roman" w:hAnsi="Times New Roman" w:cs="Times New Roman"/>
          <w:sz w:val="24"/>
          <w:szCs w:val="24"/>
        </w:rPr>
      </w:pPr>
      <w:r w:rsidRPr="007B6FCC">
        <w:rPr>
          <w:rFonts w:ascii="Times New Roman" w:hAnsi="Times New Roman" w:cs="Times New Roman"/>
          <w:sz w:val="24"/>
          <w:szCs w:val="24"/>
        </w:rPr>
        <w:t xml:space="preserve">V rozpočte MH SR boli v  roku 2015 schválené rozpočtové výdavky na financovanie  </w:t>
      </w:r>
      <w:r w:rsidRPr="007B6FCC">
        <w:rPr>
          <w:rFonts w:ascii="Times New Roman" w:hAnsi="Times New Roman" w:cs="Times New Roman"/>
          <w:i/>
          <w:sz w:val="24"/>
          <w:szCs w:val="24"/>
        </w:rPr>
        <w:t>Podpory projektu Samsung</w:t>
      </w:r>
      <w:r w:rsidRPr="007B6FCC">
        <w:rPr>
          <w:rFonts w:ascii="Times New Roman" w:hAnsi="Times New Roman" w:cs="Times New Roman"/>
          <w:sz w:val="24"/>
          <w:szCs w:val="24"/>
        </w:rPr>
        <w:t>, na ktorého realizáciu bol schválený rozpočet bežných výdav</w:t>
      </w:r>
      <w:r w:rsidR="00722C98">
        <w:rPr>
          <w:rFonts w:ascii="Times New Roman" w:hAnsi="Times New Roman" w:cs="Times New Roman"/>
          <w:sz w:val="24"/>
          <w:szCs w:val="24"/>
        </w:rPr>
        <w:t xml:space="preserve">kov v sume 300 000,00 eur. </w:t>
      </w:r>
    </w:p>
    <w:p w:rsidR="007B6FCC" w:rsidRPr="007B6FCC" w:rsidRDefault="007B6FCC" w:rsidP="00722C98">
      <w:pPr>
        <w:autoSpaceDE w:val="0"/>
        <w:autoSpaceDN w:val="0"/>
        <w:adjustRightInd w:val="0"/>
        <w:spacing w:after="0" w:line="240" w:lineRule="auto"/>
        <w:ind w:firstLine="709"/>
        <w:jc w:val="both"/>
        <w:rPr>
          <w:rFonts w:ascii="Times New Roman" w:hAnsi="Times New Roman" w:cs="Times New Roman"/>
          <w:sz w:val="24"/>
          <w:szCs w:val="24"/>
        </w:rPr>
      </w:pPr>
      <w:r w:rsidRPr="007B6FCC">
        <w:rPr>
          <w:rFonts w:ascii="Times New Roman" w:hAnsi="Times New Roman" w:cs="Times New Roman"/>
          <w:sz w:val="24"/>
          <w:szCs w:val="24"/>
        </w:rPr>
        <w:t>Rozpočtovými opatreniami MF SR bol rozpočet upravený na sumu 0,00 eur. Rozpočtové prostriedky boli presunuté na čerpanie tých výdavkov, ktoré neboli schváleným rozpočtom na rok 2015 rozpočtovo kryté.</w:t>
      </w:r>
    </w:p>
    <w:p w:rsidR="007B6FCC" w:rsidRDefault="007B6FCC" w:rsidP="00305411">
      <w:pPr>
        <w:spacing w:after="0" w:line="240" w:lineRule="auto"/>
        <w:ind w:right="26" w:firstLine="540"/>
        <w:jc w:val="both"/>
        <w:rPr>
          <w:rFonts w:ascii="Times New Roman" w:hAnsi="Times New Roman" w:cs="Times New Roman"/>
          <w:sz w:val="24"/>
          <w:szCs w:val="24"/>
        </w:rPr>
      </w:pPr>
    </w:p>
    <w:p w:rsidR="00D65E6B" w:rsidRPr="00305411" w:rsidRDefault="00D65E6B" w:rsidP="00D65E6B">
      <w:pPr>
        <w:pStyle w:val="Zkladntext"/>
        <w:tabs>
          <w:tab w:val="left" w:pos="-4962"/>
          <w:tab w:val="left" w:pos="540"/>
          <w:tab w:val="right" w:pos="8460"/>
        </w:tabs>
        <w:spacing w:after="0" w:line="240" w:lineRule="auto"/>
        <w:rPr>
          <w:rFonts w:ascii="Times New Roman" w:hAnsi="Times New Roman" w:cs="Times New Roman"/>
          <w:i/>
          <w:sz w:val="24"/>
          <w:szCs w:val="24"/>
        </w:rPr>
      </w:pPr>
      <w:r w:rsidRPr="00305411">
        <w:rPr>
          <w:rFonts w:ascii="Times New Roman" w:hAnsi="Times New Roman" w:cs="Times New Roman"/>
          <w:i/>
          <w:sz w:val="24"/>
          <w:szCs w:val="24"/>
        </w:rPr>
        <w:t>07K 0</w:t>
      </w:r>
      <w:r>
        <w:rPr>
          <w:rFonts w:ascii="Times New Roman" w:hAnsi="Times New Roman" w:cs="Times New Roman"/>
          <w:i/>
          <w:sz w:val="24"/>
          <w:szCs w:val="24"/>
        </w:rPr>
        <w:t>D</w:t>
      </w:r>
      <w:r w:rsidRPr="00305411">
        <w:rPr>
          <w:rFonts w:ascii="Times New Roman" w:hAnsi="Times New Roman" w:cs="Times New Roman"/>
          <w:i/>
          <w:sz w:val="24"/>
          <w:szCs w:val="24"/>
        </w:rPr>
        <w:t xml:space="preserve"> 0</w:t>
      </w:r>
      <w:r>
        <w:rPr>
          <w:rFonts w:ascii="Times New Roman" w:hAnsi="Times New Roman" w:cs="Times New Roman"/>
          <w:i/>
          <w:sz w:val="24"/>
          <w:szCs w:val="24"/>
        </w:rPr>
        <w:t>5</w:t>
      </w:r>
      <w:r w:rsidRPr="00305411">
        <w:rPr>
          <w:rFonts w:ascii="Times New Roman" w:hAnsi="Times New Roman" w:cs="Times New Roman"/>
          <w:i/>
          <w:sz w:val="24"/>
          <w:szCs w:val="24"/>
        </w:rPr>
        <w:t xml:space="preserve"> – </w:t>
      </w:r>
      <w:r>
        <w:rPr>
          <w:rFonts w:ascii="Times New Roman" w:hAnsi="Times New Roman" w:cs="Times New Roman"/>
          <w:i/>
          <w:sz w:val="24"/>
          <w:szCs w:val="24"/>
        </w:rPr>
        <w:t>Podpora energetickej efektívnosti</w:t>
      </w:r>
      <w:r w:rsidRPr="00305411">
        <w:rPr>
          <w:rFonts w:ascii="Times New Roman" w:hAnsi="Times New Roman" w:cs="Times New Roman"/>
          <w:i/>
          <w:sz w:val="24"/>
          <w:szCs w:val="24"/>
        </w:rPr>
        <w:t xml:space="preserve">  </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559"/>
        <w:gridCol w:w="1559"/>
        <w:gridCol w:w="1418"/>
        <w:gridCol w:w="1417"/>
      </w:tblGrid>
      <w:tr w:rsidR="00D65E6B" w:rsidRPr="00BF60D6" w:rsidTr="001C782A">
        <w:trPr>
          <w:trHeight w:val="744"/>
        </w:trPr>
        <w:tc>
          <w:tcPr>
            <w:tcW w:w="2268" w:type="dxa"/>
            <w:shd w:val="clear" w:color="auto" w:fill="auto"/>
          </w:tcPr>
          <w:p w:rsidR="00D65E6B" w:rsidRPr="00BF60D6" w:rsidRDefault="00D65E6B" w:rsidP="00C6007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D65E6B" w:rsidRPr="00BF60D6" w:rsidRDefault="00D65E6B" w:rsidP="00C60072">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559"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59"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D65E6B" w:rsidRPr="00BF60D6" w:rsidRDefault="00D65E6B" w:rsidP="00C60072">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D65E6B" w:rsidRPr="00BF60D6" w:rsidTr="001C782A">
        <w:tc>
          <w:tcPr>
            <w:tcW w:w="2268" w:type="dxa"/>
            <w:shd w:val="clear" w:color="auto" w:fill="auto"/>
          </w:tcPr>
          <w:p w:rsidR="00D65E6B" w:rsidRPr="00BF60D6" w:rsidRDefault="00D65E6B" w:rsidP="00C60072">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D65E6B" w:rsidRPr="00BF60D6" w:rsidRDefault="00D65E6B" w:rsidP="00C60072">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559" w:type="dxa"/>
            <w:shd w:val="clear" w:color="auto" w:fill="auto"/>
          </w:tcPr>
          <w:p w:rsidR="00D65E6B" w:rsidRPr="00BF60D6" w:rsidRDefault="00D65E6B" w:rsidP="00400B79">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w:t>
            </w:r>
            <w:r w:rsidR="00400B79" w:rsidRPr="00BF60D6">
              <w:rPr>
                <w:rFonts w:ascii="Times New Roman" w:hAnsi="Times New Roman" w:cs="Times New Roman"/>
                <w:lang w:eastAsia="sk-SK"/>
              </w:rPr>
              <w:t>0</w:t>
            </w:r>
            <w:r w:rsidRPr="00BF60D6">
              <w:rPr>
                <w:rFonts w:ascii="Times New Roman" w:hAnsi="Times New Roman" w:cs="Times New Roman"/>
                <w:lang w:eastAsia="sk-SK"/>
              </w:rPr>
              <w:t>00 000,00</w:t>
            </w:r>
          </w:p>
        </w:tc>
        <w:tc>
          <w:tcPr>
            <w:tcW w:w="1559" w:type="dxa"/>
            <w:shd w:val="clear" w:color="auto" w:fill="auto"/>
          </w:tcPr>
          <w:p w:rsidR="00D65E6B" w:rsidRPr="00BF60D6" w:rsidRDefault="00400B79" w:rsidP="00C6007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8" w:type="dxa"/>
            <w:shd w:val="clear" w:color="auto" w:fill="auto"/>
          </w:tcPr>
          <w:p w:rsidR="00D65E6B" w:rsidRPr="00BF60D6" w:rsidRDefault="00400B79" w:rsidP="00C60072">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0,00</w:t>
            </w:r>
          </w:p>
        </w:tc>
        <w:tc>
          <w:tcPr>
            <w:tcW w:w="1417" w:type="dxa"/>
            <w:shd w:val="clear" w:color="auto" w:fill="auto"/>
          </w:tcPr>
          <w:p w:rsidR="00D65E6B" w:rsidRPr="00BF60D6" w:rsidRDefault="00400B79" w:rsidP="00C60072">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0,00</w:t>
            </w:r>
          </w:p>
        </w:tc>
      </w:tr>
    </w:tbl>
    <w:p w:rsidR="00D65E6B" w:rsidRDefault="00D65E6B" w:rsidP="00305411">
      <w:pPr>
        <w:spacing w:after="0" w:line="240" w:lineRule="auto"/>
        <w:ind w:right="26" w:firstLine="540"/>
        <w:jc w:val="both"/>
        <w:rPr>
          <w:rFonts w:ascii="Times New Roman" w:hAnsi="Times New Roman" w:cs="Times New Roman"/>
          <w:sz w:val="24"/>
          <w:szCs w:val="24"/>
        </w:rPr>
      </w:pPr>
    </w:p>
    <w:p w:rsidR="00793E37" w:rsidRPr="00793E37" w:rsidRDefault="00793E37" w:rsidP="00793E37">
      <w:pPr>
        <w:autoSpaceDE w:val="0"/>
        <w:autoSpaceDN w:val="0"/>
        <w:adjustRightInd w:val="0"/>
        <w:spacing w:after="0" w:line="240" w:lineRule="auto"/>
        <w:ind w:firstLine="567"/>
        <w:jc w:val="both"/>
        <w:rPr>
          <w:rFonts w:ascii="Times New Roman" w:hAnsi="Times New Roman" w:cs="Times New Roman"/>
          <w:bCs/>
          <w:i/>
          <w:iCs/>
          <w:sz w:val="24"/>
          <w:szCs w:val="24"/>
        </w:rPr>
      </w:pPr>
      <w:r w:rsidRPr="00793E37">
        <w:rPr>
          <w:rFonts w:ascii="Times New Roman" w:hAnsi="Times New Roman" w:cs="Times New Roman"/>
          <w:sz w:val="24"/>
          <w:szCs w:val="24"/>
        </w:rPr>
        <w:t xml:space="preserve">Rozpočet výdavkov na uvedený prvok bol na rok 2015 schválený </w:t>
      </w:r>
      <w:r>
        <w:rPr>
          <w:rFonts w:ascii="Times New Roman" w:hAnsi="Times New Roman" w:cs="Times New Roman"/>
          <w:sz w:val="24"/>
          <w:szCs w:val="24"/>
        </w:rPr>
        <w:t>v sume</w:t>
      </w:r>
      <w:r w:rsidRPr="00793E37">
        <w:rPr>
          <w:rFonts w:ascii="Times New Roman" w:hAnsi="Times New Roman" w:cs="Times New Roman"/>
          <w:sz w:val="24"/>
          <w:szCs w:val="24"/>
        </w:rPr>
        <w:t xml:space="preserve"> 2 000 000 eur. </w:t>
      </w:r>
      <w:r w:rsidRPr="00793E37">
        <w:rPr>
          <w:rFonts w:ascii="Times New Roman" w:hAnsi="Times New Roman" w:cs="Times New Roman"/>
          <w:sz w:val="24"/>
          <w:szCs w:val="24"/>
          <w:lang w:eastAsia="sk-SK"/>
        </w:rPr>
        <w:t>Rozpočtovými opatreniami MF SR bol rozpočet výdavkov upravený na</w:t>
      </w:r>
      <w:r w:rsidRPr="00793E37">
        <w:rPr>
          <w:rFonts w:ascii="Times New Roman" w:hAnsi="Times New Roman" w:cs="Times New Roman"/>
          <w:sz w:val="24"/>
          <w:szCs w:val="24"/>
        </w:rPr>
        <w:t xml:space="preserve"> 0,00 </w:t>
      </w:r>
      <w:r w:rsidRPr="00793E37">
        <w:rPr>
          <w:rFonts w:ascii="Times New Roman" w:hAnsi="Times New Roman" w:cs="Times New Roman"/>
          <w:sz w:val="24"/>
          <w:szCs w:val="24"/>
          <w:lang w:eastAsia="sk-SK"/>
        </w:rPr>
        <w:t xml:space="preserve">eur a výdavky </w:t>
      </w:r>
      <w:r w:rsidR="001C782A">
        <w:rPr>
          <w:rFonts w:ascii="Times New Roman" w:hAnsi="Times New Roman" w:cs="Times New Roman"/>
          <w:sz w:val="24"/>
          <w:szCs w:val="24"/>
          <w:lang w:eastAsia="sk-SK"/>
        </w:rPr>
        <w:t>v sume</w:t>
      </w:r>
      <w:r w:rsidRPr="00793E37">
        <w:rPr>
          <w:rFonts w:ascii="Times New Roman" w:hAnsi="Times New Roman" w:cs="Times New Roman"/>
          <w:sz w:val="24"/>
          <w:szCs w:val="24"/>
          <w:lang w:eastAsia="sk-SK"/>
        </w:rPr>
        <w:t xml:space="preserve"> 1 500 000 eur boli podľa §</w:t>
      </w:r>
      <w:r w:rsidR="001C782A">
        <w:rPr>
          <w:rFonts w:ascii="Times New Roman" w:hAnsi="Times New Roman" w:cs="Times New Roman"/>
          <w:sz w:val="24"/>
          <w:szCs w:val="24"/>
          <w:lang w:eastAsia="sk-SK"/>
        </w:rPr>
        <w:t xml:space="preserve"> </w:t>
      </w:r>
      <w:r w:rsidRPr="00793E37">
        <w:rPr>
          <w:rFonts w:ascii="Times New Roman" w:hAnsi="Times New Roman" w:cs="Times New Roman"/>
          <w:sz w:val="24"/>
          <w:szCs w:val="24"/>
          <w:lang w:eastAsia="sk-SK"/>
        </w:rPr>
        <w:t xml:space="preserve">8 zákona o rozpočtových pravidlách </w:t>
      </w:r>
      <w:r w:rsidR="002E3FFA">
        <w:rPr>
          <w:rFonts w:ascii="Times New Roman" w:hAnsi="Times New Roman" w:cs="Times New Roman"/>
          <w:sz w:val="24"/>
          <w:szCs w:val="24"/>
          <w:lang w:eastAsia="sk-SK"/>
        </w:rPr>
        <w:t xml:space="preserve">zaviazané </w:t>
      </w:r>
      <w:r w:rsidRPr="00793E37">
        <w:rPr>
          <w:rFonts w:ascii="Times New Roman" w:hAnsi="Times New Roman" w:cs="Times New Roman"/>
          <w:sz w:val="24"/>
          <w:szCs w:val="24"/>
          <w:lang w:eastAsia="sk-SK"/>
        </w:rPr>
        <w:t>ako kapitálové výdavky</w:t>
      </w:r>
      <w:r w:rsidR="002E3FFA">
        <w:rPr>
          <w:rFonts w:ascii="Times New Roman" w:hAnsi="Times New Roman" w:cs="Times New Roman"/>
          <w:sz w:val="24"/>
          <w:szCs w:val="24"/>
          <w:lang w:eastAsia="sk-SK"/>
        </w:rPr>
        <w:t xml:space="preserve"> s možnosťou uvoľnenia na čerpanie v</w:t>
      </w:r>
      <w:r w:rsidRPr="00793E37">
        <w:rPr>
          <w:rFonts w:ascii="Times New Roman" w:hAnsi="Times New Roman" w:cs="Times New Roman"/>
          <w:sz w:val="24"/>
          <w:szCs w:val="24"/>
          <w:lang w:eastAsia="sk-SK"/>
        </w:rPr>
        <w:t xml:space="preserve"> roku 2016.</w:t>
      </w:r>
    </w:p>
    <w:p w:rsidR="00793E37" w:rsidRPr="00793E37" w:rsidRDefault="00793E37" w:rsidP="00793E37">
      <w:pPr>
        <w:spacing w:before="120" w:after="0" w:line="240" w:lineRule="auto"/>
        <w:ind w:firstLine="567"/>
        <w:jc w:val="both"/>
        <w:rPr>
          <w:rFonts w:ascii="Times New Roman" w:hAnsi="Times New Roman" w:cs="Times New Roman"/>
          <w:sz w:val="24"/>
          <w:szCs w:val="24"/>
          <w:lang w:eastAsia="sk-SK"/>
        </w:rPr>
      </w:pPr>
      <w:r w:rsidRPr="00793E37">
        <w:rPr>
          <w:rFonts w:ascii="Times New Roman" w:hAnsi="Times New Roman" w:cs="Times New Roman"/>
          <w:sz w:val="24"/>
          <w:szCs w:val="24"/>
          <w:lang w:eastAsia="sk-SK"/>
        </w:rPr>
        <w:t>V  rámci  uvedenej  podpory   boli  v roku   2015  pripravené 2  podporné  mechanizmy:</w:t>
      </w:r>
    </w:p>
    <w:p w:rsidR="00793E37" w:rsidRPr="00793E37" w:rsidRDefault="00793E37" w:rsidP="00793E37">
      <w:pPr>
        <w:numPr>
          <w:ilvl w:val="0"/>
          <w:numId w:val="9"/>
        </w:numPr>
        <w:spacing w:after="0" w:line="240" w:lineRule="auto"/>
        <w:ind w:left="426" w:hanging="426"/>
        <w:jc w:val="both"/>
        <w:rPr>
          <w:rFonts w:ascii="Times New Roman" w:hAnsi="Times New Roman" w:cs="Times New Roman"/>
          <w:sz w:val="24"/>
          <w:szCs w:val="24"/>
          <w:lang w:eastAsia="sk-SK"/>
        </w:rPr>
      </w:pPr>
      <w:r w:rsidRPr="00793E37">
        <w:rPr>
          <w:rFonts w:ascii="Times New Roman" w:hAnsi="Times New Roman" w:cs="Times New Roman"/>
          <w:sz w:val="24"/>
          <w:szCs w:val="24"/>
          <w:lang w:eastAsia="sk-SK"/>
        </w:rPr>
        <w:t xml:space="preserve">Podpora   realizácie  energetických  auditov  mikropodnikov,  malých  podnikov a stredných podnikov so sídlom v Bratislavskom kraji – schéma de </w:t>
      </w:r>
      <w:proofErr w:type="spellStart"/>
      <w:r w:rsidRPr="00793E37">
        <w:rPr>
          <w:rFonts w:ascii="Times New Roman" w:hAnsi="Times New Roman" w:cs="Times New Roman"/>
          <w:sz w:val="24"/>
          <w:szCs w:val="24"/>
          <w:lang w:eastAsia="sk-SK"/>
        </w:rPr>
        <w:t>minimis</w:t>
      </w:r>
      <w:proofErr w:type="spellEnd"/>
      <w:r w:rsidRPr="00793E37">
        <w:rPr>
          <w:rFonts w:ascii="Times New Roman" w:hAnsi="Times New Roman" w:cs="Times New Roman"/>
          <w:sz w:val="24"/>
          <w:szCs w:val="24"/>
          <w:lang w:eastAsia="sk-SK"/>
        </w:rPr>
        <w:t xml:space="preserve">, </w:t>
      </w:r>
    </w:p>
    <w:p w:rsidR="00793E37" w:rsidRPr="00793E37" w:rsidRDefault="00793E37" w:rsidP="00793E37">
      <w:pPr>
        <w:numPr>
          <w:ilvl w:val="0"/>
          <w:numId w:val="9"/>
        </w:numPr>
        <w:spacing w:before="60" w:after="0" w:line="240" w:lineRule="auto"/>
        <w:ind w:left="426" w:hanging="426"/>
        <w:jc w:val="both"/>
        <w:rPr>
          <w:rFonts w:ascii="Times New Roman" w:hAnsi="Times New Roman" w:cs="Times New Roman"/>
          <w:sz w:val="24"/>
          <w:szCs w:val="24"/>
          <w:lang w:eastAsia="sk-SK"/>
        </w:rPr>
      </w:pPr>
      <w:r w:rsidRPr="00793E37">
        <w:rPr>
          <w:rFonts w:ascii="Times New Roman" w:hAnsi="Times New Roman" w:cs="Times New Roman"/>
          <w:sz w:val="24"/>
          <w:szCs w:val="24"/>
          <w:lang w:eastAsia="sk-SK"/>
        </w:rPr>
        <w:t>Zvyšovanie  energetickej  účinnosti  distribúcie  tepla v Bratis</w:t>
      </w:r>
      <w:r>
        <w:rPr>
          <w:rFonts w:ascii="Times New Roman" w:hAnsi="Times New Roman" w:cs="Times New Roman"/>
          <w:sz w:val="24"/>
          <w:szCs w:val="24"/>
          <w:lang w:eastAsia="sk-SK"/>
        </w:rPr>
        <w:t xml:space="preserve">lavskom kraji – schéma štátnej </w:t>
      </w:r>
      <w:r w:rsidRPr="00793E37">
        <w:rPr>
          <w:rFonts w:ascii="Times New Roman" w:hAnsi="Times New Roman" w:cs="Times New Roman"/>
          <w:sz w:val="24"/>
          <w:szCs w:val="24"/>
          <w:lang w:eastAsia="sk-SK"/>
        </w:rPr>
        <w:t xml:space="preserve">pomoci. </w:t>
      </w:r>
    </w:p>
    <w:p w:rsidR="00793E37" w:rsidRPr="00793E37" w:rsidRDefault="00793E37" w:rsidP="00793E37">
      <w:pPr>
        <w:spacing w:before="120" w:after="0" w:line="240" w:lineRule="auto"/>
        <w:ind w:firstLine="567"/>
        <w:jc w:val="both"/>
        <w:rPr>
          <w:rFonts w:ascii="Times New Roman" w:hAnsi="Times New Roman" w:cs="Times New Roman"/>
          <w:sz w:val="24"/>
          <w:szCs w:val="24"/>
          <w:lang w:eastAsia="sk-SK"/>
        </w:rPr>
      </w:pPr>
      <w:r w:rsidRPr="00793E37">
        <w:rPr>
          <w:rFonts w:ascii="Times New Roman" w:hAnsi="Times New Roman" w:cs="Times New Roman"/>
          <w:sz w:val="24"/>
          <w:szCs w:val="24"/>
          <w:lang w:eastAsia="sk-SK"/>
        </w:rPr>
        <w:t>Z dôvodu zosúladenia požiadaviek na predmetné schémy, ktoré sú stanovené v rámci nariadenia Európskej komisie č. 651/2014 o vyhlásení určitých kategórií pomoci za zlučiteľné s vnútorným trhom podľa článkov 107 a 108 zmluvy, s podmienkami regulačného rámca SR, sa v roku 2015 nečerpali finančné prostriedky na Podporu energetickej efektívnosti.</w:t>
      </w:r>
    </w:p>
    <w:p w:rsidR="00793E37" w:rsidRPr="00793E37" w:rsidRDefault="00793E37" w:rsidP="002E3FFA">
      <w:pPr>
        <w:tabs>
          <w:tab w:val="left" w:pos="-2127"/>
        </w:tabs>
        <w:spacing w:after="0" w:line="240" w:lineRule="auto"/>
        <w:ind w:firstLine="709"/>
        <w:rPr>
          <w:rFonts w:ascii="Times New Roman" w:hAnsi="Times New Roman" w:cs="Times New Roman"/>
          <w:sz w:val="24"/>
          <w:szCs w:val="24"/>
          <w:lang w:eastAsia="sk-SK"/>
        </w:rPr>
      </w:pPr>
      <w:r w:rsidRPr="00793E37">
        <w:rPr>
          <w:rFonts w:ascii="Times New Roman" w:hAnsi="Times New Roman" w:cs="Times New Roman"/>
          <w:sz w:val="24"/>
          <w:szCs w:val="24"/>
          <w:lang w:eastAsia="sk-SK"/>
        </w:rPr>
        <w:t>V súlade s uv</w:t>
      </w:r>
      <w:r w:rsidR="003F443F">
        <w:rPr>
          <w:rFonts w:ascii="Times New Roman" w:hAnsi="Times New Roman" w:cs="Times New Roman"/>
          <w:sz w:val="24"/>
          <w:szCs w:val="24"/>
          <w:lang w:eastAsia="sk-SK"/>
        </w:rPr>
        <w:t xml:space="preserve">edeným sekcia energetiky </w:t>
      </w:r>
      <w:r w:rsidRPr="00793E37">
        <w:rPr>
          <w:rFonts w:ascii="Times New Roman" w:hAnsi="Times New Roman" w:cs="Times New Roman"/>
          <w:sz w:val="24"/>
          <w:szCs w:val="24"/>
          <w:lang w:eastAsia="sk-SK"/>
        </w:rPr>
        <w:t>požiadala o presun finančných prostriedkov do roku 2016 ako aj  ich preklasifikovanie z bežných výdavkov na kapitálové výdavky.</w:t>
      </w:r>
      <w:r w:rsidRPr="00793E37">
        <w:rPr>
          <w:rFonts w:ascii="Times New Roman" w:hAnsi="Times New Roman" w:cs="Times New Roman"/>
          <w:sz w:val="24"/>
          <w:szCs w:val="24"/>
          <w:lang w:eastAsia="sk-SK"/>
        </w:rPr>
        <w:tab/>
      </w:r>
    </w:p>
    <w:p w:rsidR="002E3FFA" w:rsidRDefault="002E3FFA" w:rsidP="00305411">
      <w:pPr>
        <w:pStyle w:val="Nadpis6"/>
        <w:spacing w:before="0" w:line="240" w:lineRule="auto"/>
        <w:jc w:val="both"/>
        <w:rPr>
          <w:rFonts w:ascii="Times New Roman" w:hAnsi="Times New Roman" w:cs="Times New Roman"/>
          <w:color w:val="auto"/>
          <w:sz w:val="24"/>
          <w:szCs w:val="24"/>
        </w:rPr>
      </w:pPr>
    </w:p>
    <w:p w:rsidR="00366009" w:rsidRPr="00305411" w:rsidRDefault="00366009" w:rsidP="00305411">
      <w:pPr>
        <w:pStyle w:val="Nadpis6"/>
        <w:spacing w:before="0" w:line="240" w:lineRule="auto"/>
        <w:jc w:val="both"/>
        <w:rPr>
          <w:rFonts w:ascii="Times New Roman" w:hAnsi="Times New Roman" w:cs="Times New Roman"/>
          <w:color w:val="auto"/>
          <w:sz w:val="24"/>
          <w:szCs w:val="24"/>
        </w:rPr>
      </w:pPr>
      <w:r w:rsidRPr="00305411">
        <w:rPr>
          <w:rFonts w:ascii="Times New Roman" w:hAnsi="Times New Roman" w:cs="Times New Roman"/>
          <w:color w:val="auto"/>
          <w:sz w:val="24"/>
          <w:szCs w:val="24"/>
        </w:rPr>
        <w:t xml:space="preserve">07L 02 Podpora rozvoja činnosti občianskych združení na ochranu práv spotrebiteľa </w:t>
      </w:r>
    </w:p>
    <w:p w:rsidR="000275A9" w:rsidRPr="00BF60D6" w:rsidRDefault="000275A9" w:rsidP="002E3FFA">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560"/>
        <w:gridCol w:w="1559"/>
        <w:gridCol w:w="1417"/>
      </w:tblGrid>
      <w:tr w:rsidR="0059693B" w:rsidRPr="00BF60D6" w:rsidTr="00C42B62">
        <w:trPr>
          <w:trHeight w:val="797"/>
        </w:trPr>
        <w:tc>
          <w:tcPr>
            <w:tcW w:w="2268"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66009" w:rsidRPr="00BF60D6" w:rsidTr="00C42B62">
        <w:tc>
          <w:tcPr>
            <w:tcW w:w="2268" w:type="dxa"/>
            <w:shd w:val="clear" w:color="auto" w:fill="auto"/>
          </w:tcPr>
          <w:p w:rsidR="00366009" w:rsidRPr="00BF60D6" w:rsidRDefault="00366009"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366009" w:rsidRPr="00BF60D6" w:rsidRDefault="00366009"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366009" w:rsidRPr="00BF60D6" w:rsidRDefault="00366009"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20 000,00</w:t>
            </w:r>
          </w:p>
        </w:tc>
        <w:tc>
          <w:tcPr>
            <w:tcW w:w="1560" w:type="dxa"/>
            <w:shd w:val="clear" w:color="auto" w:fill="auto"/>
          </w:tcPr>
          <w:p w:rsidR="00366009" w:rsidRPr="00BF60D6" w:rsidRDefault="00D65E6B"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20 000,00</w:t>
            </w:r>
          </w:p>
        </w:tc>
        <w:tc>
          <w:tcPr>
            <w:tcW w:w="1559" w:type="dxa"/>
            <w:shd w:val="clear" w:color="auto" w:fill="auto"/>
          </w:tcPr>
          <w:p w:rsidR="00366009" w:rsidRPr="00BF60D6" w:rsidRDefault="00D65E6B" w:rsidP="00305411">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20 000,00</w:t>
            </w:r>
          </w:p>
        </w:tc>
        <w:tc>
          <w:tcPr>
            <w:tcW w:w="1417" w:type="dxa"/>
            <w:shd w:val="clear" w:color="auto" w:fill="auto"/>
          </w:tcPr>
          <w:p w:rsidR="00366009" w:rsidRPr="00BF60D6" w:rsidRDefault="00D65E6B"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100,00</w:t>
            </w:r>
          </w:p>
        </w:tc>
      </w:tr>
    </w:tbl>
    <w:p w:rsidR="0012273B" w:rsidRDefault="0012273B" w:rsidP="00EA5219">
      <w:pPr>
        <w:spacing w:after="0" w:line="240" w:lineRule="auto"/>
        <w:ind w:firstLine="709"/>
        <w:jc w:val="both"/>
        <w:rPr>
          <w:rFonts w:ascii="Times New Roman" w:hAnsi="Times New Roman" w:cs="Times New Roman"/>
          <w:sz w:val="24"/>
          <w:szCs w:val="24"/>
        </w:rPr>
      </w:pPr>
    </w:p>
    <w:p w:rsidR="00366009" w:rsidRPr="00305411" w:rsidRDefault="00366009" w:rsidP="00EA5219">
      <w:pPr>
        <w:spacing w:after="0" w:line="240" w:lineRule="auto"/>
        <w:ind w:firstLine="709"/>
        <w:jc w:val="both"/>
        <w:rPr>
          <w:rFonts w:ascii="Times New Roman" w:hAnsi="Times New Roman" w:cs="Times New Roman"/>
          <w:sz w:val="24"/>
          <w:szCs w:val="24"/>
        </w:rPr>
      </w:pPr>
      <w:r w:rsidRPr="00305411">
        <w:rPr>
          <w:rFonts w:ascii="Times New Roman" w:hAnsi="Times New Roman" w:cs="Times New Roman"/>
          <w:sz w:val="24"/>
          <w:szCs w:val="24"/>
        </w:rPr>
        <w:t xml:space="preserve">V uvedenom podprograme bol rozpočet bežných výdavkov schválený </w:t>
      </w:r>
      <w:r w:rsidR="00D65E6B">
        <w:rPr>
          <w:rFonts w:ascii="Times New Roman" w:hAnsi="Times New Roman" w:cs="Times New Roman"/>
          <w:sz w:val="24"/>
          <w:szCs w:val="24"/>
        </w:rPr>
        <w:t>v hodnote</w:t>
      </w:r>
      <w:r w:rsidRPr="00305411">
        <w:rPr>
          <w:rFonts w:ascii="Times New Roman" w:hAnsi="Times New Roman" w:cs="Times New Roman"/>
          <w:sz w:val="24"/>
          <w:szCs w:val="24"/>
        </w:rPr>
        <w:t xml:space="preserve">              20 000,00 eur. V roku 201</w:t>
      </w:r>
      <w:r w:rsidR="00D65E6B">
        <w:rPr>
          <w:rFonts w:ascii="Times New Roman" w:hAnsi="Times New Roman" w:cs="Times New Roman"/>
          <w:sz w:val="24"/>
          <w:szCs w:val="24"/>
        </w:rPr>
        <w:t>5</w:t>
      </w:r>
      <w:r w:rsidRPr="00305411">
        <w:rPr>
          <w:rFonts w:ascii="Times New Roman" w:hAnsi="Times New Roman" w:cs="Times New Roman"/>
          <w:sz w:val="24"/>
          <w:szCs w:val="24"/>
        </w:rPr>
        <w:t xml:space="preserve"> boli  občianskym združeniam poskytnuté dotácie vo výške                   20 000,00 eur, t. j. 100,00 % čerpanie zo schváleného rozpočtu. </w:t>
      </w:r>
    </w:p>
    <w:p w:rsidR="00722C98" w:rsidRDefault="00D65E6B" w:rsidP="00D65E6B">
      <w:pPr>
        <w:spacing w:before="240"/>
        <w:jc w:val="both"/>
        <w:rPr>
          <w:rFonts w:ascii="Times New Roman" w:hAnsi="Times New Roman" w:cs="Times New Roman"/>
          <w:sz w:val="24"/>
          <w:szCs w:val="24"/>
        </w:rPr>
      </w:pPr>
      <w:r w:rsidRPr="001C782A">
        <w:rPr>
          <w:rFonts w:ascii="Times New Roman" w:hAnsi="Times New Roman" w:cs="Times New Roman"/>
          <w:sz w:val="24"/>
          <w:szCs w:val="24"/>
        </w:rPr>
        <w:t>Rozpočtové prostriedky boli</w:t>
      </w:r>
      <w:r w:rsidR="00722C98">
        <w:rPr>
          <w:rFonts w:ascii="Times New Roman" w:hAnsi="Times New Roman" w:cs="Times New Roman"/>
          <w:sz w:val="24"/>
          <w:szCs w:val="24"/>
        </w:rPr>
        <w:t xml:space="preserve"> v hodnotenom období poskytnuté:</w:t>
      </w:r>
    </w:p>
    <w:p w:rsidR="00D65E6B" w:rsidRPr="00695344" w:rsidRDefault="00D65E6B" w:rsidP="00D65E6B">
      <w:pPr>
        <w:pStyle w:val="Obyajntext"/>
        <w:numPr>
          <w:ilvl w:val="0"/>
          <w:numId w:val="6"/>
        </w:numPr>
        <w:tabs>
          <w:tab w:val="clear" w:pos="720"/>
        </w:tabs>
        <w:ind w:left="284" w:hanging="284"/>
        <w:rPr>
          <w:rFonts w:ascii="Times New Roman" w:hAnsi="Times New Roman"/>
          <w:sz w:val="24"/>
        </w:rPr>
      </w:pPr>
      <w:r w:rsidRPr="00695344">
        <w:rPr>
          <w:rFonts w:ascii="Times New Roman" w:hAnsi="Times New Roman"/>
          <w:sz w:val="24"/>
        </w:rPr>
        <w:t>združeniu Spoločnosť ochrany spotrebiteľov Poprad v celkovej sume 14 200,00 eur,</w:t>
      </w:r>
    </w:p>
    <w:p w:rsidR="00D65E6B" w:rsidRPr="00695344" w:rsidRDefault="00D65E6B" w:rsidP="00D65E6B">
      <w:pPr>
        <w:pStyle w:val="Obyajntext"/>
        <w:numPr>
          <w:ilvl w:val="0"/>
          <w:numId w:val="6"/>
        </w:numPr>
        <w:tabs>
          <w:tab w:val="clear" w:pos="720"/>
        </w:tabs>
        <w:ind w:left="284" w:hanging="284"/>
        <w:rPr>
          <w:rFonts w:ascii="Times New Roman" w:hAnsi="Times New Roman"/>
          <w:sz w:val="24"/>
        </w:rPr>
      </w:pPr>
      <w:r w:rsidRPr="00695344">
        <w:rPr>
          <w:rFonts w:ascii="Times New Roman" w:hAnsi="Times New Roman"/>
          <w:sz w:val="24"/>
        </w:rPr>
        <w:t xml:space="preserve">združeniu </w:t>
      </w:r>
      <w:proofErr w:type="spellStart"/>
      <w:r w:rsidRPr="00695344">
        <w:rPr>
          <w:rFonts w:ascii="Times New Roman" w:hAnsi="Times New Roman"/>
          <w:sz w:val="24"/>
        </w:rPr>
        <w:t>OMBUDSPOT</w:t>
      </w:r>
      <w:proofErr w:type="spellEnd"/>
      <w:r w:rsidRPr="00695344">
        <w:rPr>
          <w:rFonts w:ascii="Times New Roman" w:hAnsi="Times New Roman"/>
          <w:sz w:val="24"/>
        </w:rPr>
        <w:t xml:space="preserve"> v celkovej sume 5 800,00 eur.</w:t>
      </w:r>
    </w:p>
    <w:p w:rsidR="00EA53AF" w:rsidRPr="00305411" w:rsidRDefault="00EA53AF" w:rsidP="00305411">
      <w:pPr>
        <w:spacing w:after="0" w:line="240" w:lineRule="auto"/>
        <w:ind w:right="26" w:firstLine="540"/>
        <w:jc w:val="both"/>
        <w:rPr>
          <w:rFonts w:ascii="Times New Roman" w:hAnsi="Times New Roman" w:cs="Times New Roman"/>
          <w:sz w:val="24"/>
          <w:szCs w:val="24"/>
        </w:rPr>
      </w:pPr>
    </w:p>
    <w:p w:rsidR="00366009" w:rsidRPr="00305411" w:rsidRDefault="00366009" w:rsidP="00305411">
      <w:pPr>
        <w:spacing w:after="0" w:line="240" w:lineRule="auto"/>
        <w:jc w:val="both"/>
        <w:rPr>
          <w:rFonts w:ascii="Times New Roman" w:hAnsi="Times New Roman" w:cs="Times New Roman"/>
          <w:i/>
          <w:sz w:val="24"/>
          <w:szCs w:val="24"/>
        </w:rPr>
      </w:pPr>
      <w:r w:rsidRPr="00305411">
        <w:rPr>
          <w:rFonts w:ascii="Times New Roman" w:hAnsi="Times New Roman" w:cs="Times New Roman"/>
          <w:i/>
          <w:sz w:val="24"/>
          <w:szCs w:val="24"/>
        </w:rPr>
        <w:t>07L 04 Podpora programov rezortu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560"/>
        <w:gridCol w:w="1559"/>
        <w:gridCol w:w="1417"/>
      </w:tblGrid>
      <w:tr w:rsidR="0059693B" w:rsidRPr="00BF60D6" w:rsidTr="00C42B62">
        <w:trPr>
          <w:trHeight w:val="866"/>
        </w:trPr>
        <w:tc>
          <w:tcPr>
            <w:tcW w:w="2268" w:type="dxa"/>
            <w:shd w:val="clear" w:color="auto" w:fill="auto"/>
          </w:tcPr>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305411">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305411">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560"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559"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366009" w:rsidRPr="00BF60D6" w:rsidTr="00C42B62">
        <w:tc>
          <w:tcPr>
            <w:tcW w:w="2268" w:type="dxa"/>
            <w:shd w:val="clear" w:color="auto" w:fill="auto"/>
          </w:tcPr>
          <w:p w:rsidR="00366009" w:rsidRPr="00BF60D6" w:rsidRDefault="00366009" w:rsidP="00305411">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366009" w:rsidRPr="00BF60D6" w:rsidRDefault="00366009" w:rsidP="00305411">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366009" w:rsidRPr="00BF60D6" w:rsidRDefault="00637480" w:rsidP="0063748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2 141 781,00</w:t>
            </w:r>
          </w:p>
        </w:tc>
        <w:tc>
          <w:tcPr>
            <w:tcW w:w="1560" w:type="dxa"/>
            <w:shd w:val="clear" w:color="auto" w:fill="auto"/>
          </w:tcPr>
          <w:p w:rsidR="00366009" w:rsidRPr="00BF60D6" w:rsidRDefault="00295C41" w:rsidP="001C782A">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2 563 054,63</w:t>
            </w:r>
          </w:p>
        </w:tc>
        <w:tc>
          <w:tcPr>
            <w:tcW w:w="1559" w:type="dxa"/>
            <w:shd w:val="clear" w:color="auto" w:fill="auto"/>
          </w:tcPr>
          <w:p w:rsidR="00366009" w:rsidRPr="00BF60D6" w:rsidRDefault="00295C41" w:rsidP="001C782A">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2 561 347,02</w:t>
            </w:r>
          </w:p>
        </w:tc>
        <w:tc>
          <w:tcPr>
            <w:tcW w:w="1417" w:type="dxa"/>
            <w:shd w:val="clear" w:color="auto" w:fill="auto"/>
          </w:tcPr>
          <w:p w:rsidR="00366009" w:rsidRPr="00BF60D6" w:rsidRDefault="00295C41" w:rsidP="00305411">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99,94</w:t>
            </w:r>
          </w:p>
        </w:tc>
      </w:tr>
    </w:tbl>
    <w:p w:rsidR="00EA53AF" w:rsidRDefault="00EA53AF" w:rsidP="00C223C2">
      <w:pPr>
        <w:autoSpaceDE w:val="0"/>
        <w:autoSpaceDN w:val="0"/>
        <w:adjustRightInd w:val="0"/>
        <w:spacing w:after="0" w:line="240" w:lineRule="auto"/>
        <w:ind w:firstLine="567"/>
        <w:jc w:val="both"/>
        <w:rPr>
          <w:rFonts w:ascii="Times New Roman" w:hAnsi="Times New Roman" w:cs="Times New Roman"/>
          <w:bCs/>
          <w:sz w:val="24"/>
          <w:szCs w:val="24"/>
          <w:lang w:eastAsia="sk-SK"/>
        </w:rPr>
      </w:pPr>
    </w:p>
    <w:p w:rsidR="000D5648" w:rsidRPr="000D5648" w:rsidRDefault="000D5648" w:rsidP="000D5648">
      <w:pPr>
        <w:autoSpaceDE w:val="0"/>
        <w:autoSpaceDN w:val="0"/>
        <w:adjustRightInd w:val="0"/>
        <w:spacing w:line="240" w:lineRule="auto"/>
        <w:ind w:firstLine="567"/>
        <w:jc w:val="both"/>
        <w:rPr>
          <w:rFonts w:ascii="Times New Roman" w:hAnsi="Times New Roman" w:cs="Times New Roman"/>
          <w:bCs/>
          <w:sz w:val="24"/>
          <w:szCs w:val="24"/>
          <w:lang w:eastAsia="sk-SK"/>
        </w:rPr>
      </w:pPr>
      <w:r w:rsidRPr="000D5648">
        <w:rPr>
          <w:rFonts w:ascii="Times New Roman" w:hAnsi="Times New Roman" w:cs="Times New Roman"/>
          <w:bCs/>
          <w:sz w:val="24"/>
          <w:szCs w:val="24"/>
          <w:lang w:eastAsia="sk-SK"/>
        </w:rPr>
        <w:t xml:space="preserve">Rozpočet bežných transferov bol na rok 2015 pre podprogram 07L 04 schválený </w:t>
      </w:r>
      <w:r w:rsidRPr="000D5648">
        <w:rPr>
          <w:rFonts w:ascii="Times New Roman" w:hAnsi="Times New Roman" w:cs="Times New Roman"/>
          <w:sz w:val="24"/>
          <w:szCs w:val="24"/>
        </w:rPr>
        <w:t>v </w:t>
      </w:r>
      <w:r>
        <w:rPr>
          <w:rFonts w:ascii="Times New Roman" w:hAnsi="Times New Roman" w:cs="Times New Roman"/>
          <w:sz w:val="24"/>
          <w:szCs w:val="24"/>
        </w:rPr>
        <w:t>sume</w:t>
      </w:r>
      <w:r w:rsidRPr="000D5648">
        <w:rPr>
          <w:rFonts w:ascii="Times New Roman" w:hAnsi="Times New Roman" w:cs="Times New Roman"/>
          <w:sz w:val="24"/>
          <w:szCs w:val="24"/>
        </w:rPr>
        <w:t xml:space="preserve"> </w:t>
      </w:r>
      <w:r w:rsidRPr="000D5648">
        <w:rPr>
          <w:rFonts w:ascii="Times New Roman" w:hAnsi="Times New Roman" w:cs="Times New Roman"/>
          <w:sz w:val="24"/>
          <w:szCs w:val="24"/>
          <w:lang w:eastAsia="sk-SK"/>
        </w:rPr>
        <w:t>2 141 781,00 e</w:t>
      </w:r>
      <w:r w:rsidRPr="000D5648">
        <w:rPr>
          <w:rFonts w:ascii="Times New Roman" w:hAnsi="Times New Roman" w:cs="Times New Roman"/>
          <w:bCs/>
          <w:sz w:val="24"/>
          <w:szCs w:val="24"/>
          <w:lang w:eastAsia="sk-SK"/>
        </w:rPr>
        <w:t xml:space="preserve">ur, rozpočtovými opatreniami bol rozpočet upravený na </w:t>
      </w:r>
      <w:r w:rsidRPr="000D5648">
        <w:rPr>
          <w:rFonts w:ascii="Times New Roman" w:hAnsi="Times New Roman" w:cs="Times New Roman"/>
          <w:sz w:val="24"/>
          <w:szCs w:val="24"/>
          <w:lang w:eastAsia="sk-SK"/>
        </w:rPr>
        <w:t xml:space="preserve">2 563 054,63 </w:t>
      </w:r>
      <w:r w:rsidRPr="000D5648">
        <w:rPr>
          <w:rFonts w:ascii="Times New Roman" w:hAnsi="Times New Roman" w:cs="Times New Roman"/>
          <w:bCs/>
          <w:sz w:val="24"/>
          <w:szCs w:val="24"/>
          <w:lang w:eastAsia="sk-SK"/>
        </w:rPr>
        <w:t xml:space="preserve">eur. Čerpanie za hodnotené obdobie bolo vykázané v sume </w:t>
      </w:r>
      <w:r w:rsidRPr="000D5648">
        <w:rPr>
          <w:rFonts w:ascii="Times New Roman" w:hAnsi="Times New Roman" w:cs="Times New Roman"/>
          <w:sz w:val="24"/>
          <w:szCs w:val="24"/>
          <w:lang w:eastAsia="sk-SK"/>
        </w:rPr>
        <w:t>2 561 347,02 e</w:t>
      </w:r>
      <w:r w:rsidRPr="000D5648">
        <w:rPr>
          <w:rFonts w:ascii="Times New Roman" w:hAnsi="Times New Roman" w:cs="Times New Roman"/>
          <w:bCs/>
          <w:sz w:val="24"/>
          <w:szCs w:val="24"/>
          <w:lang w:eastAsia="sk-SK"/>
        </w:rPr>
        <w:t>ur, čo je 99,94 % z upraveného rozpočtu.</w:t>
      </w:r>
    </w:p>
    <w:p w:rsidR="000D5648" w:rsidRPr="000D5648" w:rsidRDefault="000D5648" w:rsidP="000D5648">
      <w:pPr>
        <w:autoSpaceDE w:val="0"/>
        <w:autoSpaceDN w:val="0"/>
        <w:adjustRightInd w:val="0"/>
        <w:spacing w:line="240" w:lineRule="auto"/>
        <w:ind w:firstLine="567"/>
        <w:jc w:val="both"/>
        <w:rPr>
          <w:rFonts w:ascii="Times New Roman" w:hAnsi="Times New Roman" w:cs="Times New Roman"/>
          <w:bCs/>
          <w:sz w:val="24"/>
          <w:szCs w:val="24"/>
          <w:lang w:eastAsia="sk-SK"/>
        </w:rPr>
      </w:pPr>
      <w:r w:rsidRPr="000D5648">
        <w:rPr>
          <w:rFonts w:ascii="Times New Roman" w:hAnsi="Times New Roman" w:cs="Times New Roman"/>
          <w:bCs/>
          <w:sz w:val="24"/>
          <w:szCs w:val="24"/>
          <w:lang w:eastAsia="sk-SK"/>
        </w:rPr>
        <w:t>V rámci bežných transferov bol uhradený členský príspevok organizáciám, v ktorých  je SR členom :</w:t>
      </w:r>
    </w:p>
    <w:p w:rsidR="000D5648" w:rsidRPr="000D5648" w:rsidRDefault="000D5648" w:rsidP="000D5648">
      <w:pPr>
        <w:autoSpaceDE w:val="0"/>
        <w:autoSpaceDN w:val="0"/>
        <w:adjustRightInd w:val="0"/>
        <w:spacing w:after="0" w:line="240" w:lineRule="auto"/>
        <w:jc w:val="both"/>
        <w:rPr>
          <w:rFonts w:ascii="Times New Roman" w:hAnsi="Times New Roman" w:cs="Times New Roman"/>
          <w:bCs/>
          <w:sz w:val="24"/>
          <w:szCs w:val="24"/>
          <w:lang w:eastAsia="sk-SK"/>
        </w:rPr>
      </w:pPr>
      <w:r w:rsidRPr="000D5648">
        <w:rPr>
          <w:rFonts w:ascii="Times New Roman" w:hAnsi="Times New Roman" w:cs="Times New Roman"/>
          <w:bCs/>
          <w:sz w:val="24"/>
          <w:szCs w:val="24"/>
          <w:lang w:eastAsia="sk-SK"/>
        </w:rPr>
        <w:t>- medzinárodná organizácia Energetická charta v sume 1</w:t>
      </w:r>
      <w:r w:rsidRPr="000D5648">
        <w:rPr>
          <w:rFonts w:ascii="Times New Roman" w:hAnsi="Times New Roman" w:cs="Times New Roman"/>
          <w:sz w:val="24"/>
          <w:szCs w:val="24"/>
          <w:lang w:eastAsia="sk-SK"/>
        </w:rPr>
        <w:t>4 232,00 eur</w:t>
      </w:r>
      <w:r w:rsidRPr="000D5648">
        <w:rPr>
          <w:rFonts w:ascii="Times New Roman" w:hAnsi="Times New Roman" w:cs="Times New Roman"/>
          <w:bCs/>
          <w:sz w:val="24"/>
          <w:szCs w:val="24"/>
          <w:lang w:eastAsia="sk-SK"/>
        </w:rPr>
        <w:t>, </w:t>
      </w:r>
    </w:p>
    <w:p w:rsidR="000D5648" w:rsidRPr="000D5648" w:rsidRDefault="000D5648" w:rsidP="000D5648">
      <w:pPr>
        <w:autoSpaceDE w:val="0"/>
        <w:autoSpaceDN w:val="0"/>
        <w:adjustRightInd w:val="0"/>
        <w:spacing w:after="0" w:line="240" w:lineRule="auto"/>
        <w:jc w:val="both"/>
        <w:rPr>
          <w:rFonts w:ascii="Times New Roman" w:hAnsi="Times New Roman" w:cs="Times New Roman"/>
          <w:bCs/>
          <w:sz w:val="24"/>
          <w:szCs w:val="24"/>
          <w:lang w:eastAsia="sk-SK"/>
        </w:rPr>
      </w:pPr>
      <w:r w:rsidRPr="000D5648">
        <w:rPr>
          <w:rFonts w:ascii="Times New Roman" w:hAnsi="Times New Roman" w:cs="Times New Roman"/>
          <w:bCs/>
          <w:sz w:val="24"/>
          <w:szCs w:val="24"/>
          <w:lang w:eastAsia="sk-SK"/>
        </w:rPr>
        <w:t>- Medzinárodná agentúra pre obnoviteľnú energiu (IRENA) v sume 34 233,35 eur</w:t>
      </w:r>
    </w:p>
    <w:p w:rsidR="000D5648" w:rsidRDefault="000D5648" w:rsidP="000D5648">
      <w:pPr>
        <w:autoSpaceDE w:val="0"/>
        <w:autoSpaceDN w:val="0"/>
        <w:adjustRightInd w:val="0"/>
        <w:spacing w:after="0" w:line="240" w:lineRule="auto"/>
        <w:jc w:val="both"/>
        <w:rPr>
          <w:rFonts w:ascii="Times New Roman" w:hAnsi="Times New Roman" w:cs="Times New Roman"/>
          <w:bCs/>
          <w:color w:val="000000"/>
          <w:sz w:val="24"/>
          <w:szCs w:val="24"/>
          <w:lang w:eastAsia="sk-SK"/>
        </w:rPr>
      </w:pPr>
      <w:r w:rsidRPr="000D5648">
        <w:rPr>
          <w:rFonts w:ascii="Times New Roman" w:hAnsi="Times New Roman" w:cs="Times New Roman"/>
          <w:bCs/>
          <w:sz w:val="24"/>
          <w:szCs w:val="24"/>
          <w:lang w:eastAsia="sk-SK"/>
        </w:rPr>
        <w:t>- Medzinárodná energetická agentúra (</w:t>
      </w:r>
      <w:proofErr w:type="spellStart"/>
      <w:r w:rsidRPr="000D5648">
        <w:rPr>
          <w:rFonts w:ascii="Times New Roman" w:hAnsi="Times New Roman" w:cs="Times New Roman"/>
          <w:bCs/>
          <w:sz w:val="24"/>
          <w:szCs w:val="24"/>
          <w:lang w:eastAsia="sk-SK"/>
        </w:rPr>
        <w:t>IEA</w:t>
      </w:r>
      <w:proofErr w:type="spellEnd"/>
      <w:r w:rsidRPr="000D5648">
        <w:rPr>
          <w:rFonts w:ascii="Times New Roman" w:hAnsi="Times New Roman" w:cs="Times New Roman"/>
          <w:bCs/>
          <w:sz w:val="24"/>
          <w:szCs w:val="24"/>
          <w:lang w:eastAsia="sk-SK"/>
        </w:rPr>
        <w:t xml:space="preserve">) v sume </w:t>
      </w:r>
      <w:r w:rsidRPr="000D5648">
        <w:rPr>
          <w:rFonts w:ascii="Times New Roman" w:hAnsi="Times New Roman" w:cs="Times New Roman"/>
          <w:bCs/>
          <w:color w:val="000000"/>
          <w:sz w:val="24"/>
          <w:szCs w:val="24"/>
          <w:lang w:eastAsia="sk-SK"/>
        </w:rPr>
        <w:t>49 691,31 eur.</w:t>
      </w:r>
    </w:p>
    <w:p w:rsidR="000D5648" w:rsidRPr="000D5648" w:rsidRDefault="000D5648" w:rsidP="000D5648">
      <w:pPr>
        <w:autoSpaceDE w:val="0"/>
        <w:autoSpaceDN w:val="0"/>
        <w:adjustRightInd w:val="0"/>
        <w:spacing w:after="0" w:line="240" w:lineRule="auto"/>
        <w:jc w:val="both"/>
        <w:rPr>
          <w:rFonts w:ascii="Times New Roman" w:hAnsi="Times New Roman" w:cs="Times New Roman"/>
          <w:bCs/>
          <w:color w:val="000000"/>
          <w:sz w:val="24"/>
          <w:szCs w:val="24"/>
          <w:lang w:eastAsia="sk-SK"/>
        </w:rPr>
      </w:pPr>
    </w:p>
    <w:p w:rsidR="000D5648" w:rsidRPr="000D5648" w:rsidRDefault="000D5648" w:rsidP="000D5648">
      <w:pPr>
        <w:autoSpaceDE w:val="0"/>
        <w:autoSpaceDN w:val="0"/>
        <w:adjustRightInd w:val="0"/>
        <w:spacing w:line="240" w:lineRule="auto"/>
        <w:jc w:val="both"/>
        <w:rPr>
          <w:rFonts w:ascii="Times New Roman" w:hAnsi="Times New Roman" w:cs="Times New Roman"/>
          <w:sz w:val="24"/>
          <w:szCs w:val="24"/>
          <w:lang w:eastAsia="sk-SK"/>
        </w:rPr>
      </w:pPr>
      <w:r w:rsidRPr="000D5648">
        <w:rPr>
          <w:rFonts w:ascii="Times New Roman" w:hAnsi="Times New Roman" w:cs="Times New Roman"/>
          <w:bCs/>
          <w:sz w:val="24"/>
          <w:szCs w:val="24"/>
          <w:lang w:eastAsia="sk-SK"/>
        </w:rPr>
        <w:t xml:space="preserve">Taktiež bol uhradený povinný členský príspevok Sekretariátu Rotterdamského dohovoru v sume 10 407,01 eur. Na nemocenských dávkach bolo vykázané čerpanie v sume                </w:t>
      </w:r>
      <w:r w:rsidRPr="000D5648">
        <w:rPr>
          <w:rFonts w:ascii="Times New Roman" w:hAnsi="Times New Roman" w:cs="Times New Roman"/>
          <w:sz w:val="24"/>
          <w:szCs w:val="24"/>
          <w:lang w:eastAsia="sk-SK"/>
        </w:rPr>
        <w:t xml:space="preserve">14 865,85 </w:t>
      </w:r>
      <w:r w:rsidRPr="000D5648">
        <w:rPr>
          <w:rFonts w:ascii="Times New Roman" w:hAnsi="Times New Roman" w:cs="Times New Roman"/>
          <w:bCs/>
          <w:sz w:val="24"/>
          <w:szCs w:val="24"/>
          <w:lang w:eastAsia="sk-SK"/>
        </w:rPr>
        <w:t>eur. Na odstupné a odchodné pre zamestnancov úradu ministerstva bolo vyčerpaných 92 041,50 eur. Výdavok vo výške  95,00 eur bol uhradený ako ročný členský príspevok za členstvo v Slovenskom inštitúte.</w:t>
      </w:r>
    </w:p>
    <w:p w:rsidR="000D5648" w:rsidRPr="000D5648" w:rsidRDefault="000D5648" w:rsidP="000D5648">
      <w:pPr>
        <w:autoSpaceDE w:val="0"/>
        <w:autoSpaceDN w:val="0"/>
        <w:adjustRightInd w:val="0"/>
        <w:spacing w:line="240" w:lineRule="auto"/>
        <w:ind w:firstLine="567"/>
        <w:jc w:val="both"/>
        <w:rPr>
          <w:rFonts w:ascii="Times New Roman" w:hAnsi="Times New Roman" w:cs="Times New Roman"/>
          <w:sz w:val="24"/>
          <w:szCs w:val="24"/>
          <w:lang w:eastAsia="sk-SK"/>
        </w:rPr>
      </w:pPr>
      <w:r w:rsidRPr="000D5648">
        <w:rPr>
          <w:rFonts w:ascii="Times New Roman" w:hAnsi="Times New Roman" w:cs="Times New Roman"/>
          <w:bCs/>
          <w:sz w:val="24"/>
          <w:szCs w:val="24"/>
          <w:lang w:eastAsia="sk-SK"/>
        </w:rPr>
        <w:t xml:space="preserve">MH SR poskytlo v hodnotenom období bežný transfer na činnosť príspevkovým organizáciám, ktoré sú na rozpočet ministerstva napojené transferom a  to </w:t>
      </w:r>
      <w:r w:rsidRPr="000D5648">
        <w:rPr>
          <w:rFonts w:ascii="Times New Roman" w:hAnsi="Times New Roman" w:cs="Times New Roman"/>
          <w:sz w:val="24"/>
          <w:szCs w:val="24"/>
        </w:rPr>
        <w:t xml:space="preserve">Slovenskej inovačnej a energetickej agentúre a Múzeu obchodu </w:t>
      </w:r>
      <w:r w:rsidRPr="000D5648">
        <w:rPr>
          <w:rFonts w:ascii="Times New Roman" w:hAnsi="Times New Roman" w:cs="Times New Roman"/>
          <w:bCs/>
          <w:sz w:val="24"/>
          <w:szCs w:val="24"/>
          <w:lang w:eastAsia="sk-SK"/>
        </w:rPr>
        <w:t>v celkovej výške 2 345 781,00</w:t>
      </w:r>
      <w:r w:rsidRPr="000D5648">
        <w:rPr>
          <w:rFonts w:ascii="Times New Roman" w:hAnsi="Times New Roman" w:cs="Times New Roman"/>
          <w:sz w:val="24"/>
          <w:szCs w:val="24"/>
          <w:lang w:eastAsia="sk-SK"/>
        </w:rPr>
        <w:t xml:space="preserve"> eur.</w:t>
      </w:r>
    </w:p>
    <w:p w:rsidR="000D5648" w:rsidRPr="000D5648" w:rsidRDefault="000D5648" w:rsidP="000D5648">
      <w:pPr>
        <w:autoSpaceDE w:val="0"/>
        <w:autoSpaceDN w:val="0"/>
        <w:adjustRightInd w:val="0"/>
        <w:spacing w:line="240" w:lineRule="auto"/>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 xml:space="preserve">Príspevková organizácia </w:t>
      </w:r>
      <w:r w:rsidRPr="000D5648">
        <w:rPr>
          <w:rFonts w:ascii="Times New Roman" w:hAnsi="Times New Roman" w:cs="Times New Roman"/>
          <w:i/>
          <w:sz w:val="24"/>
          <w:szCs w:val="24"/>
        </w:rPr>
        <w:t>Slovenská inovačná a energetická agentúra</w:t>
      </w:r>
      <w:r w:rsidRPr="000D5648">
        <w:rPr>
          <w:rFonts w:ascii="Times New Roman" w:hAnsi="Times New Roman" w:cs="Times New Roman"/>
          <w:bCs/>
          <w:sz w:val="24"/>
          <w:szCs w:val="24"/>
        </w:rPr>
        <w:t xml:space="preserve">  mala na rok 2015 schválený rozpočet bežných výdavkov v sume </w:t>
      </w:r>
      <w:r w:rsidRPr="000D5648">
        <w:rPr>
          <w:rFonts w:ascii="Times New Roman" w:hAnsi="Times New Roman" w:cs="Times New Roman"/>
          <w:sz w:val="24"/>
          <w:szCs w:val="24"/>
          <w:lang w:eastAsia="sk-SK"/>
        </w:rPr>
        <w:t xml:space="preserve">1 740 000,00 </w:t>
      </w:r>
      <w:r w:rsidRPr="000D5648">
        <w:rPr>
          <w:rFonts w:ascii="Times New Roman" w:hAnsi="Times New Roman" w:cs="Times New Roman"/>
          <w:bCs/>
          <w:sz w:val="24"/>
          <w:szCs w:val="24"/>
        </w:rPr>
        <w:t xml:space="preserve">eur, pričom rozpočet bežných výdavkov bol upravený na sumu 2 200 000,00. Bežné výdavky boli organizácii poskytnuté </w:t>
      </w:r>
      <w:r w:rsidRPr="000D5648">
        <w:rPr>
          <w:rFonts w:ascii="Times New Roman" w:hAnsi="Times New Roman" w:cs="Times New Roman"/>
          <w:sz w:val="24"/>
          <w:szCs w:val="24"/>
        </w:rPr>
        <w:t>v</w:t>
      </w:r>
      <w:r w:rsidR="00E97824">
        <w:rPr>
          <w:rFonts w:ascii="Times New Roman" w:hAnsi="Times New Roman" w:cs="Times New Roman"/>
          <w:sz w:val="24"/>
          <w:szCs w:val="24"/>
        </w:rPr>
        <w:t xml:space="preserve">o forme bežného transferu v </w:t>
      </w:r>
      <w:r w:rsidRPr="000D5648">
        <w:rPr>
          <w:rFonts w:ascii="Times New Roman" w:hAnsi="Times New Roman" w:cs="Times New Roman"/>
          <w:sz w:val="24"/>
          <w:szCs w:val="24"/>
        </w:rPr>
        <w:t>sume 2 200 000,00</w:t>
      </w:r>
      <w:r w:rsidRPr="000D5648">
        <w:rPr>
          <w:rFonts w:ascii="Times New Roman" w:hAnsi="Times New Roman" w:cs="Times New Roman"/>
          <w:sz w:val="24"/>
          <w:szCs w:val="24"/>
          <w:lang w:eastAsia="sk-SK"/>
        </w:rPr>
        <w:t xml:space="preserve"> </w:t>
      </w:r>
      <w:r w:rsidRPr="000D5648">
        <w:rPr>
          <w:rFonts w:ascii="Times New Roman" w:hAnsi="Times New Roman" w:cs="Times New Roman"/>
          <w:bCs/>
          <w:sz w:val="24"/>
          <w:szCs w:val="24"/>
        </w:rPr>
        <w:t xml:space="preserve">eur, čo je 100,00 % zo schváleného rozpočtu bežných výdavkov. Prostriedky boli použité na administráciu </w:t>
      </w:r>
      <w:proofErr w:type="spellStart"/>
      <w:r w:rsidRPr="000D5648">
        <w:rPr>
          <w:rFonts w:ascii="Times New Roman" w:hAnsi="Times New Roman" w:cs="Times New Roman"/>
          <w:bCs/>
          <w:sz w:val="24"/>
          <w:szCs w:val="24"/>
        </w:rPr>
        <w:t>SIEA</w:t>
      </w:r>
      <w:proofErr w:type="spellEnd"/>
      <w:r w:rsidRPr="000D5648">
        <w:rPr>
          <w:rFonts w:ascii="Times New Roman" w:hAnsi="Times New Roman" w:cs="Times New Roman"/>
          <w:bCs/>
          <w:sz w:val="24"/>
          <w:szCs w:val="24"/>
        </w:rPr>
        <w:t xml:space="preserve"> (mzdy, odvody, poistné, nákup tovarov a služieb a  ďalšie položky) </w:t>
      </w:r>
      <w:r w:rsidRPr="000D5648">
        <w:rPr>
          <w:rFonts w:ascii="Times New Roman" w:hAnsi="Times New Roman" w:cs="Times New Roman"/>
          <w:sz w:val="24"/>
          <w:szCs w:val="24"/>
        </w:rPr>
        <w:t>a  na plnenie úloh uvedených v Kontrakte s príspevkovou organizáciou.</w:t>
      </w:r>
    </w:p>
    <w:p w:rsidR="000D5648" w:rsidRDefault="000D5648" w:rsidP="000D5648">
      <w:pPr>
        <w:autoSpaceDE w:val="0"/>
        <w:autoSpaceDN w:val="0"/>
        <w:adjustRightInd w:val="0"/>
        <w:spacing w:line="240" w:lineRule="auto"/>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 xml:space="preserve">Príspevková organizácia </w:t>
      </w:r>
      <w:r w:rsidRPr="000D5648">
        <w:rPr>
          <w:rFonts w:ascii="Times New Roman" w:hAnsi="Times New Roman" w:cs="Times New Roman"/>
          <w:i/>
          <w:sz w:val="24"/>
          <w:szCs w:val="24"/>
          <w:lang w:eastAsia="sk-SK"/>
        </w:rPr>
        <w:t>Múzeum obchodu</w:t>
      </w:r>
      <w:r w:rsidRPr="000D5648">
        <w:rPr>
          <w:rFonts w:ascii="Times New Roman" w:hAnsi="Times New Roman" w:cs="Times New Roman"/>
          <w:sz w:val="24"/>
          <w:szCs w:val="24"/>
          <w:lang w:eastAsia="sk-SK"/>
        </w:rPr>
        <w:t xml:space="preserve"> mala na rok 2015 s</w:t>
      </w:r>
      <w:r w:rsidRPr="000D5648">
        <w:rPr>
          <w:rFonts w:ascii="Times New Roman" w:hAnsi="Times New Roman" w:cs="Times New Roman"/>
          <w:bCs/>
          <w:sz w:val="24"/>
          <w:szCs w:val="24"/>
        </w:rPr>
        <w:t xml:space="preserve">chválený rozpočet bežných výdavkov  </w:t>
      </w:r>
      <w:r w:rsidRPr="000D5648">
        <w:rPr>
          <w:rFonts w:ascii="Times New Roman" w:hAnsi="Times New Roman" w:cs="Times New Roman"/>
          <w:sz w:val="24"/>
          <w:szCs w:val="24"/>
        </w:rPr>
        <w:t xml:space="preserve">v sume  </w:t>
      </w:r>
      <w:r w:rsidRPr="000D5648">
        <w:rPr>
          <w:rFonts w:ascii="Times New Roman" w:hAnsi="Times New Roman" w:cs="Times New Roman"/>
          <w:sz w:val="24"/>
          <w:szCs w:val="24"/>
          <w:lang w:eastAsia="sk-SK"/>
        </w:rPr>
        <w:t xml:space="preserve">125 781,00 </w:t>
      </w:r>
      <w:r w:rsidRPr="000D5648">
        <w:rPr>
          <w:rFonts w:ascii="Times New Roman" w:hAnsi="Times New Roman" w:cs="Times New Roman"/>
          <w:bCs/>
          <w:sz w:val="24"/>
          <w:szCs w:val="24"/>
        </w:rPr>
        <w:t>eur, pričom rozpočet bežných výdavkov</w:t>
      </w:r>
      <w:r w:rsidRPr="000D5648">
        <w:rPr>
          <w:rFonts w:ascii="Times New Roman" w:hAnsi="Times New Roman" w:cs="Times New Roman"/>
          <w:sz w:val="24"/>
          <w:szCs w:val="24"/>
        </w:rPr>
        <w:t xml:space="preserve"> bol upravený na sumu </w:t>
      </w:r>
      <w:r w:rsidRPr="000D5648">
        <w:rPr>
          <w:rFonts w:ascii="Times New Roman" w:hAnsi="Times New Roman" w:cs="Times New Roman"/>
          <w:sz w:val="24"/>
          <w:szCs w:val="24"/>
          <w:lang w:eastAsia="sk-SK"/>
        </w:rPr>
        <w:t xml:space="preserve">145 781,00 </w:t>
      </w:r>
      <w:r w:rsidRPr="000D5648">
        <w:rPr>
          <w:rFonts w:ascii="Times New Roman" w:hAnsi="Times New Roman" w:cs="Times New Roman"/>
          <w:bCs/>
          <w:sz w:val="24"/>
          <w:szCs w:val="24"/>
        </w:rPr>
        <w:t xml:space="preserve">eur. Bežné výdavky boli organizácii poskytnuté formou bežného transferu </w:t>
      </w:r>
      <w:r w:rsidRPr="000D5648">
        <w:rPr>
          <w:rFonts w:ascii="Times New Roman" w:hAnsi="Times New Roman" w:cs="Times New Roman"/>
          <w:sz w:val="24"/>
          <w:szCs w:val="24"/>
        </w:rPr>
        <w:t xml:space="preserve">v sume  </w:t>
      </w:r>
      <w:r w:rsidRPr="000D5648">
        <w:rPr>
          <w:rFonts w:ascii="Times New Roman" w:hAnsi="Times New Roman" w:cs="Times New Roman"/>
          <w:sz w:val="24"/>
          <w:szCs w:val="24"/>
          <w:lang w:eastAsia="sk-SK"/>
        </w:rPr>
        <w:t xml:space="preserve">145 781,00 </w:t>
      </w:r>
      <w:r w:rsidRPr="000D5648">
        <w:rPr>
          <w:rFonts w:ascii="Times New Roman" w:hAnsi="Times New Roman" w:cs="Times New Roman"/>
          <w:bCs/>
          <w:sz w:val="24"/>
          <w:szCs w:val="24"/>
        </w:rPr>
        <w:t>eur, čo je 100,00 % z upraveného rozpočtu bežných výdavkov. Bežné výdavky Múzeum obchodu vyčerpalo a použilo vo výške celej rozpočtovanej sumy</w:t>
      </w:r>
      <w:r w:rsidRPr="000D5648">
        <w:rPr>
          <w:rFonts w:ascii="Times New Roman" w:hAnsi="Times New Roman" w:cs="Times New Roman"/>
          <w:sz w:val="24"/>
          <w:szCs w:val="24"/>
        </w:rPr>
        <w:t xml:space="preserve"> na prevádzkovú činnosť </w:t>
      </w:r>
      <w:r w:rsidRPr="000D5648">
        <w:rPr>
          <w:rFonts w:ascii="Times New Roman" w:hAnsi="Times New Roman" w:cs="Times New Roman"/>
          <w:bCs/>
          <w:sz w:val="24"/>
          <w:szCs w:val="24"/>
        </w:rPr>
        <w:t xml:space="preserve">a na plnenie úloh uvedených v zmluve s  touto príspevkovou organizáciou (budovanie zbierkového fondu, kategorizácia a evidencia, kultúrno-spoločenská činnosť, výstavnícka </w:t>
      </w:r>
      <w:r w:rsidRPr="000D5648">
        <w:rPr>
          <w:rFonts w:ascii="Times New Roman" w:hAnsi="Times New Roman" w:cs="Times New Roman"/>
          <w:sz w:val="24"/>
          <w:szCs w:val="24"/>
          <w:lang w:eastAsia="sk-SK"/>
        </w:rPr>
        <w:t>činnosť a pod.).</w:t>
      </w:r>
    </w:p>
    <w:p w:rsidR="00412D55" w:rsidRPr="00412D55" w:rsidRDefault="00412D55" w:rsidP="00412D55">
      <w:pPr>
        <w:autoSpaceDE w:val="0"/>
        <w:autoSpaceDN w:val="0"/>
        <w:adjustRightInd w:val="0"/>
        <w:spacing w:after="0" w:line="240" w:lineRule="auto"/>
        <w:jc w:val="both"/>
        <w:rPr>
          <w:rFonts w:ascii="Times New Roman" w:hAnsi="Times New Roman" w:cs="Times New Roman"/>
          <w:i/>
          <w:sz w:val="24"/>
          <w:szCs w:val="24"/>
          <w:lang w:eastAsia="sk-SK"/>
        </w:rPr>
      </w:pPr>
      <w:r w:rsidRPr="00412D55">
        <w:rPr>
          <w:rFonts w:ascii="Times New Roman" w:hAnsi="Times New Roman" w:cs="Times New Roman"/>
          <w:i/>
          <w:sz w:val="24"/>
          <w:szCs w:val="24"/>
        </w:rPr>
        <w:t>07L 05 Administrácia rozpočtových organizácií rezortu MH SR</w:t>
      </w:r>
    </w:p>
    <w:p w:rsidR="000275A9" w:rsidRPr="00BF60D6" w:rsidRDefault="000275A9" w:rsidP="000275A9">
      <w:pPr>
        <w:spacing w:after="0" w:line="240" w:lineRule="auto"/>
        <w:ind w:firstLine="540"/>
        <w:jc w:val="right"/>
        <w:rPr>
          <w:rFonts w:ascii="Times New Roman" w:hAnsi="Times New Roman" w:cs="Times New Roman"/>
        </w:rPr>
      </w:pPr>
      <w:r w:rsidRPr="00BF60D6">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417"/>
        <w:gridCol w:w="1701"/>
        <w:gridCol w:w="1418"/>
        <w:gridCol w:w="1417"/>
      </w:tblGrid>
      <w:tr w:rsidR="0059693B" w:rsidRPr="00BF60D6" w:rsidTr="00C42B62">
        <w:trPr>
          <w:trHeight w:val="793"/>
        </w:trPr>
        <w:tc>
          <w:tcPr>
            <w:tcW w:w="2268" w:type="dxa"/>
            <w:shd w:val="clear" w:color="auto" w:fill="auto"/>
          </w:tcPr>
          <w:p w:rsidR="0059693B" w:rsidRPr="00BF60D6" w:rsidRDefault="0059693B" w:rsidP="00412D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Ekonomická</w:t>
            </w:r>
          </w:p>
          <w:p w:rsidR="0059693B" w:rsidRPr="00BF60D6" w:rsidRDefault="0059693B" w:rsidP="00412D55">
            <w:pPr>
              <w:spacing w:after="0" w:line="240" w:lineRule="auto"/>
              <w:jc w:val="both"/>
              <w:rPr>
                <w:rFonts w:ascii="Times New Roman" w:eastAsia="Times New Roman" w:hAnsi="Times New Roman" w:cs="Times New Roman"/>
                <w:b/>
              </w:rPr>
            </w:pPr>
            <w:r w:rsidRPr="00BF60D6">
              <w:rPr>
                <w:rFonts w:ascii="Times New Roman" w:eastAsia="Times New Roman" w:hAnsi="Times New Roman" w:cs="Times New Roman"/>
                <w:b/>
              </w:rPr>
              <w:t>klasifikácia</w:t>
            </w:r>
          </w:p>
        </w:tc>
        <w:tc>
          <w:tcPr>
            <w:tcW w:w="851" w:type="dxa"/>
          </w:tcPr>
          <w:p w:rsidR="0059693B" w:rsidRPr="00BF60D6" w:rsidRDefault="0059693B" w:rsidP="00412D55">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Zdroj</w:t>
            </w:r>
          </w:p>
        </w:tc>
        <w:tc>
          <w:tcPr>
            <w:tcW w:w="1417" w:type="dxa"/>
            <w:shd w:val="clear" w:color="auto" w:fill="auto"/>
          </w:tcPr>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Schválený</w:t>
            </w:r>
          </w:p>
          <w:p w:rsidR="0059693B" w:rsidRPr="00BF60D6" w:rsidRDefault="0059693B" w:rsidP="0059693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1.1.2015</w:t>
            </w:r>
          </w:p>
        </w:tc>
        <w:tc>
          <w:tcPr>
            <w:tcW w:w="1701"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Upravený</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rozpočet k 31.12.2015</w:t>
            </w:r>
          </w:p>
        </w:tc>
        <w:tc>
          <w:tcPr>
            <w:tcW w:w="1418"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Čerpanie k</w:t>
            </w:r>
          </w:p>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31.12.2015</w:t>
            </w:r>
          </w:p>
        </w:tc>
        <w:tc>
          <w:tcPr>
            <w:tcW w:w="1417" w:type="dxa"/>
            <w:shd w:val="clear" w:color="auto" w:fill="auto"/>
          </w:tcPr>
          <w:p w:rsidR="0059693B" w:rsidRPr="00BF60D6" w:rsidRDefault="0059693B" w:rsidP="00D35D8B">
            <w:pPr>
              <w:spacing w:after="0" w:line="240" w:lineRule="auto"/>
              <w:jc w:val="center"/>
              <w:rPr>
                <w:rFonts w:ascii="Times New Roman" w:eastAsia="Times New Roman" w:hAnsi="Times New Roman" w:cs="Times New Roman"/>
                <w:b/>
              </w:rPr>
            </w:pPr>
            <w:r w:rsidRPr="00BF60D6">
              <w:rPr>
                <w:rFonts w:ascii="Times New Roman" w:eastAsia="Times New Roman" w:hAnsi="Times New Roman" w:cs="Times New Roman"/>
                <w:b/>
              </w:rPr>
              <w:t>% čerpania k uprav. rozpočtu</w:t>
            </w:r>
          </w:p>
        </w:tc>
      </w:tr>
      <w:tr w:rsidR="00412D55" w:rsidRPr="00BF60D6" w:rsidTr="00C42B62">
        <w:tc>
          <w:tcPr>
            <w:tcW w:w="2268" w:type="dxa"/>
            <w:shd w:val="clear" w:color="auto" w:fill="auto"/>
          </w:tcPr>
          <w:p w:rsidR="00412D55" w:rsidRPr="00BF60D6" w:rsidRDefault="00412D55" w:rsidP="00412D55">
            <w:pPr>
              <w:spacing w:after="0" w:line="240" w:lineRule="auto"/>
              <w:jc w:val="both"/>
              <w:rPr>
                <w:rFonts w:ascii="Times New Roman" w:eastAsia="Times New Roman" w:hAnsi="Times New Roman" w:cs="Times New Roman"/>
              </w:rPr>
            </w:pPr>
            <w:r w:rsidRPr="00BF60D6">
              <w:rPr>
                <w:rFonts w:ascii="Times New Roman" w:eastAsia="Times New Roman" w:hAnsi="Times New Roman" w:cs="Times New Roman"/>
              </w:rPr>
              <w:t>640 – bežné transfery</w:t>
            </w:r>
          </w:p>
        </w:tc>
        <w:tc>
          <w:tcPr>
            <w:tcW w:w="851" w:type="dxa"/>
          </w:tcPr>
          <w:p w:rsidR="00412D55" w:rsidRPr="00BF60D6" w:rsidRDefault="00412D55" w:rsidP="00E847FF">
            <w:pPr>
              <w:autoSpaceDE w:val="0"/>
              <w:autoSpaceDN w:val="0"/>
              <w:adjustRightInd w:val="0"/>
              <w:spacing w:after="0" w:line="240" w:lineRule="auto"/>
              <w:jc w:val="center"/>
              <w:rPr>
                <w:rFonts w:ascii="Times New Roman" w:hAnsi="Times New Roman" w:cs="Times New Roman"/>
                <w:lang w:eastAsia="sk-SK"/>
              </w:rPr>
            </w:pPr>
            <w:r w:rsidRPr="00BF60D6">
              <w:rPr>
                <w:rFonts w:ascii="Times New Roman" w:hAnsi="Times New Roman" w:cs="Times New Roman"/>
                <w:lang w:eastAsia="sk-SK"/>
              </w:rPr>
              <w:t>111</w:t>
            </w:r>
          </w:p>
        </w:tc>
        <w:tc>
          <w:tcPr>
            <w:tcW w:w="1417" w:type="dxa"/>
            <w:shd w:val="clear" w:color="auto" w:fill="auto"/>
          </w:tcPr>
          <w:p w:rsidR="00412D55" w:rsidRPr="00BF60D6" w:rsidRDefault="00637480" w:rsidP="00637480">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48 627,00</w:t>
            </w:r>
          </w:p>
        </w:tc>
        <w:tc>
          <w:tcPr>
            <w:tcW w:w="1701" w:type="dxa"/>
            <w:shd w:val="clear" w:color="auto" w:fill="auto"/>
          </w:tcPr>
          <w:p w:rsidR="00412D55" w:rsidRPr="00BF60D6" w:rsidRDefault="000D5648" w:rsidP="000D5648">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62 675,72</w:t>
            </w:r>
          </w:p>
        </w:tc>
        <w:tc>
          <w:tcPr>
            <w:tcW w:w="1418" w:type="dxa"/>
            <w:shd w:val="clear" w:color="auto" w:fill="auto"/>
          </w:tcPr>
          <w:p w:rsidR="00412D55" w:rsidRPr="00BF60D6" w:rsidRDefault="000D5648" w:rsidP="000D5648">
            <w:pPr>
              <w:autoSpaceDE w:val="0"/>
              <w:autoSpaceDN w:val="0"/>
              <w:adjustRightInd w:val="0"/>
              <w:spacing w:after="0" w:line="240" w:lineRule="auto"/>
              <w:jc w:val="right"/>
              <w:rPr>
                <w:rFonts w:ascii="Times New Roman" w:hAnsi="Times New Roman" w:cs="Times New Roman"/>
                <w:lang w:eastAsia="sk-SK"/>
              </w:rPr>
            </w:pPr>
            <w:r w:rsidRPr="00BF60D6">
              <w:rPr>
                <w:rFonts w:ascii="Times New Roman" w:hAnsi="Times New Roman" w:cs="Times New Roman"/>
                <w:lang w:eastAsia="sk-SK"/>
              </w:rPr>
              <w:t>52 569,76</w:t>
            </w:r>
          </w:p>
        </w:tc>
        <w:tc>
          <w:tcPr>
            <w:tcW w:w="1417" w:type="dxa"/>
            <w:shd w:val="clear" w:color="auto" w:fill="auto"/>
          </w:tcPr>
          <w:p w:rsidR="00412D55" w:rsidRPr="00BF60D6" w:rsidRDefault="000D5648" w:rsidP="00412D55">
            <w:pPr>
              <w:spacing w:after="0" w:line="240" w:lineRule="auto"/>
              <w:jc w:val="center"/>
              <w:rPr>
                <w:rFonts w:ascii="Times New Roman" w:eastAsia="Times New Roman" w:hAnsi="Times New Roman" w:cs="Times New Roman"/>
              </w:rPr>
            </w:pPr>
            <w:r w:rsidRPr="00BF60D6">
              <w:rPr>
                <w:rFonts w:ascii="Times New Roman" w:eastAsia="Times New Roman" w:hAnsi="Times New Roman" w:cs="Times New Roman"/>
              </w:rPr>
              <w:t>83,88</w:t>
            </w:r>
          </w:p>
        </w:tc>
      </w:tr>
    </w:tbl>
    <w:p w:rsidR="00794975" w:rsidRPr="00C223C2" w:rsidRDefault="00794975" w:rsidP="00412D55">
      <w:pPr>
        <w:spacing w:after="0" w:line="240" w:lineRule="auto"/>
        <w:ind w:right="26" w:firstLine="540"/>
        <w:jc w:val="both"/>
        <w:rPr>
          <w:rFonts w:ascii="Times New Roman" w:hAnsi="Times New Roman" w:cs="Times New Roman"/>
          <w:sz w:val="24"/>
          <w:szCs w:val="24"/>
        </w:rPr>
      </w:pPr>
    </w:p>
    <w:p w:rsidR="000D5648" w:rsidRPr="000D5648" w:rsidRDefault="000D5648" w:rsidP="000D5648">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 xml:space="preserve">Rozpočet bežných transferov </w:t>
      </w:r>
      <w:r w:rsidR="000F277A">
        <w:rPr>
          <w:rFonts w:ascii="Times New Roman" w:hAnsi="Times New Roman" w:cs="Times New Roman"/>
          <w:sz w:val="24"/>
          <w:szCs w:val="24"/>
          <w:lang w:eastAsia="sk-SK"/>
        </w:rPr>
        <w:t xml:space="preserve">podriadených rozpočtových organizácií </w:t>
      </w:r>
      <w:r w:rsidRPr="000D5648">
        <w:rPr>
          <w:rFonts w:ascii="Times New Roman" w:hAnsi="Times New Roman" w:cs="Times New Roman"/>
          <w:sz w:val="24"/>
          <w:szCs w:val="24"/>
          <w:lang w:eastAsia="sk-SK"/>
        </w:rPr>
        <w:t xml:space="preserve">bol schválený v </w:t>
      </w:r>
      <w:r w:rsidR="000F277A">
        <w:rPr>
          <w:rFonts w:ascii="Times New Roman" w:hAnsi="Times New Roman" w:cs="Times New Roman"/>
          <w:sz w:val="24"/>
          <w:szCs w:val="24"/>
          <w:lang w:eastAsia="sk-SK"/>
        </w:rPr>
        <w:t>sume</w:t>
      </w:r>
      <w:r w:rsidRPr="000D5648">
        <w:rPr>
          <w:rFonts w:ascii="Times New Roman" w:hAnsi="Times New Roman" w:cs="Times New Roman"/>
          <w:sz w:val="24"/>
          <w:szCs w:val="24"/>
          <w:lang w:eastAsia="sk-SK"/>
        </w:rPr>
        <w:t xml:space="preserve"> 48 627,00 eur, rozpočtovými opatreniami bol rozpočet upravený na sumu </w:t>
      </w:r>
      <w:r w:rsidR="000F277A">
        <w:rPr>
          <w:rFonts w:ascii="Times New Roman" w:hAnsi="Times New Roman" w:cs="Times New Roman"/>
          <w:sz w:val="24"/>
          <w:szCs w:val="24"/>
          <w:lang w:eastAsia="sk-SK"/>
        </w:rPr>
        <w:t xml:space="preserve">                      </w:t>
      </w:r>
      <w:r w:rsidRPr="000D5648">
        <w:rPr>
          <w:rFonts w:ascii="Times New Roman" w:hAnsi="Times New Roman" w:cs="Times New Roman"/>
          <w:sz w:val="24"/>
          <w:szCs w:val="24"/>
          <w:lang w:eastAsia="sk-SK"/>
        </w:rPr>
        <w:t xml:space="preserve">62 675,72 eur. </w:t>
      </w:r>
    </w:p>
    <w:p w:rsidR="000D5648" w:rsidRPr="000D5648" w:rsidRDefault="000D5648" w:rsidP="000D5648">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 xml:space="preserve">Bežné transfery boli vyčerpané v sume 52 569,76 eur, t. j. 83,88  % z upraveného rozpočtu k 31. 12. 2015 a boli použité na vyplatenie odstupného  a odchodného vyplácaného v súvislosti s odchodom zamestnancov do dôchodku  (27 540,0 eur) a nemocenských dávok (10 731,58 eur). </w:t>
      </w:r>
    </w:p>
    <w:p w:rsidR="000D5648" w:rsidRPr="000D5648" w:rsidRDefault="000D5648" w:rsidP="000D5648">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Hlavný banský úrad uhradil vernostný prí</w:t>
      </w:r>
      <w:r w:rsidR="00722C98">
        <w:rPr>
          <w:rFonts w:ascii="Times New Roman" w:hAnsi="Times New Roman" w:cs="Times New Roman"/>
          <w:sz w:val="24"/>
          <w:szCs w:val="24"/>
          <w:lang w:eastAsia="sk-SK"/>
        </w:rPr>
        <w:t>spevok</w:t>
      </w:r>
      <w:r w:rsidRPr="000D5648">
        <w:rPr>
          <w:rFonts w:ascii="Times New Roman" w:hAnsi="Times New Roman" w:cs="Times New Roman"/>
          <w:sz w:val="24"/>
          <w:szCs w:val="24"/>
          <w:lang w:eastAsia="sk-SK"/>
        </w:rPr>
        <w:t xml:space="preserve"> baníkom (4 432,64 eur) a odmenu pri udelení odznaku ministra hospodárstva (1 140,00 eur).</w:t>
      </w:r>
    </w:p>
    <w:p w:rsidR="000D5648" w:rsidRPr="000D5648" w:rsidRDefault="000D5648" w:rsidP="000D5648">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Puncový úrad uhradil povinné členské príspevky v celkovej sume 8 725,54 eur v medzinárodných organizáciách:</w:t>
      </w:r>
    </w:p>
    <w:p w:rsidR="000D5648" w:rsidRPr="000D5648" w:rsidRDefault="000D5648" w:rsidP="000D5648">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lang w:eastAsia="sk-SK"/>
        </w:rPr>
      </w:pPr>
      <w:proofErr w:type="spellStart"/>
      <w:r w:rsidRPr="000D5648">
        <w:rPr>
          <w:rFonts w:ascii="Times New Roman" w:hAnsi="Times New Roman" w:cs="Times New Roman"/>
          <w:sz w:val="24"/>
          <w:szCs w:val="24"/>
          <w:lang w:eastAsia="sk-SK"/>
        </w:rPr>
        <w:t>Convention</w:t>
      </w:r>
      <w:proofErr w:type="spellEnd"/>
      <w:r w:rsidRPr="000D5648">
        <w:rPr>
          <w:rFonts w:ascii="Times New Roman" w:hAnsi="Times New Roman" w:cs="Times New Roman"/>
          <w:sz w:val="24"/>
          <w:szCs w:val="24"/>
          <w:lang w:eastAsia="sk-SK"/>
        </w:rPr>
        <w:t xml:space="preserve"> on the </w:t>
      </w:r>
      <w:proofErr w:type="spellStart"/>
      <w:r w:rsidRPr="000D5648">
        <w:rPr>
          <w:rFonts w:ascii="Times New Roman" w:hAnsi="Times New Roman" w:cs="Times New Roman"/>
          <w:sz w:val="24"/>
          <w:szCs w:val="24"/>
          <w:lang w:eastAsia="sk-SK"/>
        </w:rPr>
        <w:t>Control</w:t>
      </w:r>
      <w:proofErr w:type="spellEnd"/>
      <w:r w:rsidRPr="000D5648">
        <w:rPr>
          <w:rFonts w:ascii="Times New Roman" w:hAnsi="Times New Roman" w:cs="Times New Roman"/>
          <w:sz w:val="24"/>
          <w:szCs w:val="24"/>
          <w:lang w:eastAsia="sk-SK"/>
        </w:rPr>
        <w:t xml:space="preserve"> and </w:t>
      </w:r>
      <w:proofErr w:type="spellStart"/>
      <w:r w:rsidRPr="000D5648">
        <w:rPr>
          <w:rFonts w:ascii="Times New Roman" w:hAnsi="Times New Roman" w:cs="Times New Roman"/>
          <w:sz w:val="24"/>
          <w:szCs w:val="24"/>
          <w:lang w:eastAsia="sk-SK"/>
        </w:rPr>
        <w:t>Marking</w:t>
      </w:r>
      <w:proofErr w:type="spellEnd"/>
      <w:r w:rsidRPr="000D5648">
        <w:rPr>
          <w:rFonts w:ascii="Times New Roman" w:hAnsi="Times New Roman" w:cs="Times New Roman"/>
          <w:sz w:val="24"/>
          <w:szCs w:val="24"/>
          <w:lang w:eastAsia="sk-SK"/>
        </w:rPr>
        <w:t xml:space="preserve"> of </w:t>
      </w:r>
      <w:proofErr w:type="spellStart"/>
      <w:r w:rsidRPr="000D5648">
        <w:rPr>
          <w:rFonts w:ascii="Times New Roman" w:hAnsi="Times New Roman" w:cs="Times New Roman"/>
          <w:sz w:val="24"/>
          <w:szCs w:val="24"/>
          <w:lang w:eastAsia="sk-SK"/>
        </w:rPr>
        <w:t>Articles</w:t>
      </w:r>
      <w:proofErr w:type="spellEnd"/>
      <w:r w:rsidRPr="000D5648">
        <w:rPr>
          <w:rFonts w:ascii="Times New Roman" w:hAnsi="Times New Roman" w:cs="Times New Roman"/>
          <w:sz w:val="24"/>
          <w:szCs w:val="24"/>
          <w:lang w:eastAsia="sk-SK"/>
        </w:rPr>
        <w:t xml:space="preserve"> of </w:t>
      </w:r>
      <w:proofErr w:type="spellStart"/>
      <w:r w:rsidRPr="000D5648">
        <w:rPr>
          <w:rFonts w:ascii="Times New Roman" w:hAnsi="Times New Roman" w:cs="Times New Roman"/>
          <w:sz w:val="24"/>
          <w:szCs w:val="24"/>
          <w:lang w:eastAsia="sk-SK"/>
        </w:rPr>
        <w:t>Precious</w:t>
      </w:r>
      <w:proofErr w:type="spellEnd"/>
      <w:r w:rsidRPr="000D5648">
        <w:rPr>
          <w:rFonts w:ascii="Times New Roman" w:hAnsi="Times New Roman" w:cs="Times New Roman"/>
          <w:sz w:val="24"/>
          <w:szCs w:val="24"/>
          <w:lang w:eastAsia="sk-SK"/>
        </w:rPr>
        <w:t xml:space="preserve"> </w:t>
      </w:r>
      <w:proofErr w:type="spellStart"/>
      <w:r w:rsidRPr="000D5648">
        <w:rPr>
          <w:rFonts w:ascii="Times New Roman" w:hAnsi="Times New Roman" w:cs="Times New Roman"/>
          <w:sz w:val="24"/>
          <w:szCs w:val="24"/>
          <w:lang w:eastAsia="sk-SK"/>
        </w:rPr>
        <w:t>Metals</w:t>
      </w:r>
      <w:proofErr w:type="spellEnd"/>
      <w:r w:rsidRPr="000D5648">
        <w:rPr>
          <w:rFonts w:ascii="Times New Roman" w:hAnsi="Times New Roman" w:cs="Times New Roman"/>
          <w:sz w:val="24"/>
          <w:szCs w:val="24"/>
          <w:lang w:eastAsia="sk-SK"/>
        </w:rPr>
        <w:t xml:space="preserve"> – Konvencia pre skúšanie a označovanie tovaru z drahých kovov – 8 325,54 eur,</w:t>
      </w:r>
    </w:p>
    <w:p w:rsidR="000A6B13" w:rsidRPr="000F277A" w:rsidRDefault="000D5648" w:rsidP="000F277A">
      <w:pPr>
        <w:numPr>
          <w:ilvl w:val="0"/>
          <w:numId w:val="6"/>
        </w:numPr>
        <w:tabs>
          <w:tab w:val="clear" w:pos="720"/>
          <w:tab w:val="num" w:pos="426"/>
        </w:tabs>
        <w:autoSpaceDE w:val="0"/>
        <w:autoSpaceDN w:val="0"/>
        <w:adjustRightInd w:val="0"/>
        <w:spacing w:after="0" w:line="240" w:lineRule="auto"/>
        <w:ind w:left="426" w:hanging="426"/>
        <w:jc w:val="both"/>
        <w:rPr>
          <w:rFonts w:ascii="Times New Roman" w:hAnsi="Times New Roman" w:cs="Times New Roman"/>
          <w:sz w:val="24"/>
          <w:szCs w:val="24"/>
          <w:lang w:eastAsia="sk-SK"/>
        </w:rPr>
      </w:pPr>
      <w:r w:rsidRPr="000D5648">
        <w:rPr>
          <w:rFonts w:ascii="Times New Roman" w:hAnsi="Times New Roman" w:cs="Times New Roman"/>
          <w:sz w:val="24"/>
          <w:szCs w:val="24"/>
          <w:lang w:eastAsia="sk-SK"/>
        </w:rPr>
        <w:t xml:space="preserve">The </w:t>
      </w:r>
      <w:proofErr w:type="spellStart"/>
      <w:r w:rsidRPr="000D5648">
        <w:rPr>
          <w:rFonts w:ascii="Times New Roman" w:hAnsi="Times New Roman" w:cs="Times New Roman"/>
          <w:sz w:val="24"/>
          <w:szCs w:val="24"/>
          <w:lang w:eastAsia="sk-SK"/>
        </w:rPr>
        <w:t>International</w:t>
      </w:r>
      <w:proofErr w:type="spellEnd"/>
      <w:r w:rsidRPr="000D5648">
        <w:rPr>
          <w:rFonts w:ascii="Times New Roman" w:hAnsi="Times New Roman" w:cs="Times New Roman"/>
          <w:sz w:val="24"/>
          <w:szCs w:val="24"/>
          <w:lang w:eastAsia="sk-SK"/>
        </w:rPr>
        <w:t xml:space="preserve"> </w:t>
      </w:r>
      <w:proofErr w:type="spellStart"/>
      <w:r w:rsidRPr="000D5648">
        <w:rPr>
          <w:rFonts w:ascii="Times New Roman" w:hAnsi="Times New Roman" w:cs="Times New Roman"/>
          <w:sz w:val="24"/>
          <w:szCs w:val="24"/>
          <w:lang w:eastAsia="sk-SK"/>
        </w:rPr>
        <w:t>Association</w:t>
      </w:r>
      <w:proofErr w:type="spellEnd"/>
      <w:r w:rsidRPr="000D5648">
        <w:rPr>
          <w:rFonts w:ascii="Times New Roman" w:hAnsi="Times New Roman" w:cs="Times New Roman"/>
          <w:sz w:val="24"/>
          <w:szCs w:val="24"/>
          <w:lang w:eastAsia="sk-SK"/>
        </w:rPr>
        <w:t xml:space="preserve"> of </w:t>
      </w:r>
      <w:proofErr w:type="spellStart"/>
      <w:r w:rsidRPr="000D5648">
        <w:rPr>
          <w:rFonts w:ascii="Times New Roman" w:hAnsi="Times New Roman" w:cs="Times New Roman"/>
          <w:sz w:val="24"/>
          <w:szCs w:val="24"/>
          <w:lang w:eastAsia="sk-SK"/>
        </w:rPr>
        <w:t>Assay</w:t>
      </w:r>
      <w:proofErr w:type="spellEnd"/>
      <w:r w:rsidRPr="000D5648">
        <w:rPr>
          <w:rFonts w:ascii="Times New Roman" w:hAnsi="Times New Roman" w:cs="Times New Roman"/>
          <w:sz w:val="24"/>
          <w:szCs w:val="24"/>
          <w:lang w:eastAsia="sk-SK"/>
        </w:rPr>
        <w:t xml:space="preserve"> </w:t>
      </w:r>
      <w:proofErr w:type="spellStart"/>
      <w:r w:rsidRPr="000D5648">
        <w:rPr>
          <w:rFonts w:ascii="Times New Roman" w:hAnsi="Times New Roman" w:cs="Times New Roman"/>
          <w:sz w:val="24"/>
          <w:szCs w:val="24"/>
          <w:lang w:eastAsia="sk-SK"/>
        </w:rPr>
        <w:t>Offices</w:t>
      </w:r>
      <w:proofErr w:type="spellEnd"/>
      <w:r w:rsidRPr="000D5648">
        <w:rPr>
          <w:rFonts w:ascii="Times New Roman" w:hAnsi="Times New Roman" w:cs="Times New Roman"/>
          <w:sz w:val="24"/>
          <w:szCs w:val="24"/>
          <w:lang w:eastAsia="sk-SK"/>
        </w:rPr>
        <w:t xml:space="preserve"> (</w:t>
      </w:r>
      <w:proofErr w:type="spellStart"/>
      <w:r w:rsidRPr="000D5648">
        <w:rPr>
          <w:rFonts w:ascii="Times New Roman" w:hAnsi="Times New Roman" w:cs="Times New Roman"/>
          <w:sz w:val="24"/>
          <w:szCs w:val="24"/>
          <w:lang w:eastAsia="sk-SK"/>
        </w:rPr>
        <w:t>IAAO</w:t>
      </w:r>
      <w:proofErr w:type="spellEnd"/>
      <w:r w:rsidRPr="000D5648">
        <w:rPr>
          <w:rFonts w:ascii="Times New Roman" w:hAnsi="Times New Roman" w:cs="Times New Roman"/>
          <w:sz w:val="24"/>
          <w:szCs w:val="24"/>
          <w:lang w:eastAsia="sk-SK"/>
        </w:rPr>
        <w:t>) – 400,00 eur.</w:t>
      </w:r>
    </w:p>
    <w:p w:rsidR="000A6B13" w:rsidRDefault="000A6B13" w:rsidP="00412D55">
      <w:pPr>
        <w:pStyle w:val="Zkladntext2"/>
        <w:tabs>
          <w:tab w:val="left" w:pos="1800"/>
        </w:tabs>
        <w:spacing w:after="0" w:line="240" w:lineRule="auto"/>
        <w:rPr>
          <w:rFonts w:ascii="Times New Roman" w:hAnsi="Times New Roman" w:cs="Times New Roman"/>
          <w:i/>
          <w:sz w:val="24"/>
          <w:szCs w:val="24"/>
        </w:rPr>
      </w:pPr>
    </w:p>
    <w:p w:rsidR="00412D55" w:rsidRPr="00412D55" w:rsidRDefault="00412D55" w:rsidP="00412D55">
      <w:pPr>
        <w:pStyle w:val="Zkladntext2"/>
        <w:tabs>
          <w:tab w:val="left" w:pos="1800"/>
        </w:tabs>
        <w:spacing w:after="0" w:line="240" w:lineRule="auto"/>
        <w:rPr>
          <w:rFonts w:ascii="Times New Roman" w:hAnsi="Times New Roman" w:cs="Times New Roman"/>
          <w:i/>
          <w:sz w:val="24"/>
          <w:szCs w:val="24"/>
        </w:rPr>
      </w:pPr>
      <w:r w:rsidRPr="00412D55">
        <w:rPr>
          <w:rFonts w:ascii="Times New Roman" w:hAnsi="Times New Roman" w:cs="Times New Roman"/>
          <w:i/>
          <w:sz w:val="24"/>
          <w:szCs w:val="24"/>
        </w:rPr>
        <w:t>097 04  Príspevky SR do medzinárodných organizácií –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851"/>
        <w:gridCol w:w="1559"/>
        <w:gridCol w:w="1559"/>
        <w:gridCol w:w="1418"/>
        <w:gridCol w:w="1417"/>
      </w:tblGrid>
      <w:tr w:rsidR="0059693B" w:rsidRPr="00DC733A" w:rsidTr="00DC733A">
        <w:trPr>
          <w:trHeight w:val="739"/>
        </w:trPr>
        <w:tc>
          <w:tcPr>
            <w:tcW w:w="2268" w:type="dxa"/>
            <w:shd w:val="clear" w:color="auto" w:fill="auto"/>
          </w:tcPr>
          <w:p w:rsidR="0059693B" w:rsidRPr="00DC733A" w:rsidRDefault="0059693B" w:rsidP="008F0E54">
            <w:pPr>
              <w:spacing w:after="0" w:line="240" w:lineRule="auto"/>
              <w:jc w:val="both"/>
              <w:rPr>
                <w:rFonts w:ascii="Times New Roman" w:eastAsia="Times New Roman" w:hAnsi="Times New Roman" w:cs="Times New Roman"/>
                <w:b/>
              </w:rPr>
            </w:pPr>
            <w:r w:rsidRPr="00DC733A">
              <w:rPr>
                <w:rFonts w:ascii="Times New Roman" w:eastAsia="Times New Roman" w:hAnsi="Times New Roman" w:cs="Times New Roman"/>
                <w:b/>
              </w:rPr>
              <w:t>Ekonomická</w:t>
            </w:r>
          </w:p>
          <w:p w:rsidR="0059693B" w:rsidRPr="00DC733A" w:rsidRDefault="0059693B" w:rsidP="008F0E54">
            <w:pPr>
              <w:spacing w:after="0" w:line="240" w:lineRule="auto"/>
              <w:jc w:val="both"/>
              <w:rPr>
                <w:rFonts w:ascii="Times New Roman" w:eastAsia="Times New Roman" w:hAnsi="Times New Roman" w:cs="Times New Roman"/>
                <w:b/>
              </w:rPr>
            </w:pPr>
            <w:r w:rsidRPr="00DC733A">
              <w:rPr>
                <w:rFonts w:ascii="Times New Roman" w:eastAsia="Times New Roman" w:hAnsi="Times New Roman" w:cs="Times New Roman"/>
                <w:b/>
              </w:rPr>
              <w:t>klasifikácia</w:t>
            </w:r>
          </w:p>
        </w:tc>
        <w:tc>
          <w:tcPr>
            <w:tcW w:w="851" w:type="dxa"/>
          </w:tcPr>
          <w:p w:rsidR="0059693B" w:rsidRPr="00DC733A" w:rsidRDefault="0059693B" w:rsidP="008F0E54">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Zdroj</w:t>
            </w:r>
          </w:p>
        </w:tc>
        <w:tc>
          <w:tcPr>
            <w:tcW w:w="1559" w:type="dxa"/>
            <w:shd w:val="clear" w:color="auto" w:fill="auto"/>
          </w:tcPr>
          <w:p w:rsidR="0059693B" w:rsidRPr="00DC733A" w:rsidRDefault="0059693B" w:rsidP="0059693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Schválený</w:t>
            </w:r>
          </w:p>
          <w:p w:rsidR="0059693B" w:rsidRPr="00DC733A" w:rsidRDefault="0059693B" w:rsidP="0059693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rozpočet k 1.1.2015</w:t>
            </w:r>
          </w:p>
        </w:tc>
        <w:tc>
          <w:tcPr>
            <w:tcW w:w="1559" w:type="dxa"/>
            <w:shd w:val="clear" w:color="auto" w:fill="auto"/>
          </w:tcPr>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Upravený</w:t>
            </w:r>
          </w:p>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rozpočet k 31.12.2015</w:t>
            </w:r>
          </w:p>
        </w:tc>
        <w:tc>
          <w:tcPr>
            <w:tcW w:w="1418" w:type="dxa"/>
            <w:shd w:val="clear" w:color="auto" w:fill="auto"/>
          </w:tcPr>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Čerpanie k</w:t>
            </w:r>
          </w:p>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31.12.2015</w:t>
            </w:r>
          </w:p>
        </w:tc>
        <w:tc>
          <w:tcPr>
            <w:tcW w:w="1417" w:type="dxa"/>
            <w:shd w:val="clear" w:color="auto" w:fill="auto"/>
          </w:tcPr>
          <w:p w:rsidR="0059693B" w:rsidRPr="00DC733A" w:rsidRDefault="0059693B" w:rsidP="00D35D8B">
            <w:pPr>
              <w:spacing w:after="0" w:line="240" w:lineRule="auto"/>
              <w:jc w:val="center"/>
              <w:rPr>
                <w:rFonts w:ascii="Times New Roman" w:eastAsia="Times New Roman" w:hAnsi="Times New Roman" w:cs="Times New Roman"/>
                <w:b/>
              </w:rPr>
            </w:pPr>
            <w:r w:rsidRPr="00DC733A">
              <w:rPr>
                <w:rFonts w:ascii="Times New Roman" w:eastAsia="Times New Roman" w:hAnsi="Times New Roman" w:cs="Times New Roman"/>
                <w:b/>
              </w:rPr>
              <w:t>% čerpania k uprav. rozpočtu</w:t>
            </w:r>
          </w:p>
        </w:tc>
      </w:tr>
      <w:tr w:rsidR="00412D55" w:rsidRPr="00DC733A" w:rsidTr="00DC733A">
        <w:tc>
          <w:tcPr>
            <w:tcW w:w="2268" w:type="dxa"/>
            <w:shd w:val="clear" w:color="auto" w:fill="auto"/>
          </w:tcPr>
          <w:p w:rsidR="00412D55" w:rsidRPr="00DC733A" w:rsidRDefault="00412D55" w:rsidP="008F0E54">
            <w:pPr>
              <w:spacing w:after="0" w:line="240" w:lineRule="auto"/>
              <w:jc w:val="both"/>
              <w:rPr>
                <w:rFonts w:ascii="Times New Roman" w:eastAsia="Times New Roman" w:hAnsi="Times New Roman" w:cs="Times New Roman"/>
              </w:rPr>
            </w:pPr>
            <w:r w:rsidRPr="00DC733A">
              <w:rPr>
                <w:rFonts w:ascii="Times New Roman" w:eastAsia="Times New Roman" w:hAnsi="Times New Roman" w:cs="Times New Roman"/>
              </w:rPr>
              <w:t>640 – bežné transfery</w:t>
            </w:r>
          </w:p>
        </w:tc>
        <w:tc>
          <w:tcPr>
            <w:tcW w:w="851" w:type="dxa"/>
          </w:tcPr>
          <w:p w:rsidR="00412D55" w:rsidRPr="00DC733A" w:rsidRDefault="00412D55" w:rsidP="00E847FF">
            <w:pPr>
              <w:autoSpaceDE w:val="0"/>
              <w:autoSpaceDN w:val="0"/>
              <w:adjustRightInd w:val="0"/>
              <w:spacing w:after="0" w:line="240" w:lineRule="auto"/>
              <w:jc w:val="center"/>
              <w:rPr>
                <w:rFonts w:ascii="Times New Roman" w:hAnsi="Times New Roman" w:cs="Times New Roman"/>
                <w:lang w:eastAsia="sk-SK"/>
              </w:rPr>
            </w:pPr>
            <w:r w:rsidRPr="00DC733A">
              <w:rPr>
                <w:rFonts w:ascii="Times New Roman" w:hAnsi="Times New Roman" w:cs="Times New Roman"/>
                <w:lang w:eastAsia="sk-SK"/>
              </w:rPr>
              <w:t>111</w:t>
            </w:r>
          </w:p>
        </w:tc>
        <w:tc>
          <w:tcPr>
            <w:tcW w:w="1559" w:type="dxa"/>
            <w:shd w:val="clear" w:color="auto" w:fill="auto"/>
          </w:tcPr>
          <w:p w:rsidR="00412D55" w:rsidRPr="00DC733A" w:rsidRDefault="00755179" w:rsidP="00755179">
            <w:pPr>
              <w:autoSpaceDE w:val="0"/>
              <w:autoSpaceDN w:val="0"/>
              <w:adjustRightInd w:val="0"/>
              <w:spacing w:after="0" w:line="240" w:lineRule="auto"/>
              <w:jc w:val="right"/>
              <w:rPr>
                <w:rFonts w:ascii="Times New Roman" w:hAnsi="Times New Roman" w:cs="Times New Roman"/>
                <w:lang w:eastAsia="sk-SK"/>
              </w:rPr>
            </w:pPr>
            <w:r w:rsidRPr="00DC733A">
              <w:rPr>
                <w:rFonts w:ascii="Times New Roman" w:hAnsi="Times New Roman" w:cs="Times New Roman"/>
                <w:lang w:eastAsia="sk-SK"/>
              </w:rPr>
              <w:t>1  0</w:t>
            </w:r>
            <w:r w:rsidR="00412D55" w:rsidRPr="00DC733A">
              <w:rPr>
                <w:rFonts w:ascii="Times New Roman" w:hAnsi="Times New Roman" w:cs="Times New Roman"/>
                <w:lang w:eastAsia="sk-SK"/>
              </w:rPr>
              <w:t>00 000,00</w:t>
            </w:r>
          </w:p>
        </w:tc>
        <w:tc>
          <w:tcPr>
            <w:tcW w:w="1559" w:type="dxa"/>
            <w:shd w:val="clear" w:color="auto" w:fill="auto"/>
          </w:tcPr>
          <w:p w:rsidR="00412D55" w:rsidRPr="00DC733A" w:rsidRDefault="00DC733A" w:rsidP="00DC733A">
            <w:pPr>
              <w:autoSpaceDE w:val="0"/>
              <w:autoSpaceDN w:val="0"/>
              <w:adjustRightInd w:val="0"/>
              <w:spacing w:after="0" w:line="240" w:lineRule="auto"/>
              <w:rPr>
                <w:rFonts w:ascii="Times New Roman" w:hAnsi="Times New Roman" w:cs="Times New Roman"/>
                <w:lang w:eastAsia="sk-SK"/>
              </w:rPr>
            </w:pPr>
            <w:r w:rsidRPr="00DC733A">
              <w:rPr>
                <w:rFonts w:ascii="Times New Roman" w:hAnsi="Times New Roman" w:cs="Times New Roman"/>
                <w:lang w:eastAsia="sk-SK"/>
              </w:rPr>
              <w:t>1 068 751,40</w:t>
            </w:r>
          </w:p>
        </w:tc>
        <w:tc>
          <w:tcPr>
            <w:tcW w:w="1418" w:type="dxa"/>
            <w:shd w:val="clear" w:color="auto" w:fill="auto"/>
          </w:tcPr>
          <w:p w:rsidR="00412D55" w:rsidRPr="00DC733A" w:rsidRDefault="00DC733A" w:rsidP="00DC733A">
            <w:pPr>
              <w:autoSpaceDE w:val="0"/>
              <w:autoSpaceDN w:val="0"/>
              <w:adjustRightInd w:val="0"/>
              <w:spacing w:after="0" w:line="240" w:lineRule="auto"/>
              <w:rPr>
                <w:rFonts w:ascii="Times New Roman" w:hAnsi="Times New Roman" w:cs="Times New Roman"/>
                <w:lang w:eastAsia="sk-SK"/>
              </w:rPr>
            </w:pPr>
            <w:r w:rsidRPr="00DC733A">
              <w:rPr>
                <w:rFonts w:ascii="Times New Roman" w:hAnsi="Times New Roman" w:cs="Times New Roman"/>
                <w:lang w:eastAsia="sk-SK"/>
              </w:rPr>
              <w:t>1 068 751,40</w:t>
            </w:r>
          </w:p>
        </w:tc>
        <w:tc>
          <w:tcPr>
            <w:tcW w:w="1417" w:type="dxa"/>
            <w:shd w:val="clear" w:color="auto" w:fill="auto"/>
          </w:tcPr>
          <w:p w:rsidR="00412D55" w:rsidRPr="00DC733A" w:rsidRDefault="00DC733A" w:rsidP="008F0E54">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bl>
    <w:p w:rsidR="00CE1649" w:rsidRDefault="00CE1649" w:rsidP="00305411">
      <w:pPr>
        <w:autoSpaceDE w:val="0"/>
        <w:autoSpaceDN w:val="0"/>
        <w:adjustRightInd w:val="0"/>
        <w:spacing w:after="0" w:line="240" w:lineRule="auto"/>
        <w:ind w:firstLine="567"/>
        <w:jc w:val="both"/>
        <w:rPr>
          <w:rFonts w:ascii="Times New Roman" w:hAnsi="Times New Roman" w:cs="Times New Roman"/>
          <w:sz w:val="24"/>
          <w:szCs w:val="24"/>
        </w:rPr>
      </w:pPr>
    </w:p>
    <w:p w:rsidR="00DC733A" w:rsidRDefault="00DC733A" w:rsidP="000F277A">
      <w:pPr>
        <w:spacing w:after="0" w:line="240" w:lineRule="auto"/>
        <w:ind w:firstLine="540"/>
        <w:jc w:val="both"/>
        <w:rPr>
          <w:rFonts w:ascii="Times New Roman" w:hAnsi="Times New Roman" w:cs="Times New Roman"/>
          <w:sz w:val="24"/>
          <w:szCs w:val="24"/>
        </w:rPr>
      </w:pPr>
      <w:r w:rsidRPr="00DC733A">
        <w:rPr>
          <w:rFonts w:ascii="Times New Roman" w:hAnsi="Times New Roman" w:cs="Times New Roman"/>
          <w:sz w:val="24"/>
          <w:szCs w:val="24"/>
        </w:rPr>
        <w:t xml:space="preserve">V zmysle uznesenia vlády SR č. 253/2006 zo dňa 22. marca 2006 je MH SR povinné každoročne uhrádzať členské príspevky do medzinárodných organizácií vo svojej gescii. </w:t>
      </w:r>
    </w:p>
    <w:p w:rsidR="000F277A" w:rsidRPr="00DC733A" w:rsidRDefault="000F277A" w:rsidP="000F277A">
      <w:pPr>
        <w:spacing w:after="0" w:line="240" w:lineRule="auto"/>
        <w:ind w:firstLine="540"/>
        <w:jc w:val="both"/>
        <w:rPr>
          <w:rFonts w:ascii="Times New Roman" w:hAnsi="Times New Roman" w:cs="Times New Roman"/>
          <w:sz w:val="24"/>
          <w:szCs w:val="24"/>
        </w:rPr>
      </w:pPr>
    </w:p>
    <w:p w:rsidR="00DC733A" w:rsidRDefault="00DC733A" w:rsidP="000F277A">
      <w:pPr>
        <w:spacing w:after="0" w:line="240" w:lineRule="auto"/>
        <w:ind w:firstLine="540"/>
        <w:jc w:val="both"/>
        <w:rPr>
          <w:rFonts w:ascii="Times New Roman" w:hAnsi="Times New Roman" w:cs="Times New Roman"/>
          <w:sz w:val="24"/>
          <w:szCs w:val="24"/>
        </w:rPr>
      </w:pPr>
      <w:r w:rsidRPr="00DC733A">
        <w:rPr>
          <w:rFonts w:ascii="Times New Roman" w:hAnsi="Times New Roman" w:cs="Times New Roman"/>
          <w:sz w:val="24"/>
          <w:szCs w:val="24"/>
        </w:rPr>
        <w:t xml:space="preserve">MH SR malo v rozpočte na rok 2015 schválené bežné výdavky v sume 1 000 000,00 eur na úhradu pravidelných členských príspevkov do Svetovej obchodnej organizácie (WTO), Organizácie OSN pre priemyselný rozvoj (UNIDO), Organizácie pre zákaz chemických zbraní (OPCW) a Úrad pre medzinárodné výstavníctvo (BIE ). Rozpočtovým opatrením </w:t>
      </w:r>
      <w:r w:rsidR="007F6CAA">
        <w:rPr>
          <w:rFonts w:ascii="Times New Roman" w:hAnsi="Times New Roman" w:cs="Times New Roman"/>
          <w:sz w:val="24"/>
          <w:szCs w:val="24"/>
        </w:rPr>
        <w:t xml:space="preserve">     </w:t>
      </w:r>
      <w:r w:rsidRPr="00DC733A">
        <w:rPr>
          <w:rFonts w:ascii="Times New Roman" w:hAnsi="Times New Roman" w:cs="Times New Roman"/>
          <w:sz w:val="24"/>
          <w:szCs w:val="24"/>
        </w:rPr>
        <w:t>MF SR bol rozpočet bežných výdavkov k 31.12.2015  na úhradu členských poplatkov upravený na sumu 1 068 751,40 eur.</w:t>
      </w:r>
    </w:p>
    <w:p w:rsidR="000F277A" w:rsidRPr="00DC733A" w:rsidRDefault="000F277A" w:rsidP="000F277A">
      <w:pPr>
        <w:spacing w:after="0" w:line="240" w:lineRule="auto"/>
        <w:ind w:firstLine="540"/>
        <w:jc w:val="both"/>
        <w:rPr>
          <w:rFonts w:ascii="Times New Roman" w:hAnsi="Times New Roman" w:cs="Times New Roman"/>
          <w:sz w:val="24"/>
          <w:szCs w:val="24"/>
        </w:rPr>
      </w:pPr>
    </w:p>
    <w:p w:rsidR="00DC733A" w:rsidRDefault="00DC733A" w:rsidP="000F277A">
      <w:pPr>
        <w:spacing w:after="0" w:line="240" w:lineRule="auto"/>
        <w:ind w:firstLine="567"/>
        <w:jc w:val="both"/>
        <w:rPr>
          <w:rFonts w:ascii="Times New Roman" w:hAnsi="Times New Roman" w:cs="Times New Roman"/>
          <w:sz w:val="24"/>
          <w:szCs w:val="24"/>
        </w:rPr>
      </w:pPr>
      <w:r w:rsidRPr="00DC733A">
        <w:rPr>
          <w:rFonts w:ascii="Times New Roman" w:hAnsi="Times New Roman" w:cs="Times New Roman"/>
          <w:sz w:val="24"/>
          <w:szCs w:val="24"/>
        </w:rPr>
        <w:t>Z upraveného rozpočtu bežných výdavkov boli v roku 2015 vykonané úhrady členských príspevkov nasledovne:</w:t>
      </w:r>
    </w:p>
    <w:p w:rsidR="000F277A" w:rsidRPr="00DC733A" w:rsidRDefault="000F277A" w:rsidP="000F277A">
      <w:pPr>
        <w:spacing w:after="0" w:line="240" w:lineRule="auto"/>
        <w:ind w:firstLine="567"/>
        <w:jc w:val="both"/>
        <w:rPr>
          <w:rFonts w:ascii="Times New Roman" w:hAnsi="Times New Roman" w:cs="Times New Roman"/>
          <w:sz w:val="24"/>
          <w:szCs w:val="24"/>
        </w:rPr>
      </w:pPr>
    </w:p>
    <w:p w:rsidR="00DC733A" w:rsidRPr="00DC733A" w:rsidRDefault="00DC733A" w:rsidP="000F277A">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DC733A">
        <w:rPr>
          <w:rFonts w:ascii="Times New Roman" w:hAnsi="Times New Roman" w:cs="Times New Roman"/>
          <w:sz w:val="24"/>
          <w:szCs w:val="24"/>
        </w:rPr>
        <w:t>OPCW – Organizácia pre zákaz chemických zbraní – 112 862,00 eur,</w:t>
      </w:r>
    </w:p>
    <w:p w:rsidR="00DC733A" w:rsidRPr="00DC733A" w:rsidRDefault="00DC733A" w:rsidP="000F277A">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DC733A">
        <w:rPr>
          <w:rFonts w:ascii="Times New Roman" w:hAnsi="Times New Roman" w:cs="Times New Roman"/>
          <w:sz w:val="24"/>
          <w:szCs w:val="24"/>
        </w:rPr>
        <w:t>WTO – Svetová obchodná organizácia – 743 367,40 eur,</w:t>
      </w:r>
    </w:p>
    <w:p w:rsidR="00DC733A" w:rsidRPr="00DC733A" w:rsidRDefault="00DC733A" w:rsidP="000F277A">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DC733A">
        <w:rPr>
          <w:rFonts w:ascii="Times New Roman" w:hAnsi="Times New Roman" w:cs="Times New Roman"/>
          <w:sz w:val="24"/>
          <w:szCs w:val="24"/>
        </w:rPr>
        <w:t>BIE – Medzinárodný úrad pre výstavy – 12 000,00 eur,</w:t>
      </w:r>
    </w:p>
    <w:p w:rsidR="00DC733A" w:rsidRPr="00DC733A" w:rsidRDefault="00DC733A" w:rsidP="000F277A">
      <w:pPr>
        <w:numPr>
          <w:ilvl w:val="0"/>
          <w:numId w:val="6"/>
        </w:numPr>
        <w:tabs>
          <w:tab w:val="clear" w:pos="720"/>
          <w:tab w:val="num" w:pos="426"/>
        </w:tabs>
        <w:spacing w:after="0" w:line="240" w:lineRule="auto"/>
        <w:ind w:left="426" w:hanging="426"/>
        <w:jc w:val="both"/>
        <w:rPr>
          <w:rFonts w:ascii="Times New Roman" w:hAnsi="Times New Roman" w:cs="Times New Roman"/>
          <w:sz w:val="24"/>
          <w:szCs w:val="24"/>
        </w:rPr>
      </w:pPr>
      <w:r w:rsidRPr="00DC733A">
        <w:rPr>
          <w:rFonts w:ascii="Times New Roman" w:hAnsi="Times New Roman" w:cs="Times New Roman"/>
          <w:sz w:val="24"/>
          <w:szCs w:val="24"/>
        </w:rPr>
        <w:t>UNIDO - Organizácia OSN pre priemyselný rozvoj – 200 522,00 eur.</w:t>
      </w:r>
    </w:p>
    <w:p w:rsidR="000F277A" w:rsidRDefault="000F277A" w:rsidP="000F277A">
      <w:pPr>
        <w:autoSpaceDE w:val="0"/>
        <w:autoSpaceDN w:val="0"/>
        <w:adjustRightInd w:val="0"/>
        <w:spacing w:after="0" w:line="240" w:lineRule="auto"/>
        <w:ind w:firstLine="540"/>
        <w:jc w:val="both"/>
        <w:rPr>
          <w:rFonts w:ascii="Times New Roman" w:hAnsi="Times New Roman" w:cs="Times New Roman"/>
          <w:sz w:val="24"/>
          <w:szCs w:val="24"/>
        </w:rPr>
      </w:pPr>
    </w:p>
    <w:p w:rsidR="00DC733A" w:rsidRPr="00DC733A" w:rsidRDefault="00DC733A" w:rsidP="000F277A">
      <w:pPr>
        <w:autoSpaceDE w:val="0"/>
        <w:autoSpaceDN w:val="0"/>
        <w:adjustRightInd w:val="0"/>
        <w:spacing w:after="0" w:line="240" w:lineRule="auto"/>
        <w:ind w:firstLine="540"/>
        <w:jc w:val="both"/>
        <w:rPr>
          <w:rFonts w:ascii="Times New Roman" w:hAnsi="Times New Roman" w:cs="Times New Roman"/>
          <w:sz w:val="24"/>
          <w:szCs w:val="24"/>
        </w:rPr>
      </w:pPr>
      <w:r w:rsidRPr="00DC733A">
        <w:rPr>
          <w:rFonts w:ascii="Times New Roman" w:hAnsi="Times New Roman" w:cs="Times New Roman"/>
          <w:sz w:val="24"/>
          <w:szCs w:val="24"/>
        </w:rPr>
        <w:t>Členské príspevky za rok boli uhradené v sume 1 068 751,40 eur</w:t>
      </w:r>
      <w:r w:rsidRPr="00DC733A">
        <w:rPr>
          <w:rFonts w:ascii="Times New Roman" w:hAnsi="Times New Roman" w:cs="Times New Roman"/>
          <w:sz w:val="24"/>
          <w:szCs w:val="24"/>
          <w:lang w:eastAsia="sk-SK"/>
        </w:rPr>
        <w:t xml:space="preserve">, </w:t>
      </w:r>
      <w:r w:rsidRPr="00DC733A">
        <w:rPr>
          <w:rFonts w:ascii="Times New Roman" w:hAnsi="Times New Roman" w:cs="Times New Roman"/>
          <w:sz w:val="24"/>
          <w:szCs w:val="24"/>
        </w:rPr>
        <w:t>t.j. 100,00  % z upraveného rozpočtu bežných výdavkov.</w:t>
      </w:r>
    </w:p>
    <w:p w:rsidR="00412D55" w:rsidRPr="00305411" w:rsidRDefault="00412D55" w:rsidP="00305411">
      <w:pPr>
        <w:spacing w:after="0" w:line="240" w:lineRule="auto"/>
        <w:ind w:right="26" w:firstLine="540"/>
        <w:jc w:val="both"/>
        <w:rPr>
          <w:rFonts w:ascii="Times New Roman" w:hAnsi="Times New Roman" w:cs="Times New Roman"/>
          <w:sz w:val="24"/>
          <w:szCs w:val="24"/>
        </w:rPr>
      </w:pPr>
    </w:p>
    <w:p w:rsidR="00412D55" w:rsidRPr="00305411" w:rsidRDefault="00B3495D" w:rsidP="00EA5219">
      <w:pPr>
        <w:spacing w:after="0" w:line="240" w:lineRule="auto"/>
        <w:ind w:right="26" w:firstLine="709"/>
        <w:jc w:val="both"/>
        <w:rPr>
          <w:rFonts w:ascii="Times New Roman" w:hAnsi="Times New Roman" w:cs="Times New Roman"/>
          <w:sz w:val="24"/>
          <w:szCs w:val="24"/>
        </w:rPr>
      </w:pPr>
      <w:r w:rsidRPr="00305411">
        <w:rPr>
          <w:rFonts w:ascii="Times New Roman" w:hAnsi="Times New Roman" w:cs="Times New Roman"/>
          <w:sz w:val="24"/>
          <w:szCs w:val="24"/>
        </w:rPr>
        <w:t>Zo zdrojov</w:t>
      </w:r>
      <w:r w:rsidR="008F0E54" w:rsidRPr="00305411">
        <w:rPr>
          <w:rFonts w:ascii="Times New Roman" w:hAnsi="Times New Roman" w:cs="Times New Roman"/>
          <w:sz w:val="24"/>
          <w:szCs w:val="24"/>
        </w:rPr>
        <w:t xml:space="preserve"> </w:t>
      </w:r>
      <w:r w:rsidRPr="009858BD">
        <w:rPr>
          <w:rFonts w:ascii="Times New Roman" w:hAnsi="Times New Roman" w:cs="Times New Roman"/>
          <w:b/>
          <w:i/>
          <w:sz w:val="24"/>
          <w:szCs w:val="24"/>
        </w:rPr>
        <w:t>Európskej únie a zdrojov spolufinancovania</w:t>
      </w:r>
      <w:r w:rsidRPr="00305411">
        <w:rPr>
          <w:rFonts w:ascii="Times New Roman" w:hAnsi="Times New Roman" w:cs="Times New Roman"/>
          <w:sz w:val="24"/>
          <w:szCs w:val="24"/>
        </w:rPr>
        <w:t xml:space="preserve"> boli v roku 201</w:t>
      </w:r>
      <w:r w:rsidR="00A132BD">
        <w:rPr>
          <w:rFonts w:ascii="Times New Roman" w:hAnsi="Times New Roman" w:cs="Times New Roman"/>
          <w:sz w:val="24"/>
          <w:szCs w:val="24"/>
        </w:rPr>
        <w:t>5</w:t>
      </w:r>
      <w:r w:rsidRPr="00305411">
        <w:rPr>
          <w:rFonts w:ascii="Times New Roman" w:hAnsi="Times New Roman" w:cs="Times New Roman"/>
          <w:sz w:val="24"/>
          <w:szCs w:val="24"/>
        </w:rPr>
        <w:t xml:space="preserve"> poskytnuté </w:t>
      </w:r>
      <w:r w:rsidR="00173E9C" w:rsidRPr="00305411">
        <w:rPr>
          <w:rFonts w:ascii="Times New Roman" w:hAnsi="Times New Roman" w:cs="Times New Roman"/>
          <w:sz w:val="24"/>
          <w:szCs w:val="24"/>
        </w:rPr>
        <w:t xml:space="preserve">bežné </w:t>
      </w:r>
      <w:r w:rsidR="009B54EA" w:rsidRPr="00305411">
        <w:rPr>
          <w:rFonts w:ascii="Times New Roman" w:hAnsi="Times New Roman" w:cs="Times New Roman"/>
          <w:sz w:val="24"/>
          <w:szCs w:val="24"/>
        </w:rPr>
        <w:t>transfery</w:t>
      </w:r>
      <w:r w:rsidR="002555D8">
        <w:rPr>
          <w:rFonts w:ascii="Times New Roman" w:hAnsi="Times New Roman" w:cs="Times New Roman"/>
          <w:sz w:val="24"/>
          <w:szCs w:val="24"/>
        </w:rPr>
        <w:t xml:space="preserve"> nasledovne</w:t>
      </w:r>
      <w:r w:rsidRPr="00305411">
        <w:rPr>
          <w:rFonts w:ascii="Times New Roman" w:hAnsi="Times New Roman" w:cs="Times New Roman"/>
          <w:sz w:val="24"/>
          <w:szCs w:val="24"/>
        </w:rPr>
        <w:t>:</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0"/>
        <w:gridCol w:w="1418"/>
        <w:gridCol w:w="1701"/>
        <w:gridCol w:w="1701"/>
        <w:gridCol w:w="1417"/>
      </w:tblGrid>
      <w:tr w:rsidR="0059693B" w:rsidRPr="000F277A" w:rsidTr="001C0394">
        <w:trPr>
          <w:trHeight w:val="727"/>
        </w:trPr>
        <w:tc>
          <w:tcPr>
            <w:tcW w:w="1985" w:type="dxa"/>
            <w:tcBorders>
              <w:top w:val="single" w:sz="4" w:space="0" w:color="auto"/>
              <w:left w:val="single" w:sz="4" w:space="0" w:color="auto"/>
              <w:bottom w:val="single" w:sz="4" w:space="0" w:color="auto"/>
              <w:right w:val="single" w:sz="4" w:space="0" w:color="auto"/>
            </w:tcBorders>
            <w:shd w:val="clear" w:color="auto" w:fill="auto"/>
          </w:tcPr>
          <w:p w:rsidR="0059693B" w:rsidRPr="000F277A" w:rsidRDefault="0059693B" w:rsidP="00305411">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Ekonomická</w:t>
            </w:r>
          </w:p>
          <w:p w:rsidR="0059693B" w:rsidRPr="000F277A" w:rsidRDefault="0059693B" w:rsidP="00305411">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klasifikácia</w:t>
            </w:r>
          </w:p>
        </w:tc>
        <w:tc>
          <w:tcPr>
            <w:tcW w:w="850" w:type="dxa"/>
            <w:tcBorders>
              <w:left w:val="single" w:sz="4" w:space="0" w:color="auto"/>
            </w:tcBorders>
          </w:tcPr>
          <w:p w:rsidR="0059693B" w:rsidRPr="000F277A" w:rsidRDefault="0059693B" w:rsidP="00305411">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Zdroj</w:t>
            </w:r>
          </w:p>
        </w:tc>
        <w:tc>
          <w:tcPr>
            <w:tcW w:w="1418" w:type="dxa"/>
            <w:shd w:val="clear" w:color="auto" w:fill="auto"/>
          </w:tcPr>
          <w:p w:rsidR="0059693B" w:rsidRPr="000F277A" w:rsidRDefault="0059693B" w:rsidP="0059693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Schválený</w:t>
            </w:r>
          </w:p>
          <w:p w:rsidR="0059693B" w:rsidRPr="000F277A" w:rsidRDefault="0059693B" w:rsidP="0059693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rozpočet k 1.1.2015</w:t>
            </w:r>
          </w:p>
        </w:tc>
        <w:tc>
          <w:tcPr>
            <w:tcW w:w="1701" w:type="dxa"/>
            <w:shd w:val="clear" w:color="auto" w:fill="auto"/>
          </w:tcPr>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Upravený</w:t>
            </w:r>
          </w:p>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rozpočet k 31.12.2015</w:t>
            </w:r>
          </w:p>
        </w:tc>
        <w:tc>
          <w:tcPr>
            <w:tcW w:w="1701" w:type="dxa"/>
            <w:shd w:val="clear" w:color="auto" w:fill="auto"/>
          </w:tcPr>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Čerpanie k</w:t>
            </w:r>
          </w:p>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31.12.2015</w:t>
            </w:r>
          </w:p>
        </w:tc>
        <w:tc>
          <w:tcPr>
            <w:tcW w:w="1417" w:type="dxa"/>
            <w:shd w:val="clear" w:color="auto" w:fill="auto"/>
          </w:tcPr>
          <w:p w:rsidR="0059693B" w:rsidRPr="000F277A" w:rsidRDefault="0059693B" w:rsidP="00D35D8B">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 čerpania k uprav. rozpočtu</w:t>
            </w:r>
          </w:p>
        </w:tc>
      </w:tr>
      <w:tr w:rsidR="00911448" w:rsidRPr="000F277A" w:rsidTr="001C0394">
        <w:tc>
          <w:tcPr>
            <w:tcW w:w="1985" w:type="dxa"/>
            <w:tcBorders>
              <w:top w:val="nil"/>
              <w:left w:val="single" w:sz="4" w:space="0" w:color="auto"/>
              <w:bottom w:val="nil"/>
              <w:right w:val="single" w:sz="4" w:space="0" w:color="auto"/>
            </w:tcBorders>
            <w:shd w:val="clear" w:color="auto" w:fill="auto"/>
          </w:tcPr>
          <w:p w:rsidR="00911448" w:rsidRPr="000F277A" w:rsidRDefault="00911448" w:rsidP="001C0394">
            <w:pPr>
              <w:spacing w:after="0" w:line="240" w:lineRule="auto"/>
              <w:jc w:val="both"/>
              <w:rPr>
                <w:rFonts w:ascii="Times New Roman" w:eastAsia="Times New Roman" w:hAnsi="Times New Roman" w:cs="Times New Roman"/>
              </w:rPr>
            </w:pPr>
            <w:r w:rsidRPr="000F277A">
              <w:rPr>
                <w:rFonts w:ascii="Times New Roman" w:eastAsia="Times New Roman" w:hAnsi="Times New Roman" w:cs="Times New Roman"/>
              </w:rPr>
              <w:t xml:space="preserve">640 – bežné </w:t>
            </w:r>
          </w:p>
        </w:tc>
        <w:tc>
          <w:tcPr>
            <w:tcW w:w="850" w:type="dxa"/>
            <w:tcBorders>
              <w:left w:val="single" w:sz="4" w:space="0" w:color="auto"/>
            </w:tcBorders>
          </w:tcPr>
          <w:p w:rsidR="00911448" w:rsidRPr="000F277A" w:rsidRDefault="00911448" w:rsidP="00BF60D6">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11</w:t>
            </w:r>
            <w:r w:rsidR="00BF60D6" w:rsidRPr="000F277A">
              <w:rPr>
                <w:rFonts w:ascii="Times New Roman" w:hAnsi="Times New Roman" w:cs="Times New Roman"/>
                <w:lang w:eastAsia="sk-SK"/>
              </w:rPr>
              <w:t>B5</w:t>
            </w:r>
          </w:p>
        </w:tc>
        <w:tc>
          <w:tcPr>
            <w:tcW w:w="1418" w:type="dxa"/>
            <w:shd w:val="clear" w:color="auto" w:fill="auto"/>
          </w:tcPr>
          <w:p w:rsidR="00911448" w:rsidRPr="000F277A" w:rsidRDefault="00682E69" w:rsidP="00722C98">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10 074,00</w:t>
            </w:r>
          </w:p>
        </w:tc>
        <w:tc>
          <w:tcPr>
            <w:tcW w:w="1701" w:type="dxa"/>
            <w:shd w:val="clear" w:color="auto" w:fill="auto"/>
          </w:tcPr>
          <w:p w:rsidR="00911448" w:rsidRPr="000F277A" w:rsidRDefault="00682E69" w:rsidP="00722C98">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10 074,00</w:t>
            </w:r>
          </w:p>
        </w:tc>
        <w:tc>
          <w:tcPr>
            <w:tcW w:w="1701" w:type="dxa"/>
            <w:shd w:val="clear" w:color="auto" w:fill="auto"/>
          </w:tcPr>
          <w:p w:rsidR="00911448" w:rsidRPr="000F277A" w:rsidRDefault="00121771" w:rsidP="00305411">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10 071,00</w:t>
            </w:r>
          </w:p>
        </w:tc>
        <w:tc>
          <w:tcPr>
            <w:tcW w:w="1417" w:type="dxa"/>
            <w:shd w:val="clear" w:color="auto" w:fill="auto"/>
          </w:tcPr>
          <w:p w:rsidR="00911448" w:rsidRPr="000F277A" w:rsidRDefault="00121771" w:rsidP="00305411">
            <w:pPr>
              <w:spacing w:after="0" w:line="240" w:lineRule="auto"/>
              <w:jc w:val="center"/>
              <w:rPr>
                <w:rFonts w:ascii="Times New Roman" w:eastAsia="Times New Roman" w:hAnsi="Times New Roman" w:cs="Times New Roman"/>
              </w:rPr>
            </w:pPr>
            <w:r w:rsidRPr="000F277A">
              <w:rPr>
                <w:rFonts w:ascii="Times New Roman" w:eastAsia="Times New Roman" w:hAnsi="Times New Roman" w:cs="Times New Roman"/>
              </w:rPr>
              <w:t>99,98</w:t>
            </w:r>
          </w:p>
        </w:tc>
      </w:tr>
      <w:tr w:rsidR="00B55AEA" w:rsidRPr="000F277A" w:rsidTr="001C0394">
        <w:tc>
          <w:tcPr>
            <w:tcW w:w="1985" w:type="dxa"/>
            <w:tcBorders>
              <w:top w:val="nil"/>
              <w:left w:val="single" w:sz="4" w:space="0" w:color="auto"/>
              <w:bottom w:val="nil"/>
              <w:right w:val="single" w:sz="4" w:space="0" w:color="auto"/>
            </w:tcBorders>
            <w:shd w:val="clear" w:color="auto" w:fill="auto"/>
          </w:tcPr>
          <w:p w:rsidR="00B55AEA" w:rsidRPr="000F277A" w:rsidRDefault="001C0394" w:rsidP="00C60072">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Pr="000F277A">
              <w:rPr>
                <w:rFonts w:ascii="Times New Roman" w:eastAsia="Times New Roman" w:hAnsi="Times New Roman" w:cs="Times New Roman"/>
              </w:rPr>
              <w:t>transfery</w:t>
            </w:r>
          </w:p>
        </w:tc>
        <w:tc>
          <w:tcPr>
            <w:tcW w:w="850" w:type="dxa"/>
            <w:tcBorders>
              <w:left w:val="single" w:sz="4" w:space="0" w:color="auto"/>
            </w:tcBorders>
          </w:tcPr>
          <w:p w:rsidR="00B55AEA" w:rsidRPr="000F277A" w:rsidRDefault="00B55AEA" w:rsidP="00BF60D6">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w:t>
            </w:r>
            <w:r w:rsidR="00BF60D6" w:rsidRPr="000F277A">
              <w:rPr>
                <w:rFonts w:ascii="Times New Roman" w:hAnsi="Times New Roman" w:cs="Times New Roman"/>
                <w:lang w:eastAsia="sk-SK"/>
              </w:rPr>
              <w:t>AJ2</w:t>
            </w:r>
          </w:p>
        </w:tc>
        <w:tc>
          <w:tcPr>
            <w:tcW w:w="1418" w:type="dxa"/>
            <w:shd w:val="clear" w:color="auto" w:fill="auto"/>
          </w:tcPr>
          <w:p w:rsidR="00B55AEA" w:rsidRPr="000F277A" w:rsidRDefault="00121771" w:rsidP="00C60072">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117 401,000</w:t>
            </w:r>
          </w:p>
        </w:tc>
        <w:tc>
          <w:tcPr>
            <w:tcW w:w="1701" w:type="dxa"/>
            <w:shd w:val="clear" w:color="auto" w:fill="auto"/>
          </w:tcPr>
          <w:p w:rsidR="00B55AEA" w:rsidRPr="000F277A" w:rsidRDefault="00121771" w:rsidP="00C60072">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117 401,00</w:t>
            </w:r>
          </w:p>
        </w:tc>
        <w:tc>
          <w:tcPr>
            <w:tcW w:w="1701" w:type="dxa"/>
            <w:shd w:val="clear" w:color="auto" w:fill="auto"/>
          </w:tcPr>
          <w:p w:rsidR="00B55AEA" w:rsidRPr="000F277A" w:rsidRDefault="00121771" w:rsidP="00C60072">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115 429,50</w:t>
            </w:r>
          </w:p>
        </w:tc>
        <w:tc>
          <w:tcPr>
            <w:tcW w:w="1417" w:type="dxa"/>
            <w:shd w:val="clear" w:color="auto" w:fill="auto"/>
          </w:tcPr>
          <w:p w:rsidR="00B55AEA" w:rsidRPr="000F277A" w:rsidRDefault="00121771" w:rsidP="00C60072">
            <w:pPr>
              <w:spacing w:after="0" w:line="240" w:lineRule="auto"/>
              <w:jc w:val="center"/>
              <w:rPr>
                <w:rFonts w:ascii="Times New Roman" w:eastAsia="Times New Roman" w:hAnsi="Times New Roman" w:cs="Times New Roman"/>
              </w:rPr>
            </w:pPr>
            <w:r w:rsidRPr="000F277A">
              <w:rPr>
                <w:rFonts w:ascii="Times New Roman" w:eastAsia="Times New Roman" w:hAnsi="Times New Roman" w:cs="Times New Roman"/>
              </w:rPr>
              <w:t>98,33</w:t>
            </w:r>
          </w:p>
        </w:tc>
      </w:tr>
      <w:tr w:rsidR="00B55AEA" w:rsidRPr="000F277A" w:rsidTr="001C0394">
        <w:tc>
          <w:tcPr>
            <w:tcW w:w="1985" w:type="dxa"/>
            <w:tcBorders>
              <w:top w:val="nil"/>
              <w:left w:val="single" w:sz="4" w:space="0" w:color="auto"/>
              <w:bottom w:val="nil"/>
              <w:right w:val="single" w:sz="4" w:space="0" w:color="auto"/>
            </w:tcBorders>
            <w:shd w:val="clear" w:color="auto" w:fill="auto"/>
          </w:tcPr>
          <w:p w:rsidR="00B55AEA" w:rsidRPr="000F277A" w:rsidRDefault="00B55AEA" w:rsidP="00C60072">
            <w:pPr>
              <w:spacing w:after="0" w:line="240" w:lineRule="auto"/>
              <w:jc w:val="both"/>
              <w:rPr>
                <w:rFonts w:ascii="Times New Roman" w:eastAsia="Times New Roman" w:hAnsi="Times New Roman" w:cs="Times New Roman"/>
              </w:rPr>
            </w:pPr>
          </w:p>
        </w:tc>
        <w:tc>
          <w:tcPr>
            <w:tcW w:w="850" w:type="dxa"/>
            <w:tcBorders>
              <w:left w:val="single" w:sz="4" w:space="0" w:color="auto"/>
            </w:tcBorders>
          </w:tcPr>
          <w:p w:rsidR="00B55AEA" w:rsidRPr="000F277A" w:rsidRDefault="00B55AEA" w:rsidP="00C60072">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13S1</w:t>
            </w:r>
          </w:p>
        </w:tc>
        <w:tc>
          <w:tcPr>
            <w:tcW w:w="1418" w:type="dxa"/>
            <w:shd w:val="clear" w:color="auto" w:fill="auto"/>
          </w:tcPr>
          <w:p w:rsidR="00B55AEA" w:rsidRPr="000F277A" w:rsidRDefault="00B55AEA" w:rsidP="00C60072">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0,00</w:t>
            </w:r>
          </w:p>
        </w:tc>
        <w:tc>
          <w:tcPr>
            <w:tcW w:w="1701" w:type="dxa"/>
            <w:shd w:val="clear" w:color="auto" w:fill="auto"/>
          </w:tcPr>
          <w:p w:rsidR="00B55AEA" w:rsidRPr="000F277A" w:rsidRDefault="00121771" w:rsidP="00121771">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106 296 698,59</w:t>
            </w:r>
          </w:p>
        </w:tc>
        <w:tc>
          <w:tcPr>
            <w:tcW w:w="1701" w:type="dxa"/>
            <w:shd w:val="clear" w:color="auto" w:fill="auto"/>
          </w:tcPr>
          <w:p w:rsidR="00B55AEA" w:rsidRPr="000F277A" w:rsidRDefault="00121771" w:rsidP="00C60072">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106 296 698,59</w:t>
            </w:r>
          </w:p>
        </w:tc>
        <w:tc>
          <w:tcPr>
            <w:tcW w:w="1417" w:type="dxa"/>
            <w:shd w:val="clear" w:color="auto" w:fill="auto"/>
          </w:tcPr>
          <w:p w:rsidR="00B55AEA" w:rsidRPr="000F277A" w:rsidRDefault="00121771" w:rsidP="00C60072">
            <w:pPr>
              <w:spacing w:after="0" w:line="240" w:lineRule="auto"/>
              <w:jc w:val="center"/>
              <w:rPr>
                <w:rFonts w:ascii="Times New Roman" w:eastAsia="Times New Roman" w:hAnsi="Times New Roman" w:cs="Times New Roman"/>
              </w:rPr>
            </w:pPr>
            <w:r w:rsidRPr="000F277A">
              <w:rPr>
                <w:rFonts w:ascii="Times New Roman" w:eastAsia="Times New Roman" w:hAnsi="Times New Roman" w:cs="Times New Roman"/>
              </w:rPr>
              <w:t>100,00</w:t>
            </w:r>
          </w:p>
        </w:tc>
      </w:tr>
      <w:tr w:rsidR="00911448" w:rsidRPr="000F277A" w:rsidTr="001C0394">
        <w:tc>
          <w:tcPr>
            <w:tcW w:w="1985" w:type="dxa"/>
            <w:tcBorders>
              <w:top w:val="nil"/>
              <w:left w:val="single" w:sz="4" w:space="0" w:color="auto"/>
              <w:bottom w:val="nil"/>
              <w:right w:val="single" w:sz="4" w:space="0" w:color="auto"/>
            </w:tcBorders>
            <w:shd w:val="clear" w:color="auto" w:fill="auto"/>
          </w:tcPr>
          <w:p w:rsidR="00911448" w:rsidRPr="000F277A" w:rsidRDefault="00911448" w:rsidP="00305411">
            <w:pPr>
              <w:spacing w:after="0" w:line="240" w:lineRule="auto"/>
              <w:jc w:val="both"/>
              <w:rPr>
                <w:rFonts w:ascii="Times New Roman" w:eastAsia="Times New Roman" w:hAnsi="Times New Roman" w:cs="Times New Roman"/>
              </w:rPr>
            </w:pPr>
          </w:p>
        </w:tc>
        <w:tc>
          <w:tcPr>
            <w:tcW w:w="850" w:type="dxa"/>
            <w:tcBorders>
              <w:left w:val="single" w:sz="4" w:space="0" w:color="auto"/>
            </w:tcBorders>
          </w:tcPr>
          <w:p w:rsidR="00911448" w:rsidRPr="000F277A" w:rsidRDefault="00B55AEA" w:rsidP="00305411">
            <w:pPr>
              <w:autoSpaceDE w:val="0"/>
              <w:autoSpaceDN w:val="0"/>
              <w:adjustRightInd w:val="0"/>
              <w:spacing w:after="0" w:line="240" w:lineRule="auto"/>
              <w:jc w:val="center"/>
              <w:rPr>
                <w:rFonts w:ascii="Times New Roman" w:hAnsi="Times New Roman" w:cs="Times New Roman"/>
                <w:lang w:eastAsia="sk-SK"/>
              </w:rPr>
            </w:pPr>
            <w:r w:rsidRPr="000F277A">
              <w:rPr>
                <w:rFonts w:ascii="Times New Roman" w:hAnsi="Times New Roman" w:cs="Times New Roman"/>
                <w:lang w:eastAsia="sk-SK"/>
              </w:rPr>
              <w:t>13S2</w:t>
            </w:r>
          </w:p>
        </w:tc>
        <w:tc>
          <w:tcPr>
            <w:tcW w:w="1418" w:type="dxa"/>
            <w:shd w:val="clear" w:color="auto" w:fill="auto"/>
          </w:tcPr>
          <w:p w:rsidR="00911448" w:rsidRPr="000F277A" w:rsidRDefault="00911448" w:rsidP="00305411">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0,00</w:t>
            </w:r>
          </w:p>
        </w:tc>
        <w:tc>
          <w:tcPr>
            <w:tcW w:w="1701" w:type="dxa"/>
            <w:shd w:val="clear" w:color="auto" w:fill="auto"/>
          </w:tcPr>
          <w:p w:rsidR="00911448" w:rsidRPr="000F277A" w:rsidRDefault="00121771" w:rsidP="00305411">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18 758 558,42</w:t>
            </w:r>
          </w:p>
        </w:tc>
        <w:tc>
          <w:tcPr>
            <w:tcW w:w="1701" w:type="dxa"/>
            <w:shd w:val="clear" w:color="auto" w:fill="auto"/>
          </w:tcPr>
          <w:p w:rsidR="00911448" w:rsidRPr="000F277A" w:rsidRDefault="00121771" w:rsidP="00305411">
            <w:pPr>
              <w:autoSpaceDE w:val="0"/>
              <w:autoSpaceDN w:val="0"/>
              <w:adjustRightInd w:val="0"/>
              <w:spacing w:after="0" w:line="240" w:lineRule="auto"/>
              <w:jc w:val="right"/>
              <w:rPr>
                <w:rFonts w:ascii="Times New Roman" w:hAnsi="Times New Roman" w:cs="Times New Roman"/>
                <w:lang w:eastAsia="sk-SK"/>
              </w:rPr>
            </w:pPr>
            <w:r w:rsidRPr="000F277A">
              <w:rPr>
                <w:rFonts w:ascii="Times New Roman" w:hAnsi="Times New Roman" w:cs="Times New Roman"/>
                <w:lang w:eastAsia="sk-SK"/>
              </w:rPr>
              <w:t>18 758 558,42</w:t>
            </w:r>
          </w:p>
        </w:tc>
        <w:tc>
          <w:tcPr>
            <w:tcW w:w="1417" w:type="dxa"/>
            <w:shd w:val="clear" w:color="auto" w:fill="auto"/>
          </w:tcPr>
          <w:p w:rsidR="00911448" w:rsidRPr="000F277A" w:rsidRDefault="00121771" w:rsidP="00305411">
            <w:pPr>
              <w:spacing w:after="0" w:line="240" w:lineRule="auto"/>
              <w:jc w:val="center"/>
              <w:rPr>
                <w:rFonts w:ascii="Times New Roman" w:eastAsia="Times New Roman" w:hAnsi="Times New Roman" w:cs="Times New Roman"/>
              </w:rPr>
            </w:pPr>
            <w:r w:rsidRPr="000F277A">
              <w:rPr>
                <w:rFonts w:ascii="Times New Roman" w:eastAsia="Times New Roman" w:hAnsi="Times New Roman" w:cs="Times New Roman"/>
              </w:rPr>
              <w:t>100,00</w:t>
            </w:r>
          </w:p>
        </w:tc>
      </w:tr>
      <w:tr w:rsidR="00911448" w:rsidRPr="000F277A" w:rsidTr="001C0394">
        <w:tc>
          <w:tcPr>
            <w:tcW w:w="1985" w:type="dxa"/>
            <w:tcBorders>
              <w:top w:val="single" w:sz="4" w:space="0" w:color="auto"/>
              <w:left w:val="single" w:sz="4" w:space="0" w:color="auto"/>
              <w:bottom w:val="single" w:sz="4" w:space="0" w:color="auto"/>
              <w:right w:val="single" w:sz="4" w:space="0" w:color="auto"/>
            </w:tcBorders>
            <w:shd w:val="clear" w:color="auto" w:fill="auto"/>
          </w:tcPr>
          <w:p w:rsidR="00911448" w:rsidRPr="000F277A" w:rsidRDefault="00911448" w:rsidP="00305411">
            <w:pPr>
              <w:spacing w:after="0" w:line="240" w:lineRule="auto"/>
              <w:jc w:val="both"/>
              <w:rPr>
                <w:rFonts w:ascii="Times New Roman" w:eastAsia="Times New Roman" w:hAnsi="Times New Roman" w:cs="Times New Roman"/>
                <w:b/>
              </w:rPr>
            </w:pPr>
            <w:r w:rsidRPr="000F277A">
              <w:rPr>
                <w:rFonts w:ascii="Times New Roman" w:eastAsia="Times New Roman" w:hAnsi="Times New Roman" w:cs="Times New Roman"/>
                <w:b/>
              </w:rPr>
              <w:t>SPOLU 6</w:t>
            </w:r>
            <w:r w:rsidR="009B6B95" w:rsidRPr="000F277A">
              <w:rPr>
                <w:rFonts w:ascii="Times New Roman" w:eastAsia="Times New Roman" w:hAnsi="Times New Roman" w:cs="Times New Roman"/>
                <w:b/>
              </w:rPr>
              <w:t>4</w:t>
            </w:r>
            <w:r w:rsidRPr="000F277A">
              <w:rPr>
                <w:rFonts w:ascii="Times New Roman" w:eastAsia="Times New Roman" w:hAnsi="Times New Roman" w:cs="Times New Roman"/>
                <w:b/>
              </w:rPr>
              <w:t>0</w:t>
            </w:r>
          </w:p>
        </w:tc>
        <w:tc>
          <w:tcPr>
            <w:tcW w:w="850" w:type="dxa"/>
            <w:tcBorders>
              <w:left w:val="single" w:sz="4" w:space="0" w:color="auto"/>
            </w:tcBorders>
          </w:tcPr>
          <w:p w:rsidR="00911448" w:rsidRPr="000F277A" w:rsidRDefault="00911448" w:rsidP="00305411">
            <w:pPr>
              <w:autoSpaceDE w:val="0"/>
              <w:autoSpaceDN w:val="0"/>
              <w:adjustRightInd w:val="0"/>
              <w:spacing w:after="0" w:line="240" w:lineRule="auto"/>
              <w:rPr>
                <w:rFonts w:ascii="Times New Roman" w:hAnsi="Times New Roman" w:cs="Times New Roman"/>
                <w:b/>
                <w:lang w:eastAsia="sk-SK"/>
              </w:rPr>
            </w:pPr>
          </w:p>
        </w:tc>
        <w:tc>
          <w:tcPr>
            <w:tcW w:w="1418" w:type="dxa"/>
            <w:shd w:val="clear" w:color="auto" w:fill="auto"/>
          </w:tcPr>
          <w:p w:rsidR="00911448" w:rsidRPr="000F277A" w:rsidRDefault="00121771" w:rsidP="00DF33FF">
            <w:pPr>
              <w:autoSpaceDE w:val="0"/>
              <w:autoSpaceDN w:val="0"/>
              <w:adjustRightInd w:val="0"/>
              <w:spacing w:after="0" w:line="240" w:lineRule="auto"/>
              <w:jc w:val="right"/>
              <w:rPr>
                <w:rFonts w:ascii="Times New Roman" w:hAnsi="Times New Roman" w:cs="Times New Roman"/>
                <w:b/>
                <w:lang w:eastAsia="sk-SK"/>
              </w:rPr>
            </w:pPr>
            <w:r w:rsidRPr="000F277A">
              <w:rPr>
                <w:rFonts w:ascii="Times New Roman" w:hAnsi="Times New Roman" w:cs="Times New Roman"/>
                <w:b/>
                <w:lang w:eastAsia="sk-SK"/>
              </w:rPr>
              <w:t xml:space="preserve">127 </w:t>
            </w:r>
            <w:r w:rsidR="00722C98">
              <w:rPr>
                <w:rFonts w:ascii="Times New Roman" w:hAnsi="Times New Roman" w:cs="Times New Roman"/>
                <w:b/>
                <w:lang w:eastAsia="sk-SK"/>
              </w:rPr>
              <w:t>4</w:t>
            </w:r>
            <w:r w:rsidRPr="000F277A">
              <w:rPr>
                <w:rFonts w:ascii="Times New Roman" w:hAnsi="Times New Roman" w:cs="Times New Roman"/>
                <w:b/>
                <w:lang w:eastAsia="sk-SK"/>
              </w:rPr>
              <w:t>75,00</w:t>
            </w:r>
          </w:p>
        </w:tc>
        <w:tc>
          <w:tcPr>
            <w:tcW w:w="1701" w:type="dxa"/>
            <w:shd w:val="clear" w:color="auto" w:fill="auto"/>
          </w:tcPr>
          <w:p w:rsidR="00911448" w:rsidRPr="000F277A" w:rsidRDefault="00121771" w:rsidP="00305411">
            <w:pPr>
              <w:autoSpaceDE w:val="0"/>
              <w:autoSpaceDN w:val="0"/>
              <w:adjustRightInd w:val="0"/>
              <w:spacing w:after="0" w:line="240" w:lineRule="auto"/>
              <w:jc w:val="right"/>
              <w:rPr>
                <w:rFonts w:ascii="Times New Roman" w:hAnsi="Times New Roman" w:cs="Times New Roman"/>
                <w:b/>
                <w:lang w:eastAsia="sk-SK"/>
              </w:rPr>
            </w:pPr>
            <w:r w:rsidRPr="000F277A">
              <w:rPr>
                <w:rFonts w:ascii="Times New Roman" w:hAnsi="Times New Roman" w:cs="Times New Roman"/>
                <w:b/>
                <w:lang w:eastAsia="sk-SK"/>
              </w:rPr>
              <w:t>125 182 732,01</w:t>
            </w:r>
          </w:p>
        </w:tc>
        <w:tc>
          <w:tcPr>
            <w:tcW w:w="1701" w:type="dxa"/>
            <w:shd w:val="clear" w:color="auto" w:fill="auto"/>
          </w:tcPr>
          <w:p w:rsidR="00911448" w:rsidRPr="000F277A" w:rsidRDefault="00121771" w:rsidP="00305411">
            <w:pPr>
              <w:autoSpaceDE w:val="0"/>
              <w:autoSpaceDN w:val="0"/>
              <w:adjustRightInd w:val="0"/>
              <w:spacing w:after="0" w:line="240" w:lineRule="auto"/>
              <w:jc w:val="right"/>
              <w:rPr>
                <w:rFonts w:ascii="Times New Roman" w:hAnsi="Times New Roman" w:cs="Times New Roman"/>
                <w:b/>
                <w:lang w:eastAsia="sk-SK"/>
              </w:rPr>
            </w:pPr>
            <w:r w:rsidRPr="000F277A">
              <w:rPr>
                <w:rFonts w:ascii="Times New Roman" w:hAnsi="Times New Roman" w:cs="Times New Roman"/>
                <w:b/>
                <w:lang w:eastAsia="sk-SK"/>
              </w:rPr>
              <w:t>125 180 757,51</w:t>
            </w:r>
          </w:p>
        </w:tc>
        <w:tc>
          <w:tcPr>
            <w:tcW w:w="1417" w:type="dxa"/>
            <w:shd w:val="clear" w:color="auto" w:fill="auto"/>
          </w:tcPr>
          <w:p w:rsidR="00911448" w:rsidRPr="000F277A" w:rsidRDefault="00121771" w:rsidP="00305411">
            <w:pPr>
              <w:spacing w:after="0" w:line="240" w:lineRule="auto"/>
              <w:jc w:val="center"/>
              <w:rPr>
                <w:rFonts w:ascii="Times New Roman" w:eastAsia="Times New Roman" w:hAnsi="Times New Roman" w:cs="Times New Roman"/>
                <w:b/>
              </w:rPr>
            </w:pPr>
            <w:r w:rsidRPr="000F277A">
              <w:rPr>
                <w:rFonts w:ascii="Times New Roman" w:eastAsia="Times New Roman" w:hAnsi="Times New Roman" w:cs="Times New Roman"/>
                <w:b/>
              </w:rPr>
              <w:t>99,99</w:t>
            </w:r>
          </w:p>
        </w:tc>
      </w:tr>
    </w:tbl>
    <w:p w:rsidR="00911448" w:rsidRPr="00305411" w:rsidRDefault="00911448" w:rsidP="00305411">
      <w:pPr>
        <w:spacing w:after="0" w:line="240" w:lineRule="auto"/>
        <w:ind w:right="26" w:firstLine="540"/>
        <w:jc w:val="both"/>
        <w:rPr>
          <w:rFonts w:ascii="Times New Roman" w:hAnsi="Times New Roman" w:cs="Times New Roman"/>
          <w:sz w:val="24"/>
          <w:szCs w:val="24"/>
        </w:rPr>
      </w:pPr>
    </w:p>
    <w:p w:rsidR="0094710C" w:rsidRPr="00305411" w:rsidRDefault="008F0E54" w:rsidP="00EA5219">
      <w:pPr>
        <w:spacing w:after="0" w:line="240" w:lineRule="auto"/>
        <w:ind w:right="26" w:firstLine="709"/>
        <w:jc w:val="both"/>
        <w:rPr>
          <w:rFonts w:ascii="Times New Roman" w:hAnsi="Times New Roman" w:cs="Times New Roman"/>
          <w:sz w:val="24"/>
          <w:szCs w:val="24"/>
        </w:rPr>
      </w:pPr>
      <w:r w:rsidRPr="00C42B62">
        <w:rPr>
          <w:rFonts w:ascii="Times New Roman" w:hAnsi="Times New Roman" w:cs="Times New Roman"/>
          <w:sz w:val="24"/>
          <w:szCs w:val="24"/>
        </w:rPr>
        <w:t>Rozpočtové prostriedky v </w:t>
      </w:r>
      <w:r w:rsidR="007F6CAA">
        <w:rPr>
          <w:rFonts w:ascii="Times New Roman" w:hAnsi="Times New Roman" w:cs="Times New Roman"/>
          <w:sz w:val="24"/>
          <w:szCs w:val="24"/>
        </w:rPr>
        <w:t xml:space="preserve"> </w:t>
      </w:r>
      <w:r w:rsidRPr="00C42B62">
        <w:rPr>
          <w:rFonts w:ascii="Times New Roman" w:hAnsi="Times New Roman" w:cs="Times New Roman"/>
          <w:sz w:val="24"/>
          <w:szCs w:val="24"/>
        </w:rPr>
        <w:t xml:space="preserve">celkovej </w:t>
      </w:r>
      <w:r w:rsidR="000E7C91" w:rsidRPr="00C42B62">
        <w:rPr>
          <w:rFonts w:ascii="Times New Roman" w:hAnsi="Times New Roman" w:cs="Times New Roman"/>
          <w:sz w:val="24"/>
          <w:szCs w:val="24"/>
        </w:rPr>
        <w:t>sume</w:t>
      </w:r>
      <w:r w:rsidR="00121771" w:rsidRPr="00C42B62">
        <w:rPr>
          <w:rFonts w:ascii="Times New Roman" w:hAnsi="Times New Roman" w:cs="Times New Roman"/>
          <w:sz w:val="24"/>
          <w:szCs w:val="24"/>
        </w:rPr>
        <w:t xml:space="preserve"> 125 180 757,51 </w:t>
      </w:r>
      <w:r w:rsidRPr="00C42B62">
        <w:rPr>
          <w:rFonts w:ascii="Times New Roman" w:hAnsi="Times New Roman" w:cs="Times New Roman"/>
          <w:sz w:val="24"/>
          <w:szCs w:val="24"/>
        </w:rPr>
        <w:t xml:space="preserve"> eur boli v roku 201</w:t>
      </w:r>
      <w:r w:rsidR="000E7C91" w:rsidRPr="00C42B62">
        <w:rPr>
          <w:rFonts w:ascii="Times New Roman" w:hAnsi="Times New Roman" w:cs="Times New Roman"/>
          <w:sz w:val="24"/>
          <w:szCs w:val="24"/>
        </w:rPr>
        <w:t>5</w:t>
      </w:r>
      <w:r w:rsidRPr="00C42B62">
        <w:rPr>
          <w:rFonts w:ascii="Times New Roman" w:hAnsi="Times New Roman" w:cs="Times New Roman"/>
          <w:sz w:val="24"/>
          <w:szCs w:val="24"/>
        </w:rPr>
        <w:t xml:space="preserve"> poskytnuté na plnenie jednotlivých opatrení </w:t>
      </w:r>
      <w:r w:rsidR="00B80F23" w:rsidRPr="00C42B62">
        <w:rPr>
          <w:rFonts w:ascii="Times New Roman" w:hAnsi="Times New Roman" w:cs="Times New Roman"/>
          <w:bCs/>
          <w:sz w:val="24"/>
          <w:szCs w:val="24"/>
          <w:lang w:eastAsia="sk-SK"/>
        </w:rPr>
        <w:t>Operačného programu kon</w:t>
      </w:r>
      <w:r w:rsidR="000E7C91" w:rsidRPr="00C42B62">
        <w:rPr>
          <w:rFonts w:ascii="Times New Roman" w:hAnsi="Times New Roman" w:cs="Times New Roman"/>
          <w:bCs/>
          <w:sz w:val="24"/>
          <w:szCs w:val="24"/>
          <w:lang w:eastAsia="sk-SK"/>
        </w:rPr>
        <w:t xml:space="preserve">kurencieschopnosť a hospodársky </w:t>
      </w:r>
      <w:r w:rsidR="00B80F23" w:rsidRPr="00C42B62">
        <w:rPr>
          <w:rFonts w:ascii="Times New Roman" w:hAnsi="Times New Roman" w:cs="Times New Roman"/>
          <w:bCs/>
          <w:sz w:val="24"/>
          <w:szCs w:val="24"/>
          <w:lang w:eastAsia="sk-SK"/>
        </w:rPr>
        <w:t>rast</w:t>
      </w:r>
      <w:r w:rsidR="000E7C91" w:rsidRPr="00C42B62">
        <w:rPr>
          <w:rFonts w:ascii="Times New Roman" w:hAnsi="Times New Roman" w:cs="Times New Roman"/>
          <w:bCs/>
          <w:sz w:val="24"/>
          <w:szCs w:val="24"/>
          <w:lang w:eastAsia="sk-SK"/>
        </w:rPr>
        <w:t xml:space="preserve">, Technickú asistenciu </w:t>
      </w:r>
      <w:proofErr w:type="spellStart"/>
      <w:r w:rsidR="000E7C91" w:rsidRPr="00C42B62">
        <w:rPr>
          <w:rFonts w:ascii="Times New Roman" w:hAnsi="Times New Roman" w:cs="Times New Roman"/>
          <w:bCs/>
          <w:sz w:val="24"/>
          <w:szCs w:val="24"/>
          <w:lang w:eastAsia="sk-SK"/>
        </w:rPr>
        <w:t>Interreg</w:t>
      </w:r>
      <w:proofErr w:type="spellEnd"/>
      <w:r w:rsidR="000E7C91" w:rsidRPr="00C42B62">
        <w:rPr>
          <w:rFonts w:ascii="Times New Roman" w:hAnsi="Times New Roman" w:cs="Times New Roman"/>
          <w:bCs/>
          <w:sz w:val="24"/>
          <w:szCs w:val="24"/>
          <w:lang w:eastAsia="sk-SK"/>
        </w:rPr>
        <w:t xml:space="preserve"> </w:t>
      </w:r>
      <w:r w:rsidR="00C42B62" w:rsidRPr="00C42B62">
        <w:rPr>
          <w:rFonts w:ascii="Times New Roman" w:hAnsi="Times New Roman" w:cs="Times New Roman"/>
          <w:bCs/>
          <w:sz w:val="24"/>
          <w:szCs w:val="24"/>
          <w:lang w:eastAsia="sk-SK"/>
        </w:rPr>
        <w:t xml:space="preserve">IVC – povinný príspevok do </w:t>
      </w:r>
      <w:proofErr w:type="spellStart"/>
      <w:r w:rsidR="00C42B62" w:rsidRPr="00C42B62">
        <w:rPr>
          <w:rFonts w:ascii="Times New Roman" w:hAnsi="Times New Roman" w:cs="Times New Roman"/>
          <w:bCs/>
          <w:sz w:val="24"/>
          <w:szCs w:val="24"/>
          <w:lang w:eastAsia="sk-SK"/>
        </w:rPr>
        <w:t>JTS</w:t>
      </w:r>
      <w:proofErr w:type="spellEnd"/>
      <w:r w:rsidRPr="00C42B62">
        <w:rPr>
          <w:rFonts w:ascii="Times New Roman" w:hAnsi="Times New Roman" w:cs="Times New Roman"/>
          <w:sz w:val="24"/>
          <w:szCs w:val="24"/>
        </w:rPr>
        <w:t>.</w:t>
      </w:r>
      <w:r w:rsidRPr="004644F3">
        <w:rPr>
          <w:rFonts w:ascii="Times New Roman" w:hAnsi="Times New Roman" w:cs="Times New Roman"/>
          <w:color w:val="FF0000"/>
          <w:sz w:val="24"/>
          <w:szCs w:val="24"/>
        </w:rPr>
        <w:t xml:space="preserve"> </w:t>
      </w:r>
      <w:r w:rsidR="009B54EA" w:rsidRPr="00722C98">
        <w:rPr>
          <w:rFonts w:ascii="Times New Roman" w:hAnsi="Times New Roman" w:cs="Times New Roman"/>
          <w:sz w:val="24"/>
          <w:szCs w:val="24"/>
        </w:rPr>
        <w:t>Komentár</w:t>
      </w:r>
      <w:r w:rsidR="0094710C" w:rsidRPr="00722C98">
        <w:rPr>
          <w:rFonts w:ascii="Times New Roman" w:hAnsi="Times New Roman" w:cs="Times New Roman"/>
          <w:sz w:val="24"/>
          <w:szCs w:val="24"/>
        </w:rPr>
        <w:t xml:space="preserve"> o čerpaní </w:t>
      </w:r>
      <w:r w:rsidR="008C39B6" w:rsidRPr="00722C98">
        <w:rPr>
          <w:rFonts w:ascii="Times New Roman" w:hAnsi="Times New Roman" w:cs="Times New Roman"/>
          <w:sz w:val="24"/>
          <w:szCs w:val="24"/>
        </w:rPr>
        <w:t xml:space="preserve">bežných </w:t>
      </w:r>
      <w:r w:rsidR="0094710C" w:rsidRPr="00722C98">
        <w:rPr>
          <w:rFonts w:ascii="Times New Roman" w:hAnsi="Times New Roman" w:cs="Times New Roman"/>
          <w:sz w:val="24"/>
          <w:szCs w:val="24"/>
        </w:rPr>
        <w:t>transferov na jednotlivé opatre</w:t>
      </w:r>
      <w:r w:rsidR="009B54EA" w:rsidRPr="00722C98">
        <w:rPr>
          <w:rFonts w:ascii="Times New Roman" w:hAnsi="Times New Roman" w:cs="Times New Roman"/>
          <w:sz w:val="24"/>
          <w:szCs w:val="24"/>
        </w:rPr>
        <w:t xml:space="preserve">nia tvorí samostatnú </w:t>
      </w:r>
      <w:r w:rsidR="0094710C" w:rsidRPr="00722C98">
        <w:rPr>
          <w:rFonts w:ascii="Times New Roman" w:hAnsi="Times New Roman" w:cs="Times New Roman"/>
          <w:sz w:val="24"/>
          <w:szCs w:val="24"/>
        </w:rPr>
        <w:t>čas</w:t>
      </w:r>
      <w:r w:rsidR="009B54EA" w:rsidRPr="00722C98">
        <w:rPr>
          <w:rFonts w:ascii="Times New Roman" w:hAnsi="Times New Roman" w:cs="Times New Roman"/>
          <w:sz w:val="24"/>
          <w:szCs w:val="24"/>
        </w:rPr>
        <w:t>ť</w:t>
      </w:r>
      <w:r w:rsidR="0094710C" w:rsidRPr="00722C98">
        <w:rPr>
          <w:rFonts w:ascii="Times New Roman" w:hAnsi="Times New Roman" w:cs="Times New Roman"/>
          <w:sz w:val="24"/>
          <w:szCs w:val="24"/>
        </w:rPr>
        <w:t xml:space="preserve">  1.3.</w:t>
      </w:r>
      <w:r w:rsidR="00634900" w:rsidRPr="00722C98">
        <w:rPr>
          <w:rFonts w:ascii="Times New Roman" w:hAnsi="Times New Roman" w:cs="Times New Roman"/>
          <w:sz w:val="24"/>
          <w:szCs w:val="24"/>
        </w:rPr>
        <w:t>3</w:t>
      </w:r>
      <w:r w:rsidR="0094710C" w:rsidRPr="00722C98">
        <w:rPr>
          <w:rFonts w:ascii="Times New Roman" w:hAnsi="Times New Roman" w:cs="Times New Roman"/>
          <w:sz w:val="24"/>
          <w:szCs w:val="24"/>
        </w:rPr>
        <w:t>.</w:t>
      </w:r>
      <w:r w:rsidR="009B54EA" w:rsidRPr="00305411">
        <w:rPr>
          <w:rFonts w:ascii="Times New Roman" w:hAnsi="Times New Roman" w:cs="Times New Roman"/>
          <w:color w:val="000000"/>
          <w:sz w:val="24"/>
          <w:szCs w:val="24"/>
        </w:rPr>
        <w:t xml:space="preserve"> </w:t>
      </w:r>
      <w:r w:rsidR="0094710C" w:rsidRPr="00305411">
        <w:rPr>
          <w:rFonts w:ascii="Times New Roman" w:hAnsi="Times New Roman" w:cs="Times New Roman"/>
          <w:sz w:val="24"/>
          <w:szCs w:val="24"/>
        </w:rPr>
        <w:t>Výdavky kapitoly hradené z európskych prostriedkov a spolufinancovania k nim.</w:t>
      </w:r>
    </w:p>
    <w:p w:rsidR="00372166" w:rsidRPr="00305411" w:rsidRDefault="00372166" w:rsidP="00305411">
      <w:pPr>
        <w:spacing w:after="0" w:line="240" w:lineRule="auto"/>
        <w:jc w:val="both"/>
        <w:rPr>
          <w:rFonts w:ascii="Times New Roman" w:hAnsi="Times New Roman" w:cs="Times New Roman"/>
          <w:b/>
          <w:bCs/>
          <w:sz w:val="24"/>
          <w:szCs w:val="24"/>
        </w:rPr>
      </w:pPr>
    </w:p>
    <w:p w:rsidR="000F02AE" w:rsidRPr="00305411" w:rsidRDefault="000F02AE" w:rsidP="00305411">
      <w:pPr>
        <w:spacing w:after="0" w:line="240" w:lineRule="auto"/>
        <w:jc w:val="both"/>
        <w:rPr>
          <w:rFonts w:ascii="Times New Roman" w:hAnsi="Times New Roman" w:cs="Times New Roman"/>
          <w:sz w:val="24"/>
          <w:szCs w:val="24"/>
        </w:rPr>
      </w:pPr>
      <w:r w:rsidRPr="00305411">
        <w:rPr>
          <w:rFonts w:ascii="Times New Roman" w:hAnsi="Times New Roman" w:cs="Times New Roman"/>
          <w:b/>
          <w:bCs/>
          <w:sz w:val="24"/>
          <w:szCs w:val="24"/>
        </w:rPr>
        <w:t>Kategória 700 -</w:t>
      </w:r>
      <w:r w:rsidR="00F219E1" w:rsidRPr="00305411">
        <w:rPr>
          <w:rFonts w:ascii="Times New Roman" w:hAnsi="Times New Roman" w:cs="Times New Roman"/>
          <w:b/>
          <w:bCs/>
          <w:sz w:val="24"/>
          <w:szCs w:val="24"/>
        </w:rPr>
        <w:t xml:space="preserve"> </w:t>
      </w:r>
      <w:r w:rsidRPr="00305411">
        <w:rPr>
          <w:rFonts w:ascii="Times New Roman" w:hAnsi="Times New Roman" w:cs="Times New Roman"/>
          <w:b/>
          <w:bCs/>
          <w:sz w:val="24"/>
          <w:szCs w:val="24"/>
        </w:rPr>
        <w:t xml:space="preserve">Kapitálové výdavky </w:t>
      </w:r>
    </w:p>
    <w:p w:rsidR="000F02AE" w:rsidRPr="00305411" w:rsidRDefault="000F02AE" w:rsidP="00305411">
      <w:pPr>
        <w:spacing w:after="0" w:line="240" w:lineRule="auto"/>
        <w:jc w:val="both"/>
        <w:rPr>
          <w:rFonts w:ascii="Times New Roman" w:hAnsi="Times New Roman" w:cs="Times New Roman"/>
          <w:sz w:val="24"/>
          <w:szCs w:val="24"/>
        </w:rPr>
      </w:pPr>
    </w:p>
    <w:p w:rsidR="000F02AE" w:rsidRPr="003F443F" w:rsidRDefault="004644F3" w:rsidP="000A6B13">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3F443F">
        <w:rPr>
          <w:rFonts w:ascii="Times New Roman" w:hAnsi="Times New Roman" w:cs="Times New Roman"/>
          <w:sz w:val="24"/>
          <w:szCs w:val="24"/>
        </w:rPr>
        <w:t xml:space="preserve">Schválený rozpočet </w:t>
      </w:r>
      <w:r w:rsidR="004F7BE3" w:rsidRPr="003F443F">
        <w:rPr>
          <w:rFonts w:ascii="Times New Roman" w:hAnsi="Times New Roman" w:cs="Times New Roman"/>
          <w:sz w:val="24"/>
          <w:szCs w:val="24"/>
        </w:rPr>
        <w:t>kapitálových výdavkov</w:t>
      </w:r>
      <w:r w:rsidRPr="003F443F">
        <w:rPr>
          <w:rFonts w:ascii="Times New Roman" w:hAnsi="Times New Roman" w:cs="Times New Roman"/>
          <w:sz w:val="24"/>
          <w:szCs w:val="24"/>
        </w:rPr>
        <w:t xml:space="preserve"> v </w:t>
      </w:r>
      <w:r w:rsidR="000F277A" w:rsidRPr="003F443F">
        <w:rPr>
          <w:rFonts w:ascii="Times New Roman" w:hAnsi="Times New Roman" w:cs="Times New Roman"/>
          <w:sz w:val="24"/>
          <w:szCs w:val="24"/>
        </w:rPr>
        <w:t>sume</w:t>
      </w:r>
      <w:r w:rsidRPr="003F443F">
        <w:rPr>
          <w:rFonts w:ascii="Times New Roman" w:hAnsi="Times New Roman" w:cs="Times New Roman"/>
          <w:sz w:val="24"/>
          <w:szCs w:val="24"/>
        </w:rPr>
        <w:t xml:space="preserve"> </w:t>
      </w:r>
      <w:r w:rsidRPr="003F443F">
        <w:rPr>
          <w:rFonts w:ascii="Times New Roman" w:hAnsi="Times New Roman" w:cs="Times New Roman"/>
          <w:sz w:val="24"/>
          <w:szCs w:val="24"/>
          <w:lang w:eastAsia="sk-SK"/>
        </w:rPr>
        <w:t xml:space="preserve">180 214 883,00 </w:t>
      </w:r>
      <w:r w:rsidR="004F7BE3" w:rsidRPr="003F443F">
        <w:rPr>
          <w:rFonts w:ascii="Times New Roman" w:hAnsi="Times New Roman" w:cs="Times New Roman"/>
          <w:sz w:val="24"/>
          <w:szCs w:val="24"/>
        </w:rPr>
        <w:t xml:space="preserve"> bol rozpočtovými opatreniami </w:t>
      </w:r>
      <w:r w:rsidR="00722C98">
        <w:rPr>
          <w:rFonts w:ascii="Times New Roman" w:hAnsi="Times New Roman" w:cs="Times New Roman"/>
          <w:sz w:val="24"/>
          <w:szCs w:val="24"/>
        </w:rPr>
        <w:t xml:space="preserve">MF SR </w:t>
      </w:r>
      <w:r w:rsidR="004F7BE3" w:rsidRPr="003F443F">
        <w:rPr>
          <w:rFonts w:ascii="Times New Roman" w:hAnsi="Times New Roman" w:cs="Times New Roman"/>
          <w:sz w:val="24"/>
          <w:szCs w:val="24"/>
        </w:rPr>
        <w:t xml:space="preserve">upravený na </w:t>
      </w:r>
      <w:r w:rsidR="000F277A" w:rsidRPr="003F443F">
        <w:rPr>
          <w:rFonts w:ascii="Times New Roman" w:hAnsi="Times New Roman" w:cs="Times New Roman"/>
          <w:sz w:val="24"/>
          <w:szCs w:val="24"/>
        </w:rPr>
        <w:t>sumu</w:t>
      </w:r>
      <w:r w:rsidR="00AF112B" w:rsidRPr="003F443F">
        <w:rPr>
          <w:rFonts w:ascii="Times New Roman" w:hAnsi="Times New Roman" w:cs="Times New Roman"/>
          <w:sz w:val="24"/>
          <w:szCs w:val="24"/>
        </w:rPr>
        <w:t xml:space="preserve"> </w:t>
      </w:r>
      <w:r w:rsidR="000A6B13" w:rsidRPr="003F443F">
        <w:rPr>
          <w:rFonts w:ascii="Times New Roman" w:hAnsi="Times New Roman" w:cs="Times New Roman"/>
          <w:sz w:val="24"/>
          <w:szCs w:val="24"/>
        </w:rPr>
        <w:t>208 465 701,16</w:t>
      </w:r>
      <w:r w:rsidR="00AF112B" w:rsidRPr="003F443F">
        <w:rPr>
          <w:rFonts w:ascii="Times New Roman" w:hAnsi="Times New Roman" w:cs="Times New Roman"/>
          <w:sz w:val="24"/>
          <w:szCs w:val="24"/>
        </w:rPr>
        <w:t xml:space="preserve"> </w:t>
      </w:r>
      <w:r w:rsidR="00AF112B" w:rsidRPr="003F443F">
        <w:rPr>
          <w:rFonts w:ascii="Times New Roman" w:hAnsi="Times New Roman" w:cs="Times New Roman"/>
          <w:sz w:val="24"/>
          <w:szCs w:val="24"/>
          <w:lang w:eastAsia="sk-SK"/>
        </w:rPr>
        <w:t>e</w:t>
      </w:r>
      <w:r w:rsidR="000F02AE" w:rsidRPr="003F443F">
        <w:rPr>
          <w:rFonts w:ascii="Times New Roman" w:hAnsi="Times New Roman" w:cs="Times New Roman"/>
          <w:sz w:val="24"/>
          <w:szCs w:val="24"/>
        </w:rPr>
        <w:t xml:space="preserve">ur </w:t>
      </w:r>
      <w:r w:rsidR="004F7BE3" w:rsidRPr="003F443F">
        <w:rPr>
          <w:rFonts w:ascii="Times New Roman" w:hAnsi="Times New Roman" w:cs="Times New Roman"/>
          <w:sz w:val="24"/>
          <w:szCs w:val="24"/>
        </w:rPr>
        <w:t xml:space="preserve"> </w:t>
      </w:r>
      <w:r w:rsidR="000F02AE" w:rsidRPr="003F443F">
        <w:rPr>
          <w:rFonts w:ascii="Times New Roman" w:hAnsi="Times New Roman" w:cs="Times New Roman"/>
          <w:sz w:val="24"/>
          <w:szCs w:val="24"/>
        </w:rPr>
        <w:t>a v  rok</w:t>
      </w:r>
      <w:r w:rsidR="004F7BE3" w:rsidRPr="003F443F">
        <w:rPr>
          <w:rFonts w:ascii="Times New Roman" w:hAnsi="Times New Roman" w:cs="Times New Roman"/>
          <w:sz w:val="24"/>
          <w:szCs w:val="24"/>
        </w:rPr>
        <w:t>u</w:t>
      </w:r>
      <w:r w:rsidR="000F02AE" w:rsidRPr="003F443F">
        <w:rPr>
          <w:rFonts w:ascii="Times New Roman" w:hAnsi="Times New Roman" w:cs="Times New Roman"/>
          <w:sz w:val="24"/>
          <w:szCs w:val="24"/>
        </w:rPr>
        <w:t xml:space="preserve"> 201</w:t>
      </w:r>
      <w:r w:rsidRPr="003F443F">
        <w:rPr>
          <w:rFonts w:ascii="Times New Roman" w:hAnsi="Times New Roman" w:cs="Times New Roman"/>
          <w:sz w:val="24"/>
          <w:szCs w:val="24"/>
        </w:rPr>
        <w:t>5</w:t>
      </w:r>
      <w:r w:rsidR="004F7BE3" w:rsidRPr="003F443F">
        <w:rPr>
          <w:rFonts w:ascii="Times New Roman" w:hAnsi="Times New Roman" w:cs="Times New Roman"/>
          <w:sz w:val="24"/>
          <w:szCs w:val="24"/>
        </w:rPr>
        <w:t xml:space="preserve"> bol </w:t>
      </w:r>
      <w:r w:rsidR="000F02AE" w:rsidRPr="003F443F">
        <w:rPr>
          <w:rFonts w:ascii="Times New Roman" w:hAnsi="Times New Roman" w:cs="Times New Roman"/>
          <w:sz w:val="24"/>
          <w:szCs w:val="24"/>
        </w:rPr>
        <w:t xml:space="preserve"> vyčerpa</w:t>
      </w:r>
      <w:r w:rsidR="004F7BE3" w:rsidRPr="003F443F">
        <w:rPr>
          <w:rFonts w:ascii="Times New Roman" w:hAnsi="Times New Roman" w:cs="Times New Roman"/>
          <w:sz w:val="24"/>
          <w:szCs w:val="24"/>
        </w:rPr>
        <w:t>ný</w:t>
      </w:r>
      <w:r w:rsidR="000F02AE" w:rsidRPr="003F443F">
        <w:rPr>
          <w:rFonts w:ascii="Times New Roman" w:hAnsi="Times New Roman" w:cs="Times New Roman"/>
          <w:sz w:val="24"/>
          <w:szCs w:val="24"/>
        </w:rPr>
        <w:t xml:space="preserve"> v</w:t>
      </w:r>
      <w:r w:rsidR="00722C98">
        <w:rPr>
          <w:rFonts w:ascii="Times New Roman" w:hAnsi="Times New Roman" w:cs="Times New Roman"/>
          <w:sz w:val="24"/>
          <w:szCs w:val="24"/>
        </w:rPr>
        <w:t> </w:t>
      </w:r>
      <w:r w:rsidRPr="003F443F">
        <w:rPr>
          <w:rFonts w:ascii="Times New Roman" w:hAnsi="Times New Roman" w:cs="Times New Roman"/>
          <w:sz w:val="24"/>
          <w:szCs w:val="24"/>
        </w:rPr>
        <w:t>sume</w:t>
      </w:r>
      <w:r w:rsidR="00722C98">
        <w:rPr>
          <w:rFonts w:ascii="Times New Roman" w:hAnsi="Times New Roman" w:cs="Times New Roman"/>
          <w:sz w:val="24"/>
          <w:szCs w:val="24"/>
        </w:rPr>
        <w:t xml:space="preserve"> </w:t>
      </w:r>
      <w:r w:rsidR="000A6B13" w:rsidRPr="003F443F">
        <w:rPr>
          <w:rFonts w:ascii="Times New Roman" w:hAnsi="Times New Roman" w:cs="Times New Roman"/>
          <w:sz w:val="24"/>
          <w:szCs w:val="24"/>
          <w:lang w:eastAsia="sk-SK"/>
        </w:rPr>
        <w:t>208 465 107,03</w:t>
      </w:r>
      <w:r w:rsidR="00AF112B" w:rsidRPr="003F443F">
        <w:rPr>
          <w:rFonts w:ascii="Times New Roman" w:hAnsi="Times New Roman" w:cs="Times New Roman"/>
          <w:sz w:val="24"/>
          <w:szCs w:val="24"/>
          <w:lang w:eastAsia="sk-SK"/>
        </w:rPr>
        <w:t xml:space="preserve"> </w:t>
      </w:r>
      <w:r w:rsidR="00AF112B" w:rsidRPr="003F443F">
        <w:rPr>
          <w:rFonts w:ascii="Times New Roman" w:hAnsi="Times New Roman" w:cs="Times New Roman"/>
          <w:sz w:val="24"/>
          <w:szCs w:val="24"/>
        </w:rPr>
        <w:t>e</w:t>
      </w:r>
      <w:r w:rsidR="000F02AE" w:rsidRPr="003F443F">
        <w:rPr>
          <w:rFonts w:ascii="Times New Roman" w:hAnsi="Times New Roman" w:cs="Times New Roman"/>
          <w:sz w:val="24"/>
          <w:szCs w:val="24"/>
        </w:rPr>
        <w:t>ur, t.j. na</w:t>
      </w:r>
      <w:r w:rsidR="000A6B13" w:rsidRPr="003F443F">
        <w:rPr>
          <w:rFonts w:ascii="Times New Roman" w:hAnsi="Times New Roman" w:cs="Times New Roman"/>
          <w:sz w:val="24"/>
          <w:szCs w:val="24"/>
        </w:rPr>
        <w:t xml:space="preserve"> 99,99</w:t>
      </w:r>
      <w:r w:rsidR="000F02AE" w:rsidRPr="003F443F">
        <w:rPr>
          <w:rFonts w:ascii="Times New Roman" w:hAnsi="Times New Roman" w:cs="Times New Roman"/>
          <w:sz w:val="24"/>
          <w:szCs w:val="24"/>
        </w:rPr>
        <w:t xml:space="preserve"> %</w:t>
      </w:r>
      <w:r w:rsidR="003E3CCA">
        <w:rPr>
          <w:rFonts w:ascii="Times New Roman" w:hAnsi="Times New Roman" w:cs="Times New Roman"/>
          <w:sz w:val="24"/>
          <w:szCs w:val="24"/>
        </w:rPr>
        <w:t xml:space="preserve"> z upraveného rozpočtu</w:t>
      </w:r>
      <w:r w:rsidR="000F02AE" w:rsidRPr="003F443F">
        <w:rPr>
          <w:rFonts w:ascii="Times New Roman" w:hAnsi="Times New Roman" w:cs="Times New Roman"/>
          <w:sz w:val="24"/>
          <w:szCs w:val="24"/>
        </w:rPr>
        <w:t xml:space="preserve">. </w:t>
      </w:r>
    </w:p>
    <w:p w:rsidR="000F02AE" w:rsidRPr="000A6B13" w:rsidRDefault="000F02AE" w:rsidP="00305411">
      <w:pPr>
        <w:spacing w:after="0" w:line="240" w:lineRule="auto"/>
        <w:ind w:firstLine="540"/>
        <w:jc w:val="both"/>
        <w:rPr>
          <w:rFonts w:ascii="Times New Roman" w:hAnsi="Times New Roman" w:cs="Times New Roman"/>
          <w:color w:val="00FF00"/>
          <w:sz w:val="24"/>
          <w:szCs w:val="24"/>
        </w:rPr>
      </w:pPr>
    </w:p>
    <w:p w:rsidR="000F02AE" w:rsidRPr="00305411" w:rsidRDefault="000F02AE" w:rsidP="00305411">
      <w:pPr>
        <w:spacing w:after="0" w:line="240" w:lineRule="auto"/>
        <w:jc w:val="both"/>
        <w:rPr>
          <w:rFonts w:ascii="Times New Roman" w:hAnsi="Times New Roman" w:cs="Times New Roman"/>
          <w:sz w:val="24"/>
          <w:szCs w:val="24"/>
        </w:rPr>
      </w:pPr>
      <w:r w:rsidRPr="00305411">
        <w:rPr>
          <w:rFonts w:ascii="Times New Roman" w:hAnsi="Times New Roman" w:cs="Times New Roman"/>
          <w:sz w:val="24"/>
          <w:szCs w:val="24"/>
        </w:rPr>
        <w:t>Čerpanie kapitálových výdavkov v jednotlivých ekonomických kategóriách je nasledovné:</w:t>
      </w:r>
    </w:p>
    <w:p w:rsidR="000275A9" w:rsidRPr="007D774A" w:rsidRDefault="001A2511" w:rsidP="000275A9">
      <w:pPr>
        <w:spacing w:after="0" w:line="240" w:lineRule="auto"/>
        <w:ind w:firstLine="540"/>
        <w:jc w:val="right"/>
        <w:rPr>
          <w:rFonts w:ascii="Times New Roman" w:hAnsi="Times New Roman" w:cs="Times New Roman"/>
          <w:sz w:val="24"/>
          <w:szCs w:val="24"/>
        </w:rPr>
      </w:pP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Pr="00305411">
        <w:rPr>
          <w:rFonts w:ascii="Times New Roman" w:hAnsi="Times New Roman" w:cs="Times New Roman"/>
          <w:color w:val="00FF00"/>
          <w:sz w:val="24"/>
          <w:szCs w:val="24"/>
        </w:rPr>
        <w:tab/>
      </w:r>
      <w:r w:rsidR="000275A9" w:rsidRPr="000275A9">
        <w:rPr>
          <w:rFonts w:ascii="Times New Roman" w:hAnsi="Times New Roman" w:cs="Times New Roman"/>
          <w:sz w:val="24"/>
          <w:szCs w:val="24"/>
        </w:rPr>
        <w:t>v</w:t>
      </w:r>
      <w:r w:rsidR="000275A9" w:rsidRPr="00E91F66">
        <w:rPr>
          <w:rFonts w:ascii="Times New Roman" w:hAnsi="Times New Roman" w:cs="Times New Roman"/>
          <w:sz w:val="24"/>
          <w:szCs w:val="24"/>
        </w:rPr>
        <w:t xml:space="preserve"> eur</w:t>
      </w:r>
      <w:r w:rsidR="000275A9">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701"/>
        <w:gridCol w:w="1701"/>
        <w:gridCol w:w="1701"/>
        <w:gridCol w:w="1275"/>
      </w:tblGrid>
      <w:tr w:rsidR="0059693B" w:rsidRPr="00EB7D9D" w:rsidTr="00AD2D46">
        <w:trPr>
          <w:trHeight w:val="685"/>
        </w:trPr>
        <w:tc>
          <w:tcPr>
            <w:tcW w:w="2694" w:type="dxa"/>
            <w:shd w:val="clear" w:color="auto" w:fill="auto"/>
          </w:tcPr>
          <w:p w:rsidR="0059693B" w:rsidRPr="00EB7D9D" w:rsidRDefault="0059693B" w:rsidP="00305411">
            <w:pPr>
              <w:spacing w:after="0" w:line="240" w:lineRule="auto"/>
              <w:jc w:val="both"/>
              <w:rPr>
                <w:rFonts w:ascii="Times New Roman" w:eastAsia="Times New Roman" w:hAnsi="Times New Roman" w:cs="Times New Roman"/>
                <w:b/>
              </w:rPr>
            </w:pPr>
            <w:r w:rsidRPr="00EB7D9D">
              <w:rPr>
                <w:rFonts w:ascii="Times New Roman" w:eastAsia="Times New Roman" w:hAnsi="Times New Roman" w:cs="Times New Roman"/>
                <w:b/>
              </w:rPr>
              <w:t>Ekonomická</w:t>
            </w:r>
          </w:p>
          <w:p w:rsidR="0059693B" w:rsidRPr="00EB7D9D" w:rsidRDefault="0059693B" w:rsidP="00305411">
            <w:pPr>
              <w:spacing w:after="0" w:line="240" w:lineRule="auto"/>
              <w:jc w:val="both"/>
              <w:rPr>
                <w:rFonts w:ascii="Times New Roman" w:eastAsia="Times New Roman" w:hAnsi="Times New Roman" w:cs="Times New Roman"/>
                <w:b/>
              </w:rPr>
            </w:pPr>
            <w:r w:rsidRPr="00EB7D9D">
              <w:rPr>
                <w:rFonts w:ascii="Times New Roman" w:eastAsia="Times New Roman" w:hAnsi="Times New Roman" w:cs="Times New Roman"/>
                <w:b/>
              </w:rPr>
              <w:t>klasifikácia</w:t>
            </w:r>
          </w:p>
        </w:tc>
        <w:tc>
          <w:tcPr>
            <w:tcW w:w="1701" w:type="dxa"/>
            <w:shd w:val="clear" w:color="auto" w:fill="auto"/>
          </w:tcPr>
          <w:p w:rsidR="0059693B" w:rsidRPr="00EB7D9D" w:rsidRDefault="0059693B" w:rsidP="0059693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Schválený</w:t>
            </w:r>
          </w:p>
          <w:p w:rsidR="0059693B" w:rsidRPr="00EB7D9D" w:rsidRDefault="0059693B" w:rsidP="0059693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rozpočet k 1.1.2015</w:t>
            </w:r>
          </w:p>
        </w:tc>
        <w:tc>
          <w:tcPr>
            <w:tcW w:w="1701" w:type="dxa"/>
            <w:shd w:val="clear" w:color="auto" w:fill="auto"/>
          </w:tcPr>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Upravený</w:t>
            </w:r>
          </w:p>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rozpočet k 31.12.2015</w:t>
            </w:r>
          </w:p>
        </w:tc>
        <w:tc>
          <w:tcPr>
            <w:tcW w:w="1701" w:type="dxa"/>
            <w:shd w:val="clear" w:color="auto" w:fill="auto"/>
          </w:tcPr>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Čerpanie k</w:t>
            </w:r>
          </w:p>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31.12.2015</w:t>
            </w:r>
          </w:p>
        </w:tc>
        <w:tc>
          <w:tcPr>
            <w:tcW w:w="1275" w:type="dxa"/>
            <w:shd w:val="clear" w:color="auto" w:fill="auto"/>
          </w:tcPr>
          <w:p w:rsidR="0059693B" w:rsidRPr="00EB7D9D" w:rsidRDefault="0059693B" w:rsidP="00D35D8B">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 čerpania k uprav. rozpočtu</w:t>
            </w:r>
          </w:p>
        </w:tc>
      </w:tr>
      <w:tr w:rsidR="001A2511" w:rsidRPr="00EB7D9D" w:rsidTr="00AD2D46">
        <w:tc>
          <w:tcPr>
            <w:tcW w:w="2694" w:type="dxa"/>
            <w:shd w:val="clear" w:color="auto" w:fill="auto"/>
          </w:tcPr>
          <w:p w:rsidR="001A2511" w:rsidRPr="00EB7D9D" w:rsidRDefault="00AA1E26" w:rsidP="00305411">
            <w:pPr>
              <w:spacing w:after="0" w:line="240" w:lineRule="auto"/>
              <w:jc w:val="both"/>
              <w:rPr>
                <w:rFonts w:ascii="Times New Roman" w:eastAsia="Times New Roman" w:hAnsi="Times New Roman" w:cs="Times New Roman"/>
              </w:rPr>
            </w:pPr>
            <w:r w:rsidRPr="00EB7D9D">
              <w:rPr>
                <w:rFonts w:ascii="Times New Roman" w:eastAsia="Times New Roman" w:hAnsi="Times New Roman" w:cs="Times New Roman"/>
              </w:rPr>
              <w:t>7</w:t>
            </w:r>
            <w:r w:rsidR="001A2511" w:rsidRPr="00EB7D9D">
              <w:rPr>
                <w:rFonts w:ascii="Times New Roman" w:eastAsia="Times New Roman" w:hAnsi="Times New Roman" w:cs="Times New Roman"/>
              </w:rPr>
              <w:t xml:space="preserve">10 </w:t>
            </w:r>
            <w:r w:rsidRPr="00EB7D9D">
              <w:rPr>
                <w:rFonts w:ascii="Times New Roman" w:eastAsia="Times New Roman" w:hAnsi="Times New Roman" w:cs="Times New Roman"/>
              </w:rPr>
              <w:t>–</w:t>
            </w:r>
            <w:r w:rsidR="001A2511" w:rsidRPr="00EB7D9D">
              <w:rPr>
                <w:rFonts w:ascii="Times New Roman" w:eastAsia="Times New Roman" w:hAnsi="Times New Roman" w:cs="Times New Roman"/>
              </w:rPr>
              <w:t xml:space="preserve"> </w:t>
            </w:r>
            <w:r w:rsidRPr="00EB7D9D">
              <w:rPr>
                <w:rFonts w:ascii="Times New Roman" w:eastAsia="Times New Roman" w:hAnsi="Times New Roman" w:cs="Times New Roman"/>
              </w:rPr>
              <w:t>obstarávanie kapitálových aktív</w:t>
            </w:r>
          </w:p>
        </w:tc>
        <w:tc>
          <w:tcPr>
            <w:tcW w:w="1701" w:type="dxa"/>
            <w:shd w:val="clear" w:color="auto" w:fill="auto"/>
          </w:tcPr>
          <w:p w:rsidR="00761A04" w:rsidRPr="00EB7D9D" w:rsidRDefault="00761A04" w:rsidP="00EB7D9D">
            <w:pPr>
              <w:autoSpaceDE w:val="0"/>
              <w:autoSpaceDN w:val="0"/>
              <w:adjustRightInd w:val="0"/>
              <w:spacing w:after="0" w:line="240" w:lineRule="auto"/>
              <w:jc w:val="right"/>
              <w:rPr>
                <w:rFonts w:ascii="Times New Roman" w:hAnsi="Times New Roman" w:cs="Times New Roman"/>
                <w:lang w:eastAsia="sk-SK"/>
              </w:rPr>
            </w:pPr>
          </w:p>
          <w:p w:rsidR="00AA1E26" w:rsidRPr="00EB7D9D" w:rsidRDefault="00761A04" w:rsidP="00EB7D9D">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1 594 200,00</w:t>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hAnsi="Times New Roman" w:cs="Times New Roman"/>
                <w:lang w:eastAsia="sk-SK"/>
              </w:rPr>
            </w:pPr>
          </w:p>
          <w:p w:rsidR="00EB7D9D" w:rsidRPr="00EB7D9D" w:rsidRDefault="00EB7D9D" w:rsidP="00EB7D9D">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5 888 832,68</w:t>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hAnsi="Times New Roman" w:cs="Times New Roman"/>
                <w:lang w:eastAsia="sk-SK"/>
              </w:rPr>
            </w:pPr>
          </w:p>
          <w:p w:rsidR="00EB7D9D" w:rsidRPr="00EB7D9D" w:rsidRDefault="00EB7D9D" w:rsidP="00EB7D9D">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5 888 238,55</w:t>
            </w:r>
          </w:p>
        </w:tc>
        <w:tc>
          <w:tcPr>
            <w:tcW w:w="1275" w:type="dxa"/>
            <w:shd w:val="clear" w:color="auto" w:fill="auto"/>
          </w:tcPr>
          <w:p w:rsidR="00AA1E26" w:rsidRPr="00EB7D9D" w:rsidRDefault="00AA1E26" w:rsidP="00305411">
            <w:pPr>
              <w:spacing w:after="0" w:line="240" w:lineRule="auto"/>
              <w:jc w:val="center"/>
              <w:rPr>
                <w:rFonts w:ascii="Times New Roman" w:eastAsia="Times New Roman" w:hAnsi="Times New Roman" w:cs="Times New Roman"/>
              </w:rPr>
            </w:pPr>
          </w:p>
          <w:p w:rsidR="00EB7D9D" w:rsidRPr="00EB7D9D" w:rsidRDefault="00EB7D9D" w:rsidP="00305411">
            <w:pPr>
              <w:spacing w:after="0" w:line="240" w:lineRule="auto"/>
              <w:jc w:val="center"/>
              <w:rPr>
                <w:rFonts w:ascii="Times New Roman" w:eastAsia="Times New Roman" w:hAnsi="Times New Roman" w:cs="Times New Roman"/>
              </w:rPr>
            </w:pPr>
            <w:r w:rsidRPr="00EB7D9D">
              <w:rPr>
                <w:rFonts w:ascii="Times New Roman" w:eastAsia="Times New Roman" w:hAnsi="Times New Roman" w:cs="Times New Roman"/>
              </w:rPr>
              <w:t>99,99</w:t>
            </w:r>
          </w:p>
        </w:tc>
      </w:tr>
      <w:tr w:rsidR="001A2511" w:rsidRPr="00EB7D9D" w:rsidTr="00AD2D46">
        <w:tc>
          <w:tcPr>
            <w:tcW w:w="2694" w:type="dxa"/>
            <w:shd w:val="clear" w:color="auto" w:fill="auto"/>
          </w:tcPr>
          <w:p w:rsidR="001A2511" w:rsidRPr="00EB7D9D" w:rsidRDefault="00AA1E26" w:rsidP="00305411">
            <w:pPr>
              <w:spacing w:after="0" w:line="240" w:lineRule="auto"/>
              <w:jc w:val="both"/>
              <w:rPr>
                <w:rFonts w:ascii="Times New Roman" w:eastAsia="Times New Roman" w:hAnsi="Times New Roman" w:cs="Times New Roman"/>
              </w:rPr>
            </w:pPr>
            <w:r w:rsidRPr="00EB7D9D">
              <w:rPr>
                <w:rFonts w:ascii="Times New Roman" w:eastAsia="Times New Roman" w:hAnsi="Times New Roman" w:cs="Times New Roman"/>
              </w:rPr>
              <w:t>7</w:t>
            </w:r>
            <w:r w:rsidR="001A2511" w:rsidRPr="00EB7D9D">
              <w:rPr>
                <w:rFonts w:ascii="Times New Roman" w:eastAsia="Times New Roman" w:hAnsi="Times New Roman" w:cs="Times New Roman"/>
              </w:rPr>
              <w:t xml:space="preserve">20 </w:t>
            </w:r>
            <w:r w:rsidRPr="00EB7D9D">
              <w:rPr>
                <w:rFonts w:ascii="Times New Roman" w:eastAsia="Times New Roman" w:hAnsi="Times New Roman" w:cs="Times New Roman"/>
              </w:rPr>
              <w:t>–</w:t>
            </w:r>
            <w:r w:rsidR="001A2511" w:rsidRPr="00EB7D9D">
              <w:rPr>
                <w:rFonts w:ascii="Times New Roman" w:eastAsia="Times New Roman" w:hAnsi="Times New Roman" w:cs="Times New Roman"/>
              </w:rPr>
              <w:t xml:space="preserve"> </w:t>
            </w:r>
            <w:r w:rsidRPr="00EB7D9D">
              <w:rPr>
                <w:rFonts w:ascii="Times New Roman" w:eastAsia="Times New Roman" w:hAnsi="Times New Roman" w:cs="Times New Roman"/>
              </w:rPr>
              <w:t>kapitálové transfery</w:t>
            </w:r>
          </w:p>
        </w:tc>
        <w:tc>
          <w:tcPr>
            <w:tcW w:w="1701" w:type="dxa"/>
            <w:shd w:val="clear" w:color="auto" w:fill="auto"/>
          </w:tcPr>
          <w:p w:rsidR="00AA1E26" w:rsidRPr="00EB7D9D" w:rsidRDefault="00761A04" w:rsidP="00EB7D9D">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178 620 683,00</w:t>
            </w:r>
          </w:p>
        </w:tc>
        <w:tc>
          <w:tcPr>
            <w:tcW w:w="1701" w:type="dxa"/>
            <w:shd w:val="clear" w:color="auto" w:fill="auto"/>
          </w:tcPr>
          <w:p w:rsidR="00AA1E26" w:rsidRPr="00EB7D9D" w:rsidRDefault="00EB7D9D" w:rsidP="00EB7D9D">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202 576 868,48</w:t>
            </w:r>
          </w:p>
        </w:tc>
        <w:tc>
          <w:tcPr>
            <w:tcW w:w="1701" w:type="dxa"/>
            <w:shd w:val="clear" w:color="auto" w:fill="auto"/>
          </w:tcPr>
          <w:p w:rsidR="00AA1E26" w:rsidRPr="00EB7D9D" w:rsidRDefault="00EB7D9D" w:rsidP="00EB7D9D">
            <w:pPr>
              <w:autoSpaceDE w:val="0"/>
              <w:autoSpaceDN w:val="0"/>
              <w:adjustRightInd w:val="0"/>
              <w:spacing w:after="0" w:line="240" w:lineRule="auto"/>
              <w:jc w:val="right"/>
              <w:rPr>
                <w:rFonts w:ascii="Times New Roman" w:hAnsi="Times New Roman" w:cs="Times New Roman"/>
                <w:lang w:eastAsia="sk-SK"/>
              </w:rPr>
            </w:pPr>
            <w:r w:rsidRPr="00EB7D9D">
              <w:rPr>
                <w:rFonts w:ascii="Times New Roman" w:hAnsi="Times New Roman" w:cs="Times New Roman"/>
                <w:lang w:eastAsia="sk-SK"/>
              </w:rPr>
              <w:t>202 576 868,48</w:t>
            </w:r>
          </w:p>
        </w:tc>
        <w:tc>
          <w:tcPr>
            <w:tcW w:w="1275" w:type="dxa"/>
            <w:shd w:val="clear" w:color="auto" w:fill="auto"/>
          </w:tcPr>
          <w:p w:rsidR="00AA1E26" w:rsidRPr="00EB7D9D" w:rsidRDefault="00EB7D9D" w:rsidP="00305411">
            <w:pPr>
              <w:spacing w:after="0" w:line="240" w:lineRule="auto"/>
              <w:jc w:val="center"/>
              <w:rPr>
                <w:rFonts w:ascii="Times New Roman" w:eastAsia="Times New Roman" w:hAnsi="Times New Roman" w:cs="Times New Roman"/>
              </w:rPr>
            </w:pPr>
            <w:r w:rsidRPr="00EB7D9D">
              <w:rPr>
                <w:rFonts w:ascii="Times New Roman" w:eastAsia="Times New Roman" w:hAnsi="Times New Roman" w:cs="Times New Roman"/>
              </w:rPr>
              <w:t>100,00</w:t>
            </w:r>
          </w:p>
        </w:tc>
      </w:tr>
      <w:tr w:rsidR="001A2511" w:rsidRPr="00EB7D9D" w:rsidTr="00AD2D46">
        <w:tc>
          <w:tcPr>
            <w:tcW w:w="2694" w:type="dxa"/>
            <w:shd w:val="clear" w:color="auto" w:fill="auto"/>
          </w:tcPr>
          <w:p w:rsidR="001A2511" w:rsidRPr="00EB7D9D" w:rsidRDefault="001A2511" w:rsidP="00305411">
            <w:pPr>
              <w:spacing w:after="0" w:line="240" w:lineRule="auto"/>
              <w:jc w:val="both"/>
              <w:rPr>
                <w:rFonts w:ascii="Times New Roman" w:eastAsia="Times New Roman" w:hAnsi="Times New Roman" w:cs="Times New Roman"/>
                <w:b/>
              </w:rPr>
            </w:pPr>
            <w:r w:rsidRPr="00EB7D9D">
              <w:rPr>
                <w:rFonts w:ascii="Times New Roman" w:eastAsia="Times New Roman" w:hAnsi="Times New Roman" w:cs="Times New Roman"/>
                <w:b/>
              </w:rPr>
              <w:t xml:space="preserve">Spolu </w:t>
            </w:r>
            <w:r w:rsidR="00AA1E26" w:rsidRPr="00EB7D9D">
              <w:rPr>
                <w:rFonts w:ascii="Times New Roman" w:eastAsia="Times New Roman" w:hAnsi="Times New Roman" w:cs="Times New Roman"/>
                <w:b/>
              </w:rPr>
              <w:t>7</w:t>
            </w:r>
            <w:r w:rsidRPr="00EB7D9D">
              <w:rPr>
                <w:rFonts w:ascii="Times New Roman" w:eastAsia="Times New Roman" w:hAnsi="Times New Roman" w:cs="Times New Roman"/>
                <w:b/>
              </w:rPr>
              <w:t xml:space="preserve">00 - </w:t>
            </w:r>
            <w:r w:rsidR="00AA1E26" w:rsidRPr="00EB7D9D">
              <w:rPr>
                <w:rFonts w:ascii="Times New Roman" w:eastAsia="Times New Roman" w:hAnsi="Times New Roman" w:cs="Times New Roman"/>
                <w:b/>
              </w:rPr>
              <w:t>kapitálové</w:t>
            </w:r>
            <w:r w:rsidRPr="00EB7D9D">
              <w:rPr>
                <w:rFonts w:ascii="Times New Roman" w:eastAsia="Times New Roman" w:hAnsi="Times New Roman" w:cs="Times New Roman"/>
                <w:b/>
              </w:rPr>
              <w:t xml:space="preserve"> výdavky</w:t>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eastAsia="Times New Roman" w:hAnsi="Times New Roman" w:cs="Times New Roman"/>
                <w:b/>
                <w:lang w:eastAsia="sk-SK"/>
              </w:rPr>
            </w:pPr>
          </w:p>
          <w:p w:rsidR="004644F3" w:rsidRPr="00EB7D9D" w:rsidRDefault="004644F3" w:rsidP="00EB7D9D">
            <w:pPr>
              <w:autoSpaceDE w:val="0"/>
              <w:autoSpaceDN w:val="0"/>
              <w:adjustRightInd w:val="0"/>
              <w:spacing w:after="0" w:line="240" w:lineRule="auto"/>
              <w:jc w:val="right"/>
              <w:rPr>
                <w:rFonts w:ascii="Times New Roman" w:hAnsi="Times New Roman" w:cs="Times New Roman"/>
                <w:b/>
                <w:lang w:eastAsia="sk-SK"/>
              </w:rPr>
            </w:pPr>
            <w:r w:rsidRPr="00EB7D9D">
              <w:rPr>
                <w:rFonts w:ascii="Times New Roman" w:hAnsi="Times New Roman" w:cs="Times New Roman"/>
                <w:b/>
                <w:lang w:eastAsia="sk-SK"/>
              </w:rPr>
              <w:t>180 214 883,00</w:t>
            </w:r>
          </w:p>
        </w:tc>
        <w:tc>
          <w:tcPr>
            <w:tcW w:w="1701" w:type="dxa"/>
            <w:shd w:val="clear" w:color="auto" w:fill="auto"/>
          </w:tcPr>
          <w:p w:rsidR="00936C45" w:rsidRPr="00EB7D9D" w:rsidRDefault="00936C45" w:rsidP="00EB7D9D">
            <w:pPr>
              <w:autoSpaceDE w:val="0"/>
              <w:autoSpaceDN w:val="0"/>
              <w:adjustRightInd w:val="0"/>
              <w:spacing w:after="0" w:line="240" w:lineRule="auto"/>
              <w:jc w:val="right"/>
              <w:rPr>
                <w:rFonts w:ascii="Times New Roman" w:hAnsi="Times New Roman" w:cs="Times New Roman"/>
                <w:b/>
                <w:lang w:eastAsia="sk-SK"/>
              </w:rPr>
            </w:pPr>
          </w:p>
          <w:p w:rsidR="00AA1E26" w:rsidRPr="00EB7D9D" w:rsidRDefault="00936C45" w:rsidP="00EB7D9D">
            <w:pPr>
              <w:autoSpaceDE w:val="0"/>
              <w:autoSpaceDN w:val="0"/>
              <w:adjustRightInd w:val="0"/>
              <w:spacing w:after="0" w:line="240" w:lineRule="auto"/>
              <w:jc w:val="right"/>
              <w:rPr>
                <w:rFonts w:ascii="Times New Roman" w:hAnsi="Times New Roman" w:cs="Times New Roman"/>
                <w:b/>
                <w:lang w:eastAsia="sk-SK"/>
              </w:rPr>
            </w:pPr>
            <w:r w:rsidRPr="00EB7D9D">
              <w:rPr>
                <w:rFonts w:ascii="Times New Roman" w:hAnsi="Times New Roman" w:cs="Times New Roman"/>
                <w:b/>
                <w:lang w:eastAsia="sk-SK"/>
              </w:rPr>
              <w:t>208 465 701,16</w:t>
            </w:r>
          </w:p>
        </w:tc>
        <w:tc>
          <w:tcPr>
            <w:tcW w:w="1701" w:type="dxa"/>
            <w:shd w:val="clear" w:color="auto" w:fill="auto"/>
          </w:tcPr>
          <w:p w:rsidR="00AA1E26" w:rsidRPr="00EB7D9D" w:rsidRDefault="00AA1E26" w:rsidP="00EB7D9D">
            <w:pPr>
              <w:autoSpaceDE w:val="0"/>
              <w:autoSpaceDN w:val="0"/>
              <w:adjustRightInd w:val="0"/>
              <w:spacing w:after="0" w:line="240" w:lineRule="auto"/>
              <w:jc w:val="right"/>
              <w:rPr>
                <w:rFonts w:ascii="Times New Roman" w:hAnsi="Times New Roman" w:cs="Times New Roman"/>
                <w:b/>
                <w:lang w:eastAsia="sk-SK"/>
              </w:rPr>
            </w:pPr>
          </w:p>
          <w:p w:rsidR="00936C45" w:rsidRPr="00EB7D9D" w:rsidRDefault="00936C45" w:rsidP="00EB7D9D">
            <w:pPr>
              <w:autoSpaceDE w:val="0"/>
              <w:autoSpaceDN w:val="0"/>
              <w:adjustRightInd w:val="0"/>
              <w:spacing w:after="0" w:line="240" w:lineRule="auto"/>
              <w:jc w:val="right"/>
              <w:rPr>
                <w:rFonts w:ascii="Times New Roman" w:hAnsi="Times New Roman" w:cs="Times New Roman"/>
                <w:b/>
                <w:lang w:eastAsia="sk-SK"/>
              </w:rPr>
            </w:pPr>
            <w:r w:rsidRPr="00EB7D9D">
              <w:rPr>
                <w:rFonts w:ascii="Times New Roman" w:hAnsi="Times New Roman" w:cs="Times New Roman"/>
                <w:b/>
                <w:lang w:eastAsia="sk-SK"/>
              </w:rPr>
              <w:t>208 465 107,03</w:t>
            </w:r>
          </w:p>
        </w:tc>
        <w:tc>
          <w:tcPr>
            <w:tcW w:w="1275" w:type="dxa"/>
            <w:shd w:val="clear" w:color="auto" w:fill="auto"/>
          </w:tcPr>
          <w:p w:rsidR="00EB7D9D" w:rsidRPr="00EB7D9D" w:rsidRDefault="00EB7D9D" w:rsidP="00EB7D9D">
            <w:pPr>
              <w:spacing w:after="0" w:line="240" w:lineRule="auto"/>
              <w:rPr>
                <w:rFonts w:ascii="Times New Roman" w:eastAsia="Times New Roman" w:hAnsi="Times New Roman" w:cs="Times New Roman"/>
                <w:b/>
              </w:rPr>
            </w:pPr>
          </w:p>
          <w:p w:rsidR="00AA1E26" w:rsidRPr="00EB7D9D" w:rsidRDefault="00936C45" w:rsidP="00305411">
            <w:pPr>
              <w:spacing w:after="0" w:line="240" w:lineRule="auto"/>
              <w:jc w:val="center"/>
              <w:rPr>
                <w:rFonts w:ascii="Times New Roman" w:eastAsia="Times New Roman" w:hAnsi="Times New Roman" w:cs="Times New Roman"/>
                <w:b/>
              </w:rPr>
            </w:pPr>
            <w:r w:rsidRPr="00EB7D9D">
              <w:rPr>
                <w:rFonts w:ascii="Times New Roman" w:eastAsia="Times New Roman" w:hAnsi="Times New Roman" w:cs="Times New Roman"/>
                <w:b/>
              </w:rPr>
              <w:t>99,99</w:t>
            </w:r>
          </w:p>
        </w:tc>
      </w:tr>
    </w:tbl>
    <w:p w:rsidR="00AA1E26" w:rsidRPr="00305411" w:rsidRDefault="00AA1E26" w:rsidP="00305411">
      <w:pPr>
        <w:spacing w:after="0" w:line="240" w:lineRule="auto"/>
        <w:jc w:val="both"/>
        <w:rPr>
          <w:rFonts w:ascii="Times New Roman" w:hAnsi="Times New Roman" w:cs="Times New Roman"/>
          <w:b/>
          <w:sz w:val="24"/>
          <w:szCs w:val="24"/>
        </w:rPr>
      </w:pPr>
    </w:p>
    <w:p w:rsidR="000F02AE" w:rsidRPr="00305411" w:rsidRDefault="000F02AE" w:rsidP="00305411">
      <w:pPr>
        <w:spacing w:after="0" w:line="240" w:lineRule="auto"/>
        <w:jc w:val="both"/>
        <w:rPr>
          <w:rFonts w:ascii="Times New Roman" w:hAnsi="Times New Roman" w:cs="Times New Roman"/>
          <w:b/>
          <w:sz w:val="24"/>
          <w:szCs w:val="24"/>
        </w:rPr>
      </w:pPr>
      <w:r w:rsidRPr="00305411">
        <w:rPr>
          <w:rFonts w:ascii="Times New Roman" w:hAnsi="Times New Roman" w:cs="Times New Roman"/>
          <w:b/>
          <w:sz w:val="24"/>
          <w:szCs w:val="24"/>
        </w:rPr>
        <w:t>Kategória 710 – Obstar</w:t>
      </w:r>
      <w:r w:rsidR="003966A1" w:rsidRPr="00305411">
        <w:rPr>
          <w:rFonts w:ascii="Times New Roman" w:hAnsi="Times New Roman" w:cs="Times New Roman"/>
          <w:b/>
          <w:sz w:val="24"/>
          <w:szCs w:val="24"/>
        </w:rPr>
        <w:t>ávan</w:t>
      </w:r>
      <w:r w:rsidRPr="00305411">
        <w:rPr>
          <w:rFonts w:ascii="Times New Roman" w:hAnsi="Times New Roman" w:cs="Times New Roman"/>
          <w:b/>
          <w:sz w:val="24"/>
          <w:szCs w:val="24"/>
        </w:rPr>
        <w:t>ie kapitálových aktív</w:t>
      </w:r>
    </w:p>
    <w:p w:rsidR="000F02AE" w:rsidRPr="00305411" w:rsidRDefault="000F02AE" w:rsidP="00305411">
      <w:pPr>
        <w:spacing w:after="0" w:line="240" w:lineRule="auto"/>
        <w:jc w:val="both"/>
        <w:rPr>
          <w:rFonts w:ascii="Times New Roman" w:hAnsi="Times New Roman" w:cs="Times New Roman"/>
          <w:b/>
          <w:sz w:val="24"/>
          <w:szCs w:val="24"/>
        </w:rPr>
      </w:pPr>
    </w:p>
    <w:p w:rsidR="003966A1" w:rsidRPr="00EB7D9D" w:rsidRDefault="003966A1" w:rsidP="00EB7D9D">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305411">
        <w:rPr>
          <w:rFonts w:ascii="Times New Roman" w:hAnsi="Times New Roman" w:cs="Times New Roman"/>
          <w:sz w:val="24"/>
          <w:szCs w:val="24"/>
        </w:rPr>
        <w:t xml:space="preserve">Rozpočet kapitálových aktív bol </w:t>
      </w:r>
      <w:r w:rsidR="000F277A">
        <w:rPr>
          <w:rFonts w:ascii="Times New Roman" w:hAnsi="Times New Roman" w:cs="Times New Roman"/>
          <w:sz w:val="24"/>
          <w:szCs w:val="24"/>
        </w:rPr>
        <w:t xml:space="preserve">rozpočtovými opatreniami </w:t>
      </w:r>
      <w:r w:rsidR="0037339D">
        <w:rPr>
          <w:rFonts w:ascii="Times New Roman" w:hAnsi="Times New Roman" w:cs="Times New Roman"/>
          <w:sz w:val="24"/>
          <w:szCs w:val="24"/>
        </w:rPr>
        <w:t xml:space="preserve">upravený na </w:t>
      </w:r>
      <w:r w:rsidR="00E40938">
        <w:rPr>
          <w:rFonts w:ascii="Times New Roman" w:hAnsi="Times New Roman" w:cs="Times New Roman"/>
          <w:sz w:val="24"/>
          <w:szCs w:val="24"/>
        </w:rPr>
        <w:t xml:space="preserve">všetkých </w:t>
      </w:r>
      <w:r w:rsidR="0037339D">
        <w:rPr>
          <w:rFonts w:ascii="Times New Roman" w:hAnsi="Times New Roman" w:cs="Times New Roman"/>
          <w:sz w:val="24"/>
          <w:szCs w:val="24"/>
        </w:rPr>
        <w:t xml:space="preserve">zdrojoch rozpočtu  </w:t>
      </w:r>
      <w:r w:rsidR="00EB7D9D">
        <w:rPr>
          <w:rFonts w:ascii="Times New Roman" w:hAnsi="Times New Roman" w:cs="Times New Roman"/>
          <w:sz w:val="24"/>
          <w:szCs w:val="24"/>
        </w:rPr>
        <w:t xml:space="preserve">na sumu </w:t>
      </w:r>
      <w:r w:rsidR="00E40938" w:rsidRPr="00E40938">
        <w:rPr>
          <w:rFonts w:ascii="Times New Roman" w:hAnsi="Times New Roman" w:cs="Times New Roman"/>
          <w:sz w:val="24"/>
          <w:szCs w:val="24"/>
        </w:rPr>
        <w:t xml:space="preserve">5 888 832,68 </w:t>
      </w:r>
      <w:r w:rsidRPr="00305411">
        <w:rPr>
          <w:rFonts w:ascii="Times New Roman" w:hAnsi="Times New Roman" w:cs="Times New Roman"/>
          <w:sz w:val="24"/>
          <w:szCs w:val="24"/>
        </w:rPr>
        <w:t>eur a čerpanie rozpočtu bolo v</w:t>
      </w:r>
      <w:r w:rsidR="00EB7D9D">
        <w:rPr>
          <w:rFonts w:ascii="Times New Roman" w:hAnsi="Times New Roman" w:cs="Times New Roman"/>
          <w:sz w:val="24"/>
          <w:szCs w:val="24"/>
        </w:rPr>
        <w:t> </w:t>
      </w:r>
      <w:r w:rsidR="00761A04">
        <w:rPr>
          <w:rFonts w:ascii="Times New Roman" w:hAnsi="Times New Roman" w:cs="Times New Roman"/>
          <w:sz w:val="24"/>
          <w:szCs w:val="24"/>
        </w:rPr>
        <w:t>sume</w:t>
      </w:r>
      <w:r w:rsidR="00EB7D9D">
        <w:rPr>
          <w:rFonts w:ascii="Times New Roman" w:hAnsi="Times New Roman" w:cs="Times New Roman"/>
          <w:sz w:val="24"/>
          <w:szCs w:val="24"/>
        </w:rPr>
        <w:t xml:space="preserve"> </w:t>
      </w:r>
      <w:r w:rsidR="00E40938">
        <w:rPr>
          <w:rFonts w:ascii="Times New Roman" w:hAnsi="Times New Roman" w:cs="Times New Roman"/>
          <w:sz w:val="24"/>
          <w:szCs w:val="24"/>
        </w:rPr>
        <w:t xml:space="preserve">                       </w:t>
      </w:r>
      <w:r w:rsidR="00E40938" w:rsidRPr="00E40938">
        <w:rPr>
          <w:rFonts w:ascii="Times New Roman" w:hAnsi="Times New Roman" w:cs="Times New Roman"/>
          <w:sz w:val="24"/>
          <w:szCs w:val="24"/>
        </w:rPr>
        <w:t>5 888 238,55</w:t>
      </w:r>
      <w:r w:rsidR="00E40938">
        <w:rPr>
          <w:rFonts w:ascii="Times New Roman" w:hAnsi="Times New Roman" w:cs="Times New Roman"/>
          <w:sz w:val="24"/>
          <w:szCs w:val="24"/>
        </w:rPr>
        <w:t xml:space="preserve"> </w:t>
      </w:r>
      <w:r w:rsidRPr="00305411">
        <w:rPr>
          <w:rFonts w:ascii="Times New Roman" w:hAnsi="Times New Roman" w:cs="Times New Roman"/>
          <w:sz w:val="24"/>
          <w:szCs w:val="24"/>
        </w:rPr>
        <w:t xml:space="preserve">eur, čo je plnenie na </w:t>
      </w:r>
      <w:r w:rsidR="00EB7D9D">
        <w:rPr>
          <w:rFonts w:ascii="Times New Roman" w:hAnsi="Times New Roman" w:cs="Times New Roman"/>
          <w:sz w:val="24"/>
          <w:szCs w:val="24"/>
        </w:rPr>
        <w:t>99,9</w:t>
      </w:r>
      <w:r w:rsidR="00722C98">
        <w:rPr>
          <w:rFonts w:ascii="Times New Roman" w:hAnsi="Times New Roman" w:cs="Times New Roman"/>
          <w:sz w:val="24"/>
          <w:szCs w:val="24"/>
        </w:rPr>
        <w:t>9</w:t>
      </w:r>
      <w:r w:rsidR="00EB7D9D">
        <w:rPr>
          <w:rFonts w:ascii="Times New Roman" w:hAnsi="Times New Roman" w:cs="Times New Roman"/>
          <w:sz w:val="24"/>
          <w:szCs w:val="24"/>
        </w:rPr>
        <w:t xml:space="preserve"> </w:t>
      </w:r>
      <w:r w:rsidRPr="00305411">
        <w:rPr>
          <w:rFonts w:ascii="Times New Roman" w:hAnsi="Times New Roman" w:cs="Times New Roman"/>
          <w:sz w:val="24"/>
          <w:szCs w:val="24"/>
        </w:rPr>
        <w:t>% k upravenému rozpočtu.</w:t>
      </w:r>
    </w:p>
    <w:p w:rsidR="003966A1" w:rsidRPr="00305411" w:rsidRDefault="003966A1" w:rsidP="00EA5219">
      <w:pPr>
        <w:spacing w:after="0" w:line="240" w:lineRule="auto"/>
        <w:ind w:right="26" w:firstLine="709"/>
        <w:jc w:val="both"/>
        <w:rPr>
          <w:rFonts w:ascii="Times New Roman" w:hAnsi="Times New Roman" w:cs="Times New Roman"/>
          <w:sz w:val="24"/>
          <w:szCs w:val="24"/>
        </w:rPr>
      </w:pPr>
    </w:p>
    <w:p w:rsidR="003966A1" w:rsidRPr="00305411" w:rsidRDefault="003966A1" w:rsidP="00EA5219">
      <w:pPr>
        <w:spacing w:after="0" w:line="240" w:lineRule="auto"/>
        <w:ind w:right="26" w:firstLine="709"/>
        <w:jc w:val="both"/>
        <w:rPr>
          <w:rFonts w:ascii="Times New Roman" w:hAnsi="Times New Roman" w:cs="Times New Roman"/>
          <w:sz w:val="24"/>
          <w:szCs w:val="24"/>
        </w:rPr>
      </w:pPr>
      <w:r w:rsidRPr="00305411">
        <w:rPr>
          <w:rFonts w:ascii="Times New Roman" w:hAnsi="Times New Roman" w:cs="Times New Roman"/>
          <w:sz w:val="24"/>
          <w:szCs w:val="24"/>
        </w:rPr>
        <w:t xml:space="preserve">Čerpanie výdavkov v kategórii 710 – Obstarávanie kapitálových aktív bolo vykázané v jednotlivých podprogramoch </w:t>
      </w:r>
      <w:r w:rsidR="00CF52EF">
        <w:rPr>
          <w:rFonts w:ascii="Times New Roman" w:hAnsi="Times New Roman" w:cs="Times New Roman"/>
          <w:sz w:val="24"/>
          <w:szCs w:val="24"/>
        </w:rPr>
        <w:t xml:space="preserve">a prvkoch </w:t>
      </w:r>
      <w:r w:rsidRPr="00305411">
        <w:rPr>
          <w:rFonts w:ascii="Times New Roman" w:hAnsi="Times New Roman" w:cs="Times New Roman"/>
          <w:sz w:val="24"/>
          <w:szCs w:val="24"/>
        </w:rPr>
        <w:t>nasledovne:</w:t>
      </w:r>
    </w:p>
    <w:p w:rsidR="000F277A" w:rsidRDefault="000F277A" w:rsidP="00AD2D46">
      <w:pPr>
        <w:spacing w:after="0" w:line="240" w:lineRule="auto"/>
        <w:ind w:right="26"/>
        <w:jc w:val="both"/>
        <w:rPr>
          <w:rFonts w:ascii="Times New Roman" w:hAnsi="Times New Roman" w:cs="Times New Roman"/>
          <w:sz w:val="24"/>
          <w:szCs w:val="24"/>
        </w:rPr>
      </w:pPr>
    </w:p>
    <w:p w:rsidR="00977EAC" w:rsidRDefault="00977EAC" w:rsidP="00162AF9">
      <w:pPr>
        <w:spacing w:after="0" w:line="240" w:lineRule="auto"/>
        <w:ind w:right="26"/>
        <w:jc w:val="both"/>
        <w:rPr>
          <w:rFonts w:ascii="Times New Roman" w:hAnsi="Times New Roman" w:cs="Times New Roman"/>
          <w:i/>
          <w:sz w:val="24"/>
          <w:szCs w:val="24"/>
        </w:rPr>
      </w:pPr>
    </w:p>
    <w:p w:rsidR="00977EAC" w:rsidRDefault="00977EAC" w:rsidP="00162AF9">
      <w:pPr>
        <w:spacing w:after="0" w:line="240" w:lineRule="auto"/>
        <w:ind w:right="26"/>
        <w:jc w:val="both"/>
        <w:rPr>
          <w:rFonts w:ascii="Times New Roman" w:hAnsi="Times New Roman" w:cs="Times New Roman"/>
          <w:i/>
          <w:sz w:val="24"/>
          <w:szCs w:val="24"/>
        </w:rPr>
      </w:pPr>
    </w:p>
    <w:p w:rsidR="00977EAC" w:rsidRDefault="00977EAC" w:rsidP="00162AF9">
      <w:pPr>
        <w:spacing w:after="0" w:line="240" w:lineRule="auto"/>
        <w:ind w:right="26"/>
        <w:jc w:val="both"/>
        <w:rPr>
          <w:rFonts w:ascii="Times New Roman" w:hAnsi="Times New Roman" w:cs="Times New Roman"/>
          <w:i/>
          <w:sz w:val="24"/>
          <w:szCs w:val="24"/>
        </w:rPr>
      </w:pPr>
    </w:p>
    <w:p w:rsidR="00162AF9" w:rsidRPr="0037339D" w:rsidRDefault="00162AF9" w:rsidP="00162AF9">
      <w:pPr>
        <w:spacing w:after="0" w:line="240" w:lineRule="auto"/>
        <w:ind w:right="26"/>
        <w:jc w:val="both"/>
        <w:rPr>
          <w:rFonts w:ascii="Times New Roman" w:hAnsi="Times New Roman" w:cs="Times New Roman"/>
          <w:i/>
          <w:sz w:val="24"/>
          <w:szCs w:val="24"/>
        </w:rPr>
      </w:pPr>
      <w:r w:rsidRPr="0037339D">
        <w:rPr>
          <w:rFonts w:ascii="Times New Roman" w:hAnsi="Times New Roman" w:cs="Times New Roman"/>
          <w:i/>
          <w:sz w:val="24"/>
          <w:szCs w:val="24"/>
        </w:rPr>
        <w:t>06H 01  – Hospodárska mobilizácia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881"/>
        <w:gridCol w:w="1418"/>
        <w:gridCol w:w="1559"/>
        <w:gridCol w:w="1276"/>
        <w:gridCol w:w="1417"/>
      </w:tblGrid>
      <w:tr w:rsidR="00162AF9" w:rsidRPr="002859E7" w:rsidTr="002859E7">
        <w:trPr>
          <w:trHeight w:val="725"/>
        </w:trPr>
        <w:tc>
          <w:tcPr>
            <w:tcW w:w="2521" w:type="dxa"/>
            <w:tcBorders>
              <w:bottom w:val="single" w:sz="4" w:space="0" w:color="auto"/>
            </w:tcBorders>
            <w:shd w:val="clear" w:color="auto" w:fill="auto"/>
          </w:tcPr>
          <w:p w:rsidR="00162AF9" w:rsidRPr="002859E7" w:rsidRDefault="00162AF9" w:rsidP="000E252D">
            <w:pPr>
              <w:spacing w:after="0" w:line="240" w:lineRule="auto"/>
              <w:jc w:val="both"/>
              <w:rPr>
                <w:rFonts w:ascii="Times New Roman" w:eastAsia="Times New Roman" w:hAnsi="Times New Roman" w:cs="Times New Roman"/>
                <w:b/>
              </w:rPr>
            </w:pPr>
            <w:r w:rsidRPr="002859E7">
              <w:rPr>
                <w:rFonts w:ascii="Times New Roman" w:eastAsia="Times New Roman" w:hAnsi="Times New Roman" w:cs="Times New Roman"/>
                <w:b/>
              </w:rPr>
              <w:t>Ekonomická</w:t>
            </w:r>
          </w:p>
          <w:p w:rsidR="00162AF9" w:rsidRPr="002859E7" w:rsidRDefault="00162AF9" w:rsidP="000E252D">
            <w:pPr>
              <w:spacing w:after="0" w:line="240" w:lineRule="auto"/>
              <w:jc w:val="both"/>
              <w:rPr>
                <w:rFonts w:ascii="Times New Roman" w:eastAsia="Times New Roman" w:hAnsi="Times New Roman" w:cs="Times New Roman"/>
                <w:b/>
              </w:rPr>
            </w:pPr>
            <w:r w:rsidRPr="002859E7">
              <w:rPr>
                <w:rFonts w:ascii="Times New Roman" w:eastAsia="Times New Roman" w:hAnsi="Times New Roman" w:cs="Times New Roman"/>
                <w:b/>
              </w:rPr>
              <w:t>klasifikácia</w:t>
            </w:r>
          </w:p>
        </w:tc>
        <w:tc>
          <w:tcPr>
            <w:tcW w:w="881" w:type="dxa"/>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Zdroj</w:t>
            </w:r>
          </w:p>
        </w:tc>
        <w:tc>
          <w:tcPr>
            <w:tcW w:w="1418"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Schválený</w:t>
            </w:r>
          </w:p>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rozpočet k 1.1.2015</w:t>
            </w:r>
          </w:p>
        </w:tc>
        <w:tc>
          <w:tcPr>
            <w:tcW w:w="1559"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Upravený</w:t>
            </w:r>
          </w:p>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rozpočet k 31.12.2015</w:t>
            </w:r>
          </w:p>
        </w:tc>
        <w:tc>
          <w:tcPr>
            <w:tcW w:w="1276"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Čerpanie k</w:t>
            </w:r>
          </w:p>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31.12.2015</w:t>
            </w:r>
          </w:p>
        </w:tc>
        <w:tc>
          <w:tcPr>
            <w:tcW w:w="1417" w:type="dxa"/>
            <w:shd w:val="clear" w:color="auto" w:fill="auto"/>
          </w:tcPr>
          <w:p w:rsidR="00162AF9" w:rsidRPr="002859E7" w:rsidRDefault="00162AF9" w:rsidP="000E252D">
            <w:pPr>
              <w:spacing w:after="0" w:line="240" w:lineRule="auto"/>
              <w:jc w:val="center"/>
              <w:rPr>
                <w:rFonts w:ascii="Times New Roman" w:eastAsia="Times New Roman" w:hAnsi="Times New Roman" w:cs="Times New Roman"/>
                <w:b/>
              </w:rPr>
            </w:pPr>
            <w:r w:rsidRPr="002859E7">
              <w:rPr>
                <w:rFonts w:ascii="Times New Roman" w:eastAsia="Times New Roman" w:hAnsi="Times New Roman" w:cs="Times New Roman"/>
                <w:b/>
              </w:rPr>
              <w:t>% čerpania k uprav. rozpočtu</w:t>
            </w:r>
          </w:p>
        </w:tc>
      </w:tr>
      <w:tr w:rsidR="00162AF9" w:rsidRPr="002859E7" w:rsidTr="002859E7">
        <w:trPr>
          <w:trHeight w:val="333"/>
        </w:trPr>
        <w:tc>
          <w:tcPr>
            <w:tcW w:w="2521" w:type="dxa"/>
            <w:tcBorders>
              <w:bottom w:val="single" w:sz="4" w:space="0" w:color="auto"/>
            </w:tcBorders>
            <w:shd w:val="clear" w:color="auto" w:fill="auto"/>
          </w:tcPr>
          <w:p w:rsidR="00162AF9" w:rsidRPr="002859E7" w:rsidRDefault="00162AF9" w:rsidP="000E252D">
            <w:pPr>
              <w:spacing w:after="0" w:line="240" w:lineRule="auto"/>
              <w:jc w:val="both"/>
              <w:rPr>
                <w:rFonts w:ascii="Times New Roman" w:eastAsia="Times New Roman" w:hAnsi="Times New Roman" w:cs="Times New Roman"/>
              </w:rPr>
            </w:pPr>
            <w:r w:rsidRPr="002859E7">
              <w:rPr>
                <w:rFonts w:ascii="Times New Roman" w:eastAsia="Times New Roman" w:hAnsi="Times New Roman" w:cs="Times New Roman"/>
              </w:rPr>
              <w:t xml:space="preserve">710 – obstarávanie </w:t>
            </w:r>
            <w:r w:rsidR="00AD2D46" w:rsidRPr="00EB7D9D">
              <w:rPr>
                <w:rFonts w:ascii="Times New Roman" w:eastAsia="Times New Roman" w:hAnsi="Times New Roman" w:cs="Times New Roman"/>
              </w:rPr>
              <w:t>kapitálových aktív</w:t>
            </w:r>
          </w:p>
        </w:tc>
        <w:tc>
          <w:tcPr>
            <w:tcW w:w="881" w:type="dxa"/>
          </w:tcPr>
          <w:p w:rsidR="00AD2D46" w:rsidRDefault="00AD2D46" w:rsidP="000E252D">
            <w:pPr>
              <w:autoSpaceDE w:val="0"/>
              <w:autoSpaceDN w:val="0"/>
              <w:adjustRightInd w:val="0"/>
              <w:spacing w:after="0" w:line="240" w:lineRule="auto"/>
              <w:jc w:val="center"/>
              <w:rPr>
                <w:rFonts w:ascii="Times New Roman" w:hAnsi="Times New Roman" w:cs="Times New Roman"/>
                <w:lang w:eastAsia="sk-SK"/>
              </w:rPr>
            </w:pPr>
          </w:p>
          <w:p w:rsidR="00162AF9" w:rsidRPr="002859E7" w:rsidRDefault="00162AF9" w:rsidP="000E252D">
            <w:pPr>
              <w:autoSpaceDE w:val="0"/>
              <w:autoSpaceDN w:val="0"/>
              <w:adjustRightInd w:val="0"/>
              <w:spacing w:after="0" w:line="240" w:lineRule="auto"/>
              <w:jc w:val="center"/>
              <w:rPr>
                <w:rFonts w:ascii="Times New Roman" w:hAnsi="Times New Roman" w:cs="Times New Roman"/>
                <w:lang w:eastAsia="sk-SK"/>
              </w:rPr>
            </w:pPr>
            <w:r w:rsidRPr="002859E7">
              <w:rPr>
                <w:rFonts w:ascii="Times New Roman" w:hAnsi="Times New Roman" w:cs="Times New Roman"/>
                <w:lang w:eastAsia="sk-SK"/>
              </w:rPr>
              <w:t>111</w:t>
            </w:r>
          </w:p>
        </w:tc>
        <w:tc>
          <w:tcPr>
            <w:tcW w:w="1418" w:type="dxa"/>
            <w:shd w:val="clear" w:color="auto" w:fill="auto"/>
          </w:tcPr>
          <w:p w:rsidR="00AD2D46" w:rsidRDefault="00AD2D46" w:rsidP="000E252D">
            <w:pPr>
              <w:autoSpaceDE w:val="0"/>
              <w:autoSpaceDN w:val="0"/>
              <w:adjustRightInd w:val="0"/>
              <w:spacing w:after="0" w:line="240" w:lineRule="auto"/>
              <w:jc w:val="right"/>
              <w:rPr>
                <w:rFonts w:ascii="Times New Roman" w:hAnsi="Times New Roman" w:cs="Times New Roman"/>
                <w:lang w:eastAsia="sk-SK"/>
              </w:rPr>
            </w:pPr>
          </w:p>
          <w:p w:rsidR="00162AF9" w:rsidRPr="002859E7" w:rsidRDefault="00162AF9" w:rsidP="000E252D">
            <w:pPr>
              <w:autoSpaceDE w:val="0"/>
              <w:autoSpaceDN w:val="0"/>
              <w:adjustRightInd w:val="0"/>
              <w:spacing w:after="0" w:line="240" w:lineRule="auto"/>
              <w:jc w:val="right"/>
              <w:rPr>
                <w:rFonts w:ascii="Times New Roman" w:hAnsi="Times New Roman" w:cs="Times New Roman"/>
                <w:lang w:eastAsia="sk-SK"/>
              </w:rPr>
            </w:pPr>
            <w:r w:rsidRPr="002859E7">
              <w:rPr>
                <w:rFonts w:ascii="Times New Roman" w:hAnsi="Times New Roman" w:cs="Times New Roman"/>
                <w:lang w:eastAsia="sk-SK"/>
              </w:rPr>
              <w:t>1 200 000,00</w:t>
            </w:r>
          </w:p>
        </w:tc>
        <w:tc>
          <w:tcPr>
            <w:tcW w:w="1559" w:type="dxa"/>
            <w:shd w:val="clear" w:color="auto" w:fill="auto"/>
          </w:tcPr>
          <w:p w:rsidR="00AD2D46" w:rsidRDefault="00AD2D46" w:rsidP="000F277A">
            <w:pPr>
              <w:autoSpaceDE w:val="0"/>
              <w:autoSpaceDN w:val="0"/>
              <w:adjustRightInd w:val="0"/>
              <w:spacing w:after="0" w:line="240" w:lineRule="auto"/>
              <w:jc w:val="right"/>
              <w:rPr>
                <w:rFonts w:ascii="Times New Roman" w:hAnsi="Times New Roman" w:cs="Times New Roman"/>
                <w:lang w:eastAsia="sk-SK"/>
              </w:rPr>
            </w:pPr>
          </w:p>
          <w:p w:rsidR="00162AF9" w:rsidRPr="002859E7" w:rsidRDefault="00EB7D9D" w:rsidP="000F277A">
            <w:pPr>
              <w:autoSpaceDE w:val="0"/>
              <w:autoSpaceDN w:val="0"/>
              <w:adjustRightInd w:val="0"/>
              <w:spacing w:after="0" w:line="240" w:lineRule="auto"/>
              <w:jc w:val="right"/>
              <w:rPr>
                <w:rFonts w:ascii="Times New Roman" w:hAnsi="Times New Roman" w:cs="Times New Roman"/>
                <w:lang w:eastAsia="sk-SK"/>
              </w:rPr>
            </w:pPr>
            <w:r w:rsidRPr="002859E7">
              <w:rPr>
                <w:rFonts w:ascii="Times New Roman" w:hAnsi="Times New Roman" w:cs="Times New Roman"/>
                <w:lang w:eastAsia="sk-SK"/>
              </w:rPr>
              <w:t>502 094,96</w:t>
            </w:r>
          </w:p>
        </w:tc>
        <w:tc>
          <w:tcPr>
            <w:tcW w:w="1276" w:type="dxa"/>
            <w:shd w:val="clear" w:color="auto" w:fill="auto"/>
          </w:tcPr>
          <w:p w:rsidR="00AD2D46" w:rsidRDefault="00AD2D46" w:rsidP="00EB7D9D">
            <w:pPr>
              <w:autoSpaceDE w:val="0"/>
              <w:autoSpaceDN w:val="0"/>
              <w:adjustRightInd w:val="0"/>
              <w:spacing w:after="0" w:line="240" w:lineRule="auto"/>
              <w:rPr>
                <w:rFonts w:ascii="Times New Roman" w:hAnsi="Times New Roman" w:cs="Times New Roman"/>
                <w:lang w:eastAsia="sk-SK"/>
              </w:rPr>
            </w:pPr>
          </w:p>
          <w:p w:rsidR="00162AF9" w:rsidRPr="002859E7" w:rsidRDefault="00EB7D9D" w:rsidP="00EB7D9D">
            <w:pPr>
              <w:autoSpaceDE w:val="0"/>
              <w:autoSpaceDN w:val="0"/>
              <w:adjustRightInd w:val="0"/>
              <w:spacing w:after="0" w:line="240" w:lineRule="auto"/>
              <w:rPr>
                <w:rFonts w:ascii="Times New Roman" w:hAnsi="Times New Roman" w:cs="Times New Roman"/>
                <w:lang w:eastAsia="sk-SK"/>
              </w:rPr>
            </w:pPr>
            <w:r w:rsidRPr="002859E7">
              <w:rPr>
                <w:rFonts w:ascii="Times New Roman" w:hAnsi="Times New Roman" w:cs="Times New Roman"/>
                <w:lang w:eastAsia="sk-SK"/>
              </w:rPr>
              <w:t>501 724,79</w:t>
            </w:r>
          </w:p>
        </w:tc>
        <w:tc>
          <w:tcPr>
            <w:tcW w:w="1417" w:type="dxa"/>
            <w:shd w:val="clear" w:color="auto" w:fill="auto"/>
          </w:tcPr>
          <w:p w:rsidR="00AD2D46" w:rsidRDefault="00AD2D46" w:rsidP="000E252D">
            <w:pPr>
              <w:spacing w:after="0" w:line="240" w:lineRule="auto"/>
              <w:jc w:val="center"/>
              <w:rPr>
                <w:rFonts w:ascii="Times New Roman" w:eastAsia="Times New Roman" w:hAnsi="Times New Roman" w:cs="Times New Roman"/>
              </w:rPr>
            </w:pPr>
          </w:p>
          <w:p w:rsidR="00162AF9" w:rsidRPr="002859E7" w:rsidRDefault="00EB7D9D" w:rsidP="000E252D">
            <w:pPr>
              <w:spacing w:after="0" w:line="240" w:lineRule="auto"/>
              <w:jc w:val="center"/>
              <w:rPr>
                <w:rFonts w:ascii="Times New Roman" w:eastAsia="Times New Roman" w:hAnsi="Times New Roman" w:cs="Times New Roman"/>
              </w:rPr>
            </w:pPr>
            <w:r w:rsidRPr="002859E7">
              <w:rPr>
                <w:rFonts w:ascii="Times New Roman" w:eastAsia="Times New Roman" w:hAnsi="Times New Roman" w:cs="Times New Roman"/>
              </w:rPr>
              <w:t>99,93</w:t>
            </w:r>
          </w:p>
        </w:tc>
      </w:tr>
    </w:tbl>
    <w:p w:rsidR="00162AF9" w:rsidRPr="00305411" w:rsidRDefault="00162AF9" w:rsidP="00162AF9">
      <w:pPr>
        <w:spacing w:after="0" w:line="240" w:lineRule="auto"/>
        <w:jc w:val="both"/>
        <w:rPr>
          <w:rFonts w:ascii="Times New Roman" w:hAnsi="Times New Roman" w:cs="Times New Roman"/>
          <w:b/>
          <w:sz w:val="24"/>
          <w:szCs w:val="24"/>
        </w:rPr>
      </w:pPr>
    </w:p>
    <w:p w:rsidR="00EB7D9D" w:rsidRPr="00EB7D9D" w:rsidRDefault="00162AF9" w:rsidP="00EB7D9D">
      <w:pPr>
        <w:spacing w:after="0" w:line="240" w:lineRule="auto"/>
        <w:ind w:firstLine="567"/>
        <w:jc w:val="both"/>
        <w:rPr>
          <w:rFonts w:ascii="Times New Roman" w:hAnsi="Times New Roman" w:cs="Times New Roman"/>
          <w:sz w:val="24"/>
          <w:szCs w:val="24"/>
          <w:lang w:eastAsia="sk-SK"/>
        </w:rPr>
      </w:pPr>
      <w:r w:rsidRPr="00EB7D9D">
        <w:rPr>
          <w:rFonts w:ascii="Times New Roman" w:hAnsi="Times New Roman" w:cs="Times New Roman"/>
          <w:sz w:val="24"/>
          <w:szCs w:val="24"/>
        </w:rPr>
        <w:tab/>
      </w:r>
      <w:r w:rsidR="00EB7D9D" w:rsidRPr="00EB7D9D">
        <w:rPr>
          <w:rFonts w:ascii="Times New Roman" w:hAnsi="Times New Roman" w:cs="Times New Roman"/>
          <w:sz w:val="24"/>
          <w:szCs w:val="24"/>
        </w:rPr>
        <w:t xml:space="preserve">Limit  schváleného rozpočtu  kapitálových výdavkov na rok 2015  v  sume               1 200 000,00 eur bol v priebehu roka 2015  upravený na sumu  </w:t>
      </w:r>
      <w:r w:rsidR="00EB7D9D" w:rsidRPr="00EB7D9D">
        <w:rPr>
          <w:rFonts w:ascii="Times New Roman" w:hAnsi="Times New Roman" w:cs="Times New Roman"/>
          <w:sz w:val="24"/>
          <w:szCs w:val="24"/>
          <w:lang w:eastAsia="sk-SK"/>
        </w:rPr>
        <w:t xml:space="preserve">502 094,96 </w:t>
      </w:r>
      <w:r w:rsidR="00EB7D9D" w:rsidRPr="00EB7D9D">
        <w:rPr>
          <w:rFonts w:ascii="Times New Roman" w:hAnsi="Times New Roman" w:cs="Times New Roman"/>
          <w:sz w:val="24"/>
          <w:szCs w:val="24"/>
        </w:rPr>
        <w:t>eur.</w:t>
      </w:r>
    </w:p>
    <w:p w:rsidR="00EB7D9D" w:rsidRDefault="00EB7D9D" w:rsidP="00EB7D9D">
      <w:pPr>
        <w:autoSpaceDE w:val="0"/>
        <w:autoSpaceDN w:val="0"/>
        <w:adjustRightInd w:val="0"/>
        <w:spacing w:after="0" w:line="240" w:lineRule="auto"/>
        <w:ind w:firstLine="567"/>
        <w:jc w:val="both"/>
        <w:rPr>
          <w:rFonts w:ascii="Times New Roman" w:hAnsi="Times New Roman" w:cs="Times New Roman"/>
          <w:sz w:val="24"/>
          <w:szCs w:val="24"/>
        </w:rPr>
      </w:pPr>
      <w:r w:rsidRPr="00EB7D9D">
        <w:rPr>
          <w:rFonts w:ascii="Times New Roman" w:hAnsi="Times New Roman" w:cs="Times New Roman"/>
          <w:i/>
          <w:sz w:val="24"/>
          <w:szCs w:val="24"/>
        </w:rPr>
        <w:t>Kapitálové výdavky</w:t>
      </w:r>
      <w:r w:rsidRPr="00EB7D9D">
        <w:rPr>
          <w:rFonts w:ascii="Times New Roman" w:hAnsi="Times New Roman" w:cs="Times New Roman"/>
          <w:sz w:val="24"/>
          <w:szCs w:val="24"/>
        </w:rPr>
        <w:t xml:space="preserve"> hospodárskej mobilizácie  boli v roku 2015 </w:t>
      </w:r>
      <w:r w:rsidR="00CF52EF">
        <w:rPr>
          <w:rFonts w:ascii="Times New Roman" w:hAnsi="Times New Roman" w:cs="Times New Roman"/>
          <w:sz w:val="24"/>
          <w:szCs w:val="24"/>
        </w:rPr>
        <w:t>vy</w:t>
      </w:r>
      <w:r w:rsidRPr="00EB7D9D">
        <w:rPr>
          <w:rFonts w:ascii="Times New Roman" w:hAnsi="Times New Roman" w:cs="Times New Roman"/>
          <w:sz w:val="24"/>
          <w:szCs w:val="24"/>
        </w:rPr>
        <w:t xml:space="preserve">čerpané v sume                 </w:t>
      </w:r>
      <w:r w:rsidRPr="00EB7D9D">
        <w:rPr>
          <w:rFonts w:ascii="Times New Roman" w:hAnsi="Times New Roman" w:cs="Times New Roman"/>
          <w:sz w:val="24"/>
          <w:szCs w:val="24"/>
          <w:lang w:eastAsia="sk-SK"/>
        </w:rPr>
        <w:t xml:space="preserve">501 724,79 </w:t>
      </w:r>
      <w:r w:rsidRPr="00EB7D9D">
        <w:rPr>
          <w:rFonts w:ascii="Times New Roman" w:hAnsi="Times New Roman" w:cs="Times New Roman"/>
          <w:sz w:val="24"/>
          <w:szCs w:val="24"/>
        </w:rPr>
        <w:t xml:space="preserve">eur, čo je 99,93 % z upraveného rozpočtu k 31.12.2015. </w:t>
      </w:r>
    </w:p>
    <w:p w:rsidR="000F277A" w:rsidRPr="00EB7D9D" w:rsidRDefault="000F277A" w:rsidP="00EB7D9D">
      <w:pPr>
        <w:autoSpaceDE w:val="0"/>
        <w:autoSpaceDN w:val="0"/>
        <w:adjustRightInd w:val="0"/>
        <w:spacing w:after="0" w:line="240" w:lineRule="auto"/>
        <w:ind w:firstLine="567"/>
        <w:jc w:val="both"/>
        <w:rPr>
          <w:rFonts w:ascii="Times New Roman" w:hAnsi="Times New Roman" w:cs="Times New Roman"/>
          <w:sz w:val="24"/>
          <w:szCs w:val="24"/>
        </w:rPr>
      </w:pPr>
    </w:p>
    <w:p w:rsidR="00EB7D9D" w:rsidRPr="00EB7D9D" w:rsidRDefault="00EB7D9D" w:rsidP="00EB7D9D">
      <w:pPr>
        <w:spacing w:after="0" w:line="240" w:lineRule="auto"/>
        <w:jc w:val="both"/>
        <w:rPr>
          <w:rFonts w:ascii="Times New Roman" w:hAnsi="Times New Roman" w:cs="Times New Roman"/>
          <w:sz w:val="24"/>
          <w:szCs w:val="24"/>
        </w:rPr>
      </w:pPr>
      <w:r w:rsidRPr="00EB7D9D">
        <w:rPr>
          <w:rFonts w:ascii="Times New Roman" w:hAnsi="Times New Roman" w:cs="Times New Roman"/>
          <w:sz w:val="24"/>
          <w:szCs w:val="24"/>
        </w:rPr>
        <w:t>Kapitálové výdavky hospodárskej mobilizácie boli v súlade s uzatvorenými zmluvami použité na:</w:t>
      </w:r>
    </w:p>
    <w:p w:rsidR="00EB7D9D" w:rsidRPr="00EB7D9D" w:rsidRDefault="00EB7D9D" w:rsidP="00EB7D9D">
      <w:pPr>
        <w:spacing w:after="0" w:line="240" w:lineRule="auto"/>
        <w:ind w:left="284" w:hanging="284"/>
        <w:jc w:val="both"/>
        <w:rPr>
          <w:rFonts w:ascii="Times New Roman" w:hAnsi="Times New Roman" w:cs="Times New Roman"/>
          <w:sz w:val="24"/>
          <w:szCs w:val="24"/>
        </w:rPr>
      </w:pPr>
      <w:r w:rsidRPr="00EB7D9D">
        <w:rPr>
          <w:rFonts w:ascii="Times New Roman" w:hAnsi="Times New Roman" w:cs="Times New Roman"/>
          <w:sz w:val="24"/>
          <w:szCs w:val="24"/>
        </w:rPr>
        <w:t>-</w:t>
      </w:r>
      <w:r w:rsidRPr="00EB7D9D">
        <w:rPr>
          <w:rFonts w:ascii="Times New Roman" w:hAnsi="Times New Roman" w:cs="Times New Roman"/>
          <w:sz w:val="24"/>
          <w:szCs w:val="24"/>
        </w:rPr>
        <w:tab/>
        <w:t xml:space="preserve">vývoj </w:t>
      </w:r>
      <w:proofErr w:type="spellStart"/>
      <w:r w:rsidRPr="00EB7D9D">
        <w:rPr>
          <w:rFonts w:ascii="Times New Roman" w:hAnsi="Times New Roman" w:cs="Times New Roman"/>
          <w:sz w:val="24"/>
          <w:szCs w:val="24"/>
        </w:rPr>
        <w:t>JIS</w:t>
      </w:r>
      <w:proofErr w:type="spellEnd"/>
      <w:r w:rsidRPr="00EB7D9D">
        <w:rPr>
          <w:rFonts w:ascii="Times New Roman" w:hAnsi="Times New Roman" w:cs="Times New Roman"/>
          <w:sz w:val="24"/>
          <w:szCs w:val="24"/>
        </w:rPr>
        <w:t xml:space="preserve"> HM,</w:t>
      </w:r>
    </w:p>
    <w:p w:rsidR="00EB7D9D" w:rsidRPr="00EB7D9D" w:rsidRDefault="00EB7D9D" w:rsidP="00EB7D9D">
      <w:pPr>
        <w:spacing w:after="0" w:line="240" w:lineRule="auto"/>
        <w:ind w:left="284" w:hanging="284"/>
        <w:jc w:val="both"/>
        <w:rPr>
          <w:rFonts w:ascii="Times New Roman" w:hAnsi="Times New Roman" w:cs="Times New Roman"/>
          <w:sz w:val="24"/>
          <w:szCs w:val="24"/>
        </w:rPr>
      </w:pPr>
      <w:r w:rsidRPr="00EB7D9D">
        <w:rPr>
          <w:rFonts w:ascii="Times New Roman" w:hAnsi="Times New Roman" w:cs="Times New Roman"/>
          <w:sz w:val="24"/>
          <w:szCs w:val="24"/>
        </w:rPr>
        <w:t>-</w:t>
      </w:r>
      <w:r w:rsidRPr="00EB7D9D">
        <w:rPr>
          <w:rFonts w:ascii="Times New Roman" w:hAnsi="Times New Roman" w:cs="Times New Roman"/>
          <w:sz w:val="24"/>
          <w:szCs w:val="24"/>
        </w:rPr>
        <w:tab/>
        <w:t xml:space="preserve">realizáciu výmeny aplikačného servera </w:t>
      </w:r>
      <w:proofErr w:type="spellStart"/>
      <w:r w:rsidRPr="00EB7D9D">
        <w:rPr>
          <w:rFonts w:ascii="Times New Roman" w:hAnsi="Times New Roman" w:cs="Times New Roman"/>
          <w:sz w:val="24"/>
          <w:szCs w:val="24"/>
        </w:rPr>
        <w:t>JIS</w:t>
      </w:r>
      <w:proofErr w:type="spellEnd"/>
      <w:r w:rsidRPr="00EB7D9D">
        <w:rPr>
          <w:rFonts w:ascii="Times New Roman" w:hAnsi="Times New Roman" w:cs="Times New Roman"/>
          <w:sz w:val="24"/>
          <w:szCs w:val="24"/>
        </w:rPr>
        <w:t xml:space="preserve"> HM na hlavnom pracovisku a na výmenu poškodených komponentov na pracoviskách </w:t>
      </w:r>
      <w:proofErr w:type="spellStart"/>
      <w:r w:rsidRPr="00EB7D9D">
        <w:rPr>
          <w:rFonts w:ascii="Times New Roman" w:hAnsi="Times New Roman" w:cs="Times New Roman"/>
          <w:sz w:val="24"/>
          <w:szCs w:val="24"/>
        </w:rPr>
        <w:t>JIS</w:t>
      </w:r>
      <w:proofErr w:type="spellEnd"/>
      <w:r w:rsidRPr="00EB7D9D">
        <w:rPr>
          <w:rFonts w:ascii="Times New Roman" w:hAnsi="Times New Roman" w:cs="Times New Roman"/>
          <w:sz w:val="24"/>
          <w:szCs w:val="24"/>
        </w:rPr>
        <w:t xml:space="preserve"> HM,</w:t>
      </w:r>
    </w:p>
    <w:p w:rsidR="00EB7D9D" w:rsidRPr="00EB7D9D" w:rsidRDefault="00EB7D9D" w:rsidP="00EB7D9D">
      <w:pPr>
        <w:spacing w:after="0" w:line="240" w:lineRule="auto"/>
        <w:ind w:left="284" w:hanging="284"/>
        <w:jc w:val="both"/>
        <w:rPr>
          <w:rFonts w:ascii="Times New Roman" w:hAnsi="Times New Roman" w:cs="Times New Roman"/>
          <w:sz w:val="24"/>
          <w:szCs w:val="24"/>
        </w:rPr>
      </w:pPr>
      <w:r w:rsidRPr="00EB7D9D">
        <w:rPr>
          <w:rFonts w:ascii="Times New Roman" w:hAnsi="Times New Roman" w:cs="Times New Roman"/>
          <w:sz w:val="24"/>
          <w:szCs w:val="24"/>
        </w:rPr>
        <w:t>-</w:t>
      </w:r>
      <w:r w:rsidRPr="00EB7D9D">
        <w:rPr>
          <w:rFonts w:ascii="Times New Roman" w:hAnsi="Times New Roman" w:cs="Times New Roman"/>
          <w:sz w:val="24"/>
          <w:szCs w:val="24"/>
        </w:rPr>
        <w:tab/>
        <w:t>vybudovanie náhradného zdroja elektrickej energie na novej pohotovostnej čerpacej stanici pohonných hmôt,</w:t>
      </w:r>
    </w:p>
    <w:p w:rsidR="00EB7D9D" w:rsidRPr="00EB7D9D" w:rsidRDefault="00EB7D9D" w:rsidP="00EB7D9D">
      <w:pPr>
        <w:spacing w:after="0" w:line="240" w:lineRule="auto"/>
        <w:ind w:left="284" w:hanging="284"/>
        <w:jc w:val="both"/>
        <w:rPr>
          <w:rFonts w:ascii="Times New Roman" w:hAnsi="Times New Roman" w:cs="Times New Roman"/>
          <w:sz w:val="24"/>
          <w:szCs w:val="24"/>
        </w:rPr>
      </w:pPr>
      <w:r w:rsidRPr="00EB7D9D">
        <w:rPr>
          <w:rFonts w:ascii="Times New Roman" w:hAnsi="Times New Roman" w:cs="Times New Roman"/>
          <w:sz w:val="24"/>
          <w:szCs w:val="24"/>
        </w:rPr>
        <w:t>-</w:t>
      </w:r>
      <w:r w:rsidRPr="00EB7D9D">
        <w:rPr>
          <w:rFonts w:ascii="Times New Roman" w:hAnsi="Times New Roman" w:cs="Times New Roman"/>
          <w:sz w:val="24"/>
          <w:szCs w:val="24"/>
        </w:rPr>
        <w:tab/>
        <w:t>vypracovanie projektovej dokumentácie objektov osobitnej dôležitosti,</w:t>
      </w:r>
    </w:p>
    <w:p w:rsidR="000A6B13" w:rsidRPr="000F277A" w:rsidRDefault="00EB7D9D" w:rsidP="000F277A">
      <w:pPr>
        <w:spacing w:after="0" w:line="240" w:lineRule="auto"/>
        <w:ind w:left="284" w:hanging="284"/>
        <w:jc w:val="both"/>
        <w:rPr>
          <w:rFonts w:ascii="Times New Roman" w:hAnsi="Times New Roman" w:cs="Times New Roman"/>
          <w:sz w:val="24"/>
          <w:szCs w:val="24"/>
        </w:rPr>
      </w:pPr>
      <w:r w:rsidRPr="00EB7D9D">
        <w:rPr>
          <w:rFonts w:ascii="Times New Roman" w:hAnsi="Times New Roman" w:cs="Times New Roman"/>
          <w:sz w:val="24"/>
          <w:szCs w:val="24"/>
        </w:rPr>
        <w:t>-</w:t>
      </w:r>
      <w:r w:rsidRPr="00EB7D9D">
        <w:rPr>
          <w:rFonts w:ascii="Times New Roman" w:hAnsi="Times New Roman" w:cs="Times New Roman"/>
          <w:sz w:val="24"/>
          <w:szCs w:val="24"/>
        </w:rPr>
        <w:tab/>
        <w:t>technické zhodnotenie - rekonštrukciu a modernizáciu integrovaných bezpečnostných systémov v objektoch osobitnej dôležitosti.</w:t>
      </w:r>
    </w:p>
    <w:p w:rsidR="000A6B13" w:rsidRDefault="000A6B13" w:rsidP="00EB7D9D">
      <w:pPr>
        <w:tabs>
          <w:tab w:val="left" w:pos="567"/>
        </w:tabs>
        <w:autoSpaceDE w:val="0"/>
        <w:autoSpaceDN w:val="0"/>
        <w:adjustRightInd w:val="0"/>
        <w:spacing w:after="0" w:line="240" w:lineRule="auto"/>
        <w:jc w:val="both"/>
        <w:rPr>
          <w:rFonts w:ascii="Times New Roman" w:hAnsi="Times New Roman" w:cs="Times New Roman"/>
          <w:bCs/>
          <w:i/>
          <w:color w:val="000000"/>
          <w:sz w:val="24"/>
          <w:szCs w:val="24"/>
        </w:rPr>
      </w:pPr>
    </w:p>
    <w:p w:rsidR="00463AC2" w:rsidRPr="003204C7" w:rsidRDefault="00463AC2" w:rsidP="003204C7">
      <w:pPr>
        <w:spacing w:after="0" w:line="240" w:lineRule="auto"/>
        <w:ind w:right="26"/>
        <w:jc w:val="both"/>
        <w:rPr>
          <w:rFonts w:ascii="Times New Roman" w:hAnsi="Times New Roman" w:cs="Times New Roman"/>
          <w:i/>
          <w:sz w:val="24"/>
          <w:szCs w:val="24"/>
        </w:rPr>
      </w:pPr>
      <w:r w:rsidRPr="003204C7">
        <w:rPr>
          <w:rFonts w:ascii="Times New Roman" w:hAnsi="Times New Roman" w:cs="Times New Roman"/>
          <w:i/>
          <w:sz w:val="24"/>
          <w:szCs w:val="24"/>
        </w:rPr>
        <w:t>07K021A Akčný plán znižovania administratívneho bremena v</w:t>
      </w:r>
      <w:r w:rsidR="000275A9" w:rsidRPr="003204C7">
        <w:rPr>
          <w:rFonts w:ascii="Times New Roman" w:hAnsi="Times New Roman" w:cs="Times New Roman"/>
          <w:i/>
          <w:sz w:val="24"/>
          <w:szCs w:val="24"/>
        </w:rPr>
        <w:t> </w:t>
      </w:r>
      <w:r w:rsidRPr="003204C7">
        <w:rPr>
          <w:rFonts w:ascii="Times New Roman" w:hAnsi="Times New Roman" w:cs="Times New Roman"/>
          <w:i/>
          <w:sz w:val="24"/>
          <w:szCs w:val="24"/>
        </w:rPr>
        <w:t>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881"/>
        <w:gridCol w:w="1276"/>
        <w:gridCol w:w="1559"/>
        <w:gridCol w:w="1418"/>
        <w:gridCol w:w="1417"/>
      </w:tblGrid>
      <w:tr w:rsidR="00463AC2" w:rsidRPr="007A142C" w:rsidTr="007A142C">
        <w:trPr>
          <w:trHeight w:val="725"/>
        </w:trPr>
        <w:tc>
          <w:tcPr>
            <w:tcW w:w="2521" w:type="dxa"/>
            <w:shd w:val="clear" w:color="auto" w:fill="auto"/>
          </w:tcPr>
          <w:p w:rsidR="00463AC2" w:rsidRPr="007A142C" w:rsidRDefault="00463AC2" w:rsidP="000E252D">
            <w:pPr>
              <w:spacing w:after="0" w:line="240" w:lineRule="auto"/>
              <w:jc w:val="both"/>
              <w:rPr>
                <w:rFonts w:ascii="Times New Roman" w:eastAsia="Times New Roman" w:hAnsi="Times New Roman" w:cs="Times New Roman"/>
                <w:b/>
              </w:rPr>
            </w:pPr>
            <w:r w:rsidRPr="007A142C">
              <w:rPr>
                <w:rFonts w:ascii="Times New Roman" w:eastAsia="Times New Roman" w:hAnsi="Times New Roman" w:cs="Times New Roman"/>
                <w:b/>
              </w:rPr>
              <w:t>Ekonomická</w:t>
            </w:r>
          </w:p>
          <w:p w:rsidR="00463AC2" w:rsidRPr="007A142C" w:rsidRDefault="00463AC2" w:rsidP="000E252D">
            <w:pPr>
              <w:spacing w:after="0" w:line="240" w:lineRule="auto"/>
              <w:jc w:val="both"/>
              <w:rPr>
                <w:rFonts w:ascii="Times New Roman" w:eastAsia="Times New Roman" w:hAnsi="Times New Roman" w:cs="Times New Roman"/>
                <w:b/>
              </w:rPr>
            </w:pPr>
            <w:r w:rsidRPr="007A142C">
              <w:rPr>
                <w:rFonts w:ascii="Times New Roman" w:eastAsia="Times New Roman" w:hAnsi="Times New Roman" w:cs="Times New Roman"/>
                <w:b/>
              </w:rPr>
              <w:t>klasifikácia</w:t>
            </w:r>
          </w:p>
        </w:tc>
        <w:tc>
          <w:tcPr>
            <w:tcW w:w="881" w:type="dxa"/>
          </w:tcPr>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Zdroj</w:t>
            </w:r>
          </w:p>
        </w:tc>
        <w:tc>
          <w:tcPr>
            <w:tcW w:w="1276" w:type="dxa"/>
            <w:shd w:val="clear" w:color="auto" w:fill="auto"/>
          </w:tcPr>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Schválený</w:t>
            </w:r>
          </w:p>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rozpočet k 1.1.2015</w:t>
            </w:r>
          </w:p>
        </w:tc>
        <w:tc>
          <w:tcPr>
            <w:tcW w:w="1559" w:type="dxa"/>
            <w:shd w:val="clear" w:color="auto" w:fill="auto"/>
          </w:tcPr>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Upravený</w:t>
            </w:r>
          </w:p>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rozpočet k 31.12.2015</w:t>
            </w:r>
          </w:p>
        </w:tc>
        <w:tc>
          <w:tcPr>
            <w:tcW w:w="1418" w:type="dxa"/>
            <w:shd w:val="clear" w:color="auto" w:fill="auto"/>
          </w:tcPr>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Čerpanie k</w:t>
            </w:r>
          </w:p>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31.12.2015</w:t>
            </w:r>
          </w:p>
        </w:tc>
        <w:tc>
          <w:tcPr>
            <w:tcW w:w="1417" w:type="dxa"/>
            <w:shd w:val="clear" w:color="auto" w:fill="auto"/>
          </w:tcPr>
          <w:p w:rsidR="00463AC2" w:rsidRPr="007A142C" w:rsidRDefault="00463AC2" w:rsidP="000E252D">
            <w:pPr>
              <w:spacing w:after="0" w:line="240" w:lineRule="auto"/>
              <w:jc w:val="center"/>
              <w:rPr>
                <w:rFonts w:ascii="Times New Roman" w:eastAsia="Times New Roman" w:hAnsi="Times New Roman" w:cs="Times New Roman"/>
                <w:b/>
              </w:rPr>
            </w:pPr>
            <w:r w:rsidRPr="007A142C">
              <w:rPr>
                <w:rFonts w:ascii="Times New Roman" w:eastAsia="Times New Roman" w:hAnsi="Times New Roman" w:cs="Times New Roman"/>
                <w:b/>
              </w:rPr>
              <w:t>% čerpania k uprav. rozpočtu</w:t>
            </w:r>
          </w:p>
        </w:tc>
      </w:tr>
      <w:tr w:rsidR="00463AC2" w:rsidRPr="007A142C" w:rsidTr="007A142C">
        <w:tc>
          <w:tcPr>
            <w:tcW w:w="2521" w:type="dxa"/>
            <w:shd w:val="clear" w:color="auto" w:fill="auto"/>
          </w:tcPr>
          <w:p w:rsidR="00463AC2" w:rsidRPr="007A142C" w:rsidRDefault="00463AC2" w:rsidP="000E252D">
            <w:pPr>
              <w:spacing w:after="0" w:line="240" w:lineRule="auto"/>
              <w:jc w:val="both"/>
              <w:rPr>
                <w:rFonts w:ascii="Times New Roman" w:eastAsia="Times New Roman" w:hAnsi="Times New Roman" w:cs="Times New Roman"/>
              </w:rPr>
            </w:pPr>
            <w:r w:rsidRPr="007A142C">
              <w:rPr>
                <w:rFonts w:ascii="Times New Roman" w:eastAsia="Times New Roman" w:hAnsi="Times New Roman" w:cs="Times New Roman"/>
              </w:rPr>
              <w:t>710 – obstarávanie kapitálových aktív</w:t>
            </w:r>
          </w:p>
        </w:tc>
        <w:tc>
          <w:tcPr>
            <w:tcW w:w="881" w:type="dxa"/>
          </w:tcPr>
          <w:p w:rsidR="00463AC2" w:rsidRPr="007A142C" w:rsidRDefault="00463AC2" w:rsidP="000E252D">
            <w:pPr>
              <w:autoSpaceDE w:val="0"/>
              <w:autoSpaceDN w:val="0"/>
              <w:adjustRightInd w:val="0"/>
              <w:spacing w:after="0" w:line="240" w:lineRule="auto"/>
              <w:jc w:val="center"/>
              <w:rPr>
                <w:rFonts w:ascii="Times New Roman" w:hAnsi="Times New Roman" w:cs="Times New Roman"/>
                <w:lang w:eastAsia="sk-SK"/>
              </w:rPr>
            </w:pPr>
          </w:p>
          <w:p w:rsidR="00463AC2" w:rsidRPr="007A142C" w:rsidRDefault="00463AC2" w:rsidP="000E252D">
            <w:pPr>
              <w:autoSpaceDE w:val="0"/>
              <w:autoSpaceDN w:val="0"/>
              <w:adjustRightInd w:val="0"/>
              <w:spacing w:after="0" w:line="240" w:lineRule="auto"/>
              <w:jc w:val="center"/>
              <w:rPr>
                <w:rFonts w:ascii="Times New Roman" w:hAnsi="Times New Roman" w:cs="Times New Roman"/>
                <w:lang w:eastAsia="sk-SK"/>
              </w:rPr>
            </w:pPr>
            <w:r w:rsidRPr="007A142C">
              <w:rPr>
                <w:rFonts w:ascii="Times New Roman" w:hAnsi="Times New Roman" w:cs="Times New Roman"/>
                <w:lang w:eastAsia="sk-SK"/>
              </w:rPr>
              <w:t>111</w:t>
            </w:r>
          </w:p>
        </w:tc>
        <w:tc>
          <w:tcPr>
            <w:tcW w:w="1276" w:type="dxa"/>
            <w:shd w:val="clear" w:color="auto" w:fill="auto"/>
          </w:tcPr>
          <w:p w:rsidR="00463AC2" w:rsidRPr="007A142C" w:rsidRDefault="00463AC2" w:rsidP="000E252D">
            <w:pPr>
              <w:autoSpaceDE w:val="0"/>
              <w:autoSpaceDN w:val="0"/>
              <w:adjustRightInd w:val="0"/>
              <w:spacing w:after="0" w:line="240" w:lineRule="auto"/>
              <w:jc w:val="right"/>
              <w:rPr>
                <w:rFonts w:ascii="Times New Roman" w:hAnsi="Times New Roman" w:cs="Times New Roman"/>
                <w:lang w:eastAsia="sk-SK"/>
              </w:rPr>
            </w:pPr>
          </w:p>
          <w:p w:rsidR="00463AC2" w:rsidRPr="007A142C" w:rsidRDefault="00463AC2" w:rsidP="000E252D">
            <w:pPr>
              <w:autoSpaceDE w:val="0"/>
              <w:autoSpaceDN w:val="0"/>
              <w:adjustRightInd w:val="0"/>
              <w:spacing w:after="0" w:line="240" w:lineRule="auto"/>
              <w:jc w:val="right"/>
              <w:rPr>
                <w:rFonts w:ascii="Times New Roman" w:hAnsi="Times New Roman" w:cs="Times New Roman"/>
                <w:lang w:eastAsia="sk-SK"/>
              </w:rPr>
            </w:pPr>
            <w:r w:rsidRPr="007A142C">
              <w:rPr>
                <w:rFonts w:ascii="Times New Roman" w:hAnsi="Times New Roman" w:cs="Times New Roman"/>
                <w:lang w:eastAsia="sk-SK"/>
              </w:rPr>
              <w:t>0,00</w:t>
            </w:r>
          </w:p>
        </w:tc>
        <w:tc>
          <w:tcPr>
            <w:tcW w:w="1559" w:type="dxa"/>
            <w:shd w:val="clear" w:color="auto" w:fill="auto"/>
          </w:tcPr>
          <w:p w:rsidR="00463AC2" w:rsidRPr="007A142C" w:rsidRDefault="00463AC2" w:rsidP="007A142C">
            <w:pPr>
              <w:autoSpaceDE w:val="0"/>
              <w:autoSpaceDN w:val="0"/>
              <w:adjustRightInd w:val="0"/>
              <w:spacing w:after="0" w:line="240" w:lineRule="auto"/>
              <w:jc w:val="right"/>
              <w:rPr>
                <w:rFonts w:ascii="Times New Roman" w:hAnsi="Times New Roman" w:cs="Times New Roman"/>
                <w:lang w:eastAsia="sk-SK"/>
              </w:rPr>
            </w:pPr>
          </w:p>
          <w:p w:rsidR="00921B78" w:rsidRPr="007A142C" w:rsidRDefault="00921B78" w:rsidP="007A142C">
            <w:pPr>
              <w:autoSpaceDE w:val="0"/>
              <w:autoSpaceDN w:val="0"/>
              <w:adjustRightInd w:val="0"/>
              <w:spacing w:after="0" w:line="240" w:lineRule="auto"/>
              <w:jc w:val="right"/>
              <w:rPr>
                <w:rFonts w:ascii="Times New Roman" w:hAnsi="Times New Roman" w:cs="Times New Roman"/>
                <w:lang w:eastAsia="sk-SK"/>
              </w:rPr>
            </w:pPr>
            <w:r w:rsidRPr="007A142C">
              <w:rPr>
                <w:rFonts w:ascii="Times New Roman" w:hAnsi="Times New Roman" w:cs="Times New Roman"/>
                <w:lang w:eastAsia="sk-SK"/>
              </w:rPr>
              <w:t>57 600,00</w:t>
            </w:r>
          </w:p>
        </w:tc>
        <w:tc>
          <w:tcPr>
            <w:tcW w:w="1418" w:type="dxa"/>
            <w:shd w:val="clear" w:color="auto" w:fill="auto"/>
          </w:tcPr>
          <w:p w:rsidR="00463AC2" w:rsidRPr="007A142C" w:rsidRDefault="00463AC2" w:rsidP="007A142C">
            <w:pPr>
              <w:autoSpaceDE w:val="0"/>
              <w:autoSpaceDN w:val="0"/>
              <w:adjustRightInd w:val="0"/>
              <w:spacing w:after="0" w:line="240" w:lineRule="auto"/>
              <w:jc w:val="right"/>
              <w:rPr>
                <w:rFonts w:ascii="Times New Roman" w:hAnsi="Times New Roman" w:cs="Times New Roman"/>
                <w:lang w:eastAsia="sk-SK"/>
              </w:rPr>
            </w:pPr>
          </w:p>
          <w:p w:rsidR="00921B78" w:rsidRPr="007A142C" w:rsidRDefault="00921B78" w:rsidP="007A142C">
            <w:pPr>
              <w:autoSpaceDE w:val="0"/>
              <w:autoSpaceDN w:val="0"/>
              <w:adjustRightInd w:val="0"/>
              <w:spacing w:after="0" w:line="240" w:lineRule="auto"/>
              <w:jc w:val="right"/>
              <w:rPr>
                <w:rFonts w:ascii="Times New Roman" w:hAnsi="Times New Roman" w:cs="Times New Roman"/>
                <w:lang w:eastAsia="sk-SK"/>
              </w:rPr>
            </w:pPr>
            <w:r w:rsidRPr="007A142C">
              <w:rPr>
                <w:rFonts w:ascii="Times New Roman" w:hAnsi="Times New Roman" w:cs="Times New Roman"/>
                <w:lang w:eastAsia="sk-SK"/>
              </w:rPr>
              <w:t>57 600,00</w:t>
            </w:r>
          </w:p>
        </w:tc>
        <w:tc>
          <w:tcPr>
            <w:tcW w:w="1417" w:type="dxa"/>
            <w:shd w:val="clear" w:color="auto" w:fill="auto"/>
          </w:tcPr>
          <w:p w:rsidR="00463AC2" w:rsidRPr="007A142C" w:rsidRDefault="00463AC2" w:rsidP="000E252D">
            <w:pPr>
              <w:spacing w:after="0" w:line="240" w:lineRule="auto"/>
              <w:jc w:val="center"/>
              <w:rPr>
                <w:rFonts w:ascii="Times New Roman" w:eastAsia="Times New Roman" w:hAnsi="Times New Roman" w:cs="Times New Roman"/>
              </w:rPr>
            </w:pPr>
          </w:p>
          <w:p w:rsidR="007A142C" w:rsidRPr="007A142C" w:rsidRDefault="007A142C" w:rsidP="000E252D">
            <w:pPr>
              <w:spacing w:after="0" w:line="240" w:lineRule="auto"/>
              <w:jc w:val="center"/>
              <w:rPr>
                <w:rFonts w:ascii="Times New Roman" w:eastAsia="Times New Roman" w:hAnsi="Times New Roman" w:cs="Times New Roman"/>
              </w:rPr>
            </w:pPr>
            <w:r w:rsidRPr="007A142C">
              <w:rPr>
                <w:rFonts w:ascii="Times New Roman" w:eastAsia="Times New Roman" w:hAnsi="Times New Roman" w:cs="Times New Roman"/>
              </w:rPr>
              <w:t>100,00</w:t>
            </w:r>
          </w:p>
        </w:tc>
      </w:tr>
    </w:tbl>
    <w:p w:rsidR="00463AC2" w:rsidRDefault="00463AC2" w:rsidP="007A142C">
      <w:pPr>
        <w:tabs>
          <w:tab w:val="left" w:pos="540"/>
        </w:tabs>
        <w:spacing w:after="0" w:line="240" w:lineRule="auto"/>
        <w:ind w:left="1260" w:hanging="1260"/>
        <w:jc w:val="both"/>
      </w:pPr>
    </w:p>
    <w:p w:rsidR="007A142C" w:rsidRPr="007A142C" w:rsidRDefault="007A142C" w:rsidP="007A142C">
      <w:pPr>
        <w:spacing w:line="240" w:lineRule="auto"/>
        <w:ind w:firstLine="567"/>
        <w:jc w:val="both"/>
        <w:rPr>
          <w:rFonts w:ascii="Times New Roman" w:hAnsi="Times New Roman" w:cs="Times New Roman"/>
          <w:sz w:val="24"/>
          <w:szCs w:val="24"/>
        </w:rPr>
      </w:pPr>
      <w:r w:rsidRPr="007A142C">
        <w:rPr>
          <w:rFonts w:ascii="Times New Roman" w:hAnsi="Times New Roman" w:cs="Times New Roman"/>
          <w:sz w:val="24"/>
          <w:szCs w:val="24"/>
        </w:rPr>
        <w:t xml:space="preserve">Rozpočtové výdavky boli vyčerpané v  súlade so zmluvou „Zlepšovanie podnikateľského prostredia na Slovensku prostredníctvom znižovania regulačného zaťaženia“, v rámci ktorej boli zrealizované úhrady za spracovanie výstupov z mapovania a merania informačných ako aj regulačných povinností vo forme internetovej databázy, za dodávku  </w:t>
      </w:r>
      <w:proofErr w:type="spellStart"/>
      <w:r w:rsidRPr="007A142C">
        <w:rPr>
          <w:rFonts w:ascii="Times New Roman" w:hAnsi="Times New Roman" w:cs="Times New Roman"/>
          <w:sz w:val="24"/>
          <w:szCs w:val="24"/>
        </w:rPr>
        <w:t>SW</w:t>
      </w:r>
      <w:proofErr w:type="spellEnd"/>
      <w:r w:rsidRPr="007A142C">
        <w:rPr>
          <w:rFonts w:ascii="Times New Roman" w:hAnsi="Times New Roman" w:cs="Times New Roman"/>
          <w:sz w:val="24"/>
          <w:szCs w:val="24"/>
        </w:rPr>
        <w:t xml:space="preserve"> licencií vrátane </w:t>
      </w:r>
      <w:proofErr w:type="spellStart"/>
      <w:r w:rsidRPr="007A142C">
        <w:rPr>
          <w:rFonts w:ascii="Times New Roman" w:hAnsi="Times New Roman" w:cs="Times New Roman"/>
          <w:sz w:val="24"/>
          <w:szCs w:val="24"/>
        </w:rPr>
        <w:t>maintenance</w:t>
      </w:r>
      <w:proofErr w:type="spellEnd"/>
      <w:r w:rsidRPr="007A142C">
        <w:rPr>
          <w:rFonts w:ascii="Times New Roman" w:hAnsi="Times New Roman" w:cs="Times New Roman"/>
          <w:sz w:val="24"/>
          <w:szCs w:val="24"/>
        </w:rPr>
        <w:t>, za nasadenie riešenia databázového systému a nevyhnutné realizačné služby súvisiace s nasadením databázového systému a za naplnenie databázy výstupmi z 3. etapy merania a znižovania administratívneho zaťaženia v SR.</w:t>
      </w:r>
    </w:p>
    <w:p w:rsidR="003966A1" w:rsidRPr="00305411" w:rsidRDefault="003966A1" w:rsidP="00305411">
      <w:pPr>
        <w:spacing w:after="0" w:line="240" w:lineRule="auto"/>
        <w:ind w:right="26"/>
        <w:jc w:val="both"/>
        <w:rPr>
          <w:rFonts w:ascii="Times New Roman" w:hAnsi="Times New Roman" w:cs="Times New Roman"/>
          <w:i/>
          <w:sz w:val="24"/>
          <w:szCs w:val="24"/>
        </w:rPr>
      </w:pPr>
      <w:r w:rsidRPr="00305411">
        <w:rPr>
          <w:rFonts w:ascii="Times New Roman" w:hAnsi="Times New Roman" w:cs="Times New Roman"/>
          <w:i/>
          <w:sz w:val="24"/>
          <w:szCs w:val="24"/>
        </w:rPr>
        <w:t>07L04 – Podpora programov rezortu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1"/>
        <w:gridCol w:w="881"/>
        <w:gridCol w:w="1418"/>
        <w:gridCol w:w="1417"/>
        <w:gridCol w:w="1418"/>
        <w:gridCol w:w="1417"/>
      </w:tblGrid>
      <w:tr w:rsidR="0059693B" w:rsidRPr="00A46718" w:rsidTr="00A46718">
        <w:trPr>
          <w:trHeight w:val="725"/>
        </w:trPr>
        <w:tc>
          <w:tcPr>
            <w:tcW w:w="2521" w:type="dxa"/>
            <w:tcBorders>
              <w:bottom w:val="single" w:sz="4" w:space="0" w:color="auto"/>
            </w:tcBorders>
            <w:shd w:val="clear" w:color="auto" w:fill="auto"/>
          </w:tcPr>
          <w:p w:rsidR="0059693B" w:rsidRPr="00A46718" w:rsidRDefault="0059693B" w:rsidP="00305411">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Ekonomická</w:t>
            </w:r>
          </w:p>
          <w:p w:rsidR="0059693B" w:rsidRPr="00A46718" w:rsidRDefault="0059693B" w:rsidP="00305411">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klasifikácia</w:t>
            </w:r>
          </w:p>
        </w:tc>
        <w:tc>
          <w:tcPr>
            <w:tcW w:w="881" w:type="dxa"/>
          </w:tcPr>
          <w:p w:rsidR="0059693B" w:rsidRPr="00A46718" w:rsidRDefault="0059693B" w:rsidP="00305411">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Zdroj</w:t>
            </w:r>
          </w:p>
        </w:tc>
        <w:tc>
          <w:tcPr>
            <w:tcW w:w="1418" w:type="dxa"/>
            <w:shd w:val="clear" w:color="auto" w:fill="auto"/>
          </w:tcPr>
          <w:p w:rsidR="0059693B" w:rsidRPr="00A46718" w:rsidRDefault="0059693B" w:rsidP="0059693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Schválený</w:t>
            </w:r>
          </w:p>
          <w:p w:rsidR="0059693B" w:rsidRPr="00A46718" w:rsidRDefault="0059693B" w:rsidP="0059693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rozpočet k 1.1.2015</w:t>
            </w:r>
          </w:p>
        </w:tc>
        <w:tc>
          <w:tcPr>
            <w:tcW w:w="1417" w:type="dxa"/>
            <w:shd w:val="clear" w:color="auto" w:fill="auto"/>
          </w:tcPr>
          <w:p w:rsidR="0059693B" w:rsidRPr="00A46718" w:rsidRDefault="0059693B" w:rsidP="00D35D8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Upravený</w:t>
            </w:r>
          </w:p>
          <w:p w:rsidR="0059693B" w:rsidRPr="00A46718" w:rsidRDefault="0059693B" w:rsidP="00D35D8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rozpočet k 31.12.2015</w:t>
            </w:r>
          </w:p>
        </w:tc>
        <w:tc>
          <w:tcPr>
            <w:tcW w:w="1418" w:type="dxa"/>
            <w:shd w:val="clear" w:color="auto" w:fill="auto"/>
          </w:tcPr>
          <w:p w:rsidR="0059693B" w:rsidRPr="00A46718" w:rsidRDefault="0059693B" w:rsidP="00D35D8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Čerpanie k</w:t>
            </w:r>
          </w:p>
          <w:p w:rsidR="0059693B" w:rsidRPr="00A46718" w:rsidRDefault="0059693B" w:rsidP="00D35D8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31.12.2015</w:t>
            </w:r>
          </w:p>
        </w:tc>
        <w:tc>
          <w:tcPr>
            <w:tcW w:w="1417" w:type="dxa"/>
            <w:shd w:val="clear" w:color="auto" w:fill="auto"/>
          </w:tcPr>
          <w:p w:rsidR="0059693B" w:rsidRPr="00A46718" w:rsidRDefault="0059693B" w:rsidP="00D35D8B">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 čerpania k uprav. rozpočtu</w:t>
            </w:r>
          </w:p>
        </w:tc>
      </w:tr>
      <w:tr w:rsidR="00C7146E" w:rsidRPr="00A46718" w:rsidTr="00A46718">
        <w:trPr>
          <w:trHeight w:val="235"/>
        </w:trPr>
        <w:tc>
          <w:tcPr>
            <w:tcW w:w="2521" w:type="dxa"/>
            <w:tcBorders>
              <w:bottom w:val="nil"/>
            </w:tcBorders>
            <w:shd w:val="clear" w:color="auto" w:fill="auto"/>
          </w:tcPr>
          <w:p w:rsidR="00C7146E" w:rsidRPr="00A46718" w:rsidRDefault="00C7146E" w:rsidP="000E252D">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710 –</w:t>
            </w:r>
            <w:r w:rsidR="00B9124C" w:rsidRPr="00A46718">
              <w:rPr>
                <w:rFonts w:ascii="Times New Roman" w:eastAsia="Times New Roman" w:hAnsi="Times New Roman" w:cs="Times New Roman"/>
              </w:rPr>
              <w:t xml:space="preserve"> obstarávanie </w:t>
            </w:r>
          </w:p>
        </w:tc>
        <w:tc>
          <w:tcPr>
            <w:tcW w:w="881" w:type="dxa"/>
          </w:tcPr>
          <w:p w:rsidR="00C7146E" w:rsidRPr="00A46718" w:rsidRDefault="00C7146E" w:rsidP="00B9124C">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111</w:t>
            </w:r>
          </w:p>
        </w:tc>
        <w:tc>
          <w:tcPr>
            <w:tcW w:w="1418" w:type="dxa"/>
            <w:shd w:val="clear" w:color="auto" w:fill="auto"/>
          </w:tcPr>
          <w:p w:rsidR="00C7146E" w:rsidRPr="00A46718" w:rsidRDefault="00B9124C" w:rsidP="00A46718">
            <w:pPr>
              <w:autoSpaceDE w:val="0"/>
              <w:autoSpaceDN w:val="0"/>
              <w:adjustRightInd w:val="0"/>
              <w:spacing w:after="0" w:line="240" w:lineRule="auto"/>
              <w:jc w:val="right"/>
              <w:rPr>
                <w:rFonts w:ascii="Times New Roman" w:hAnsi="Times New Roman" w:cs="Times New Roman"/>
                <w:lang w:eastAsia="sk-SK"/>
              </w:rPr>
            </w:pPr>
            <w:r w:rsidRPr="00A46718">
              <w:rPr>
                <w:rFonts w:ascii="Times New Roman" w:hAnsi="Times New Roman" w:cs="Times New Roman"/>
                <w:lang w:eastAsia="sk-SK"/>
              </w:rPr>
              <w:t>3</w:t>
            </w:r>
            <w:r w:rsidR="00A46718" w:rsidRPr="00A46718">
              <w:rPr>
                <w:rFonts w:ascii="Times New Roman" w:hAnsi="Times New Roman" w:cs="Times New Roman"/>
                <w:lang w:eastAsia="sk-SK"/>
              </w:rPr>
              <w:t>00</w:t>
            </w:r>
            <w:r w:rsidRPr="00A46718">
              <w:rPr>
                <w:rFonts w:ascii="Times New Roman" w:hAnsi="Times New Roman" w:cs="Times New Roman"/>
                <w:lang w:eastAsia="sk-SK"/>
              </w:rPr>
              <w:t> 000,00</w:t>
            </w:r>
          </w:p>
        </w:tc>
        <w:tc>
          <w:tcPr>
            <w:tcW w:w="1417" w:type="dxa"/>
            <w:shd w:val="clear" w:color="auto" w:fill="auto"/>
          </w:tcPr>
          <w:p w:rsidR="00C7146E" w:rsidRPr="00A46718" w:rsidRDefault="00A46718" w:rsidP="00FF4E04">
            <w:pPr>
              <w:autoSpaceDE w:val="0"/>
              <w:autoSpaceDN w:val="0"/>
              <w:adjustRightInd w:val="0"/>
              <w:spacing w:after="0" w:line="240" w:lineRule="auto"/>
              <w:jc w:val="right"/>
              <w:rPr>
                <w:rFonts w:ascii="Times New Roman" w:hAnsi="Times New Roman" w:cs="Times New Roman"/>
                <w:lang w:eastAsia="sk-SK"/>
              </w:rPr>
            </w:pPr>
            <w:r w:rsidRPr="00A46718">
              <w:rPr>
                <w:rFonts w:ascii="Times New Roman" w:hAnsi="Times New Roman" w:cs="Times New Roman"/>
                <w:lang w:eastAsia="sk-SK"/>
              </w:rPr>
              <w:t>3 100,70</w:t>
            </w:r>
          </w:p>
        </w:tc>
        <w:tc>
          <w:tcPr>
            <w:tcW w:w="1418" w:type="dxa"/>
            <w:shd w:val="clear" w:color="auto" w:fill="auto"/>
          </w:tcPr>
          <w:p w:rsidR="00C7146E" w:rsidRPr="00A46718" w:rsidRDefault="00A46718" w:rsidP="00FF4E04">
            <w:pPr>
              <w:autoSpaceDE w:val="0"/>
              <w:autoSpaceDN w:val="0"/>
              <w:adjustRightInd w:val="0"/>
              <w:spacing w:after="0" w:line="240" w:lineRule="auto"/>
              <w:jc w:val="right"/>
              <w:rPr>
                <w:rFonts w:ascii="Times New Roman" w:hAnsi="Times New Roman" w:cs="Times New Roman"/>
                <w:lang w:eastAsia="sk-SK"/>
              </w:rPr>
            </w:pPr>
            <w:r w:rsidRPr="00A46718">
              <w:rPr>
                <w:rFonts w:ascii="Times New Roman" w:hAnsi="Times New Roman" w:cs="Times New Roman"/>
                <w:lang w:eastAsia="sk-SK"/>
              </w:rPr>
              <w:t>3 100,70</w:t>
            </w:r>
          </w:p>
        </w:tc>
        <w:tc>
          <w:tcPr>
            <w:tcW w:w="1417" w:type="dxa"/>
            <w:shd w:val="clear" w:color="auto" w:fill="auto"/>
          </w:tcPr>
          <w:p w:rsidR="00C7146E" w:rsidRPr="00A46718" w:rsidRDefault="00A46718" w:rsidP="000E252D">
            <w:pPr>
              <w:spacing w:after="0" w:line="240" w:lineRule="auto"/>
              <w:jc w:val="center"/>
              <w:rPr>
                <w:rFonts w:ascii="Times New Roman" w:eastAsia="Times New Roman" w:hAnsi="Times New Roman" w:cs="Times New Roman"/>
              </w:rPr>
            </w:pPr>
            <w:r w:rsidRPr="00A46718">
              <w:rPr>
                <w:rFonts w:ascii="Times New Roman" w:eastAsia="Times New Roman" w:hAnsi="Times New Roman" w:cs="Times New Roman"/>
              </w:rPr>
              <w:t>100,00</w:t>
            </w:r>
          </w:p>
        </w:tc>
      </w:tr>
      <w:tr w:rsidR="00C7146E" w:rsidRPr="00A46718" w:rsidTr="00A46718">
        <w:tc>
          <w:tcPr>
            <w:tcW w:w="2521" w:type="dxa"/>
            <w:tcBorders>
              <w:top w:val="nil"/>
            </w:tcBorders>
            <w:shd w:val="clear" w:color="auto" w:fill="auto"/>
          </w:tcPr>
          <w:p w:rsidR="00C7146E" w:rsidRPr="00A46718" w:rsidRDefault="00B9124C" w:rsidP="000E252D">
            <w:pPr>
              <w:spacing w:after="0" w:line="240" w:lineRule="auto"/>
              <w:jc w:val="both"/>
              <w:rPr>
                <w:rFonts w:ascii="Times New Roman" w:eastAsia="Times New Roman" w:hAnsi="Times New Roman" w:cs="Times New Roman"/>
              </w:rPr>
            </w:pPr>
            <w:r w:rsidRPr="00A46718">
              <w:rPr>
                <w:rFonts w:ascii="Times New Roman" w:eastAsia="Times New Roman" w:hAnsi="Times New Roman" w:cs="Times New Roman"/>
              </w:rPr>
              <w:t xml:space="preserve">        kapitálových aktív</w:t>
            </w:r>
          </w:p>
        </w:tc>
        <w:tc>
          <w:tcPr>
            <w:tcW w:w="881" w:type="dxa"/>
          </w:tcPr>
          <w:p w:rsidR="00C7146E" w:rsidRPr="00A46718" w:rsidRDefault="00C7146E" w:rsidP="00B9124C">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131E</w:t>
            </w:r>
          </w:p>
        </w:tc>
        <w:tc>
          <w:tcPr>
            <w:tcW w:w="1418" w:type="dxa"/>
            <w:shd w:val="clear" w:color="auto" w:fill="auto"/>
          </w:tcPr>
          <w:p w:rsidR="00C7146E" w:rsidRPr="00A46718" w:rsidRDefault="00B9124C" w:rsidP="00B9124C">
            <w:pPr>
              <w:autoSpaceDE w:val="0"/>
              <w:autoSpaceDN w:val="0"/>
              <w:adjustRightInd w:val="0"/>
              <w:spacing w:after="0" w:line="240" w:lineRule="auto"/>
              <w:jc w:val="right"/>
              <w:rPr>
                <w:rFonts w:ascii="Times New Roman" w:hAnsi="Times New Roman" w:cs="Times New Roman"/>
                <w:lang w:eastAsia="sk-SK"/>
              </w:rPr>
            </w:pPr>
            <w:r w:rsidRPr="00A46718">
              <w:rPr>
                <w:rFonts w:ascii="Times New Roman" w:hAnsi="Times New Roman" w:cs="Times New Roman"/>
                <w:lang w:eastAsia="sk-SK"/>
              </w:rPr>
              <w:t>0,00</w:t>
            </w:r>
          </w:p>
        </w:tc>
        <w:tc>
          <w:tcPr>
            <w:tcW w:w="1417" w:type="dxa"/>
            <w:shd w:val="clear" w:color="auto" w:fill="auto"/>
          </w:tcPr>
          <w:p w:rsidR="00C7146E" w:rsidRPr="00A46718" w:rsidRDefault="00A46718" w:rsidP="00A46718">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1 721 100,92</w:t>
            </w:r>
          </w:p>
        </w:tc>
        <w:tc>
          <w:tcPr>
            <w:tcW w:w="1418" w:type="dxa"/>
            <w:shd w:val="clear" w:color="auto" w:fill="auto"/>
          </w:tcPr>
          <w:p w:rsidR="00C7146E" w:rsidRPr="00A46718" w:rsidRDefault="00A46718" w:rsidP="00A46718">
            <w:pPr>
              <w:autoSpaceDE w:val="0"/>
              <w:autoSpaceDN w:val="0"/>
              <w:adjustRightInd w:val="0"/>
              <w:spacing w:after="0" w:line="240" w:lineRule="auto"/>
              <w:rPr>
                <w:rFonts w:ascii="Times New Roman" w:hAnsi="Times New Roman" w:cs="Times New Roman"/>
                <w:lang w:eastAsia="sk-SK"/>
              </w:rPr>
            </w:pPr>
            <w:r w:rsidRPr="00A46718">
              <w:rPr>
                <w:rFonts w:ascii="Times New Roman" w:hAnsi="Times New Roman" w:cs="Times New Roman"/>
                <w:lang w:eastAsia="sk-SK"/>
              </w:rPr>
              <w:t>1 721 100,92</w:t>
            </w:r>
          </w:p>
        </w:tc>
        <w:tc>
          <w:tcPr>
            <w:tcW w:w="1417" w:type="dxa"/>
            <w:shd w:val="clear" w:color="auto" w:fill="auto"/>
          </w:tcPr>
          <w:p w:rsidR="00C7146E" w:rsidRPr="00A46718" w:rsidRDefault="00A46718" w:rsidP="000E252D">
            <w:pPr>
              <w:spacing w:after="0" w:line="240" w:lineRule="auto"/>
              <w:jc w:val="center"/>
              <w:rPr>
                <w:rFonts w:ascii="Times New Roman" w:eastAsia="Times New Roman" w:hAnsi="Times New Roman" w:cs="Times New Roman"/>
              </w:rPr>
            </w:pPr>
            <w:r w:rsidRPr="00A46718">
              <w:rPr>
                <w:rFonts w:ascii="Times New Roman" w:eastAsia="Times New Roman" w:hAnsi="Times New Roman" w:cs="Times New Roman"/>
              </w:rPr>
              <w:t>100,00</w:t>
            </w:r>
          </w:p>
        </w:tc>
      </w:tr>
      <w:tr w:rsidR="003966A1" w:rsidRPr="00A46718" w:rsidTr="00A46718">
        <w:tc>
          <w:tcPr>
            <w:tcW w:w="2521" w:type="dxa"/>
            <w:shd w:val="clear" w:color="auto" w:fill="auto"/>
          </w:tcPr>
          <w:p w:rsidR="003966A1" w:rsidRPr="00A46718" w:rsidRDefault="003966A1" w:rsidP="00C7146E">
            <w:pPr>
              <w:spacing w:after="0" w:line="240" w:lineRule="auto"/>
              <w:jc w:val="both"/>
              <w:rPr>
                <w:rFonts w:ascii="Times New Roman" w:eastAsia="Times New Roman" w:hAnsi="Times New Roman" w:cs="Times New Roman"/>
                <w:b/>
              </w:rPr>
            </w:pPr>
            <w:r w:rsidRPr="00A46718">
              <w:rPr>
                <w:rFonts w:ascii="Times New Roman" w:eastAsia="Times New Roman" w:hAnsi="Times New Roman" w:cs="Times New Roman"/>
                <w:b/>
              </w:rPr>
              <w:t xml:space="preserve">710 – </w:t>
            </w:r>
            <w:r w:rsidR="00C7146E" w:rsidRPr="00A46718">
              <w:rPr>
                <w:rFonts w:ascii="Times New Roman" w:eastAsia="Times New Roman" w:hAnsi="Times New Roman" w:cs="Times New Roman"/>
                <w:b/>
              </w:rPr>
              <w:t>Spolu</w:t>
            </w:r>
          </w:p>
        </w:tc>
        <w:tc>
          <w:tcPr>
            <w:tcW w:w="881" w:type="dxa"/>
          </w:tcPr>
          <w:p w:rsidR="003966A1" w:rsidRPr="00A46718" w:rsidRDefault="003966A1" w:rsidP="00B9124C">
            <w:pPr>
              <w:autoSpaceDE w:val="0"/>
              <w:autoSpaceDN w:val="0"/>
              <w:adjustRightInd w:val="0"/>
              <w:spacing w:after="0" w:line="240" w:lineRule="auto"/>
              <w:rPr>
                <w:rFonts w:ascii="Times New Roman" w:hAnsi="Times New Roman" w:cs="Times New Roman"/>
                <w:b/>
                <w:lang w:eastAsia="sk-SK"/>
              </w:rPr>
            </w:pPr>
          </w:p>
        </w:tc>
        <w:tc>
          <w:tcPr>
            <w:tcW w:w="1418" w:type="dxa"/>
            <w:shd w:val="clear" w:color="auto" w:fill="auto"/>
          </w:tcPr>
          <w:p w:rsidR="00C7146E" w:rsidRPr="00A46718" w:rsidRDefault="00B9124C" w:rsidP="00A46718">
            <w:pPr>
              <w:autoSpaceDE w:val="0"/>
              <w:autoSpaceDN w:val="0"/>
              <w:adjustRightInd w:val="0"/>
              <w:spacing w:after="0" w:line="240" w:lineRule="auto"/>
              <w:jc w:val="right"/>
              <w:rPr>
                <w:rFonts w:ascii="Times New Roman" w:hAnsi="Times New Roman" w:cs="Times New Roman"/>
                <w:b/>
                <w:lang w:eastAsia="sk-SK"/>
              </w:rPr>
            </w:pPr>
            <w:r w:rsidRPr="00A46718">
              <w:rPr>
                <w:rFonts w:ascii="Times New Roman" w:hAnsi="Times New Roman" w:cs="Times New Roman"/>
                <w:b/>
                <w:lang w:eastAsia="sk-SK"/>
              </w:rPr>
              <w:t>3</w:t>
            </w:r>
            <w:r w:rsidR="00A46718" w:rsidRPr="00A46718">
              <w:rPr>
                <w:rFonts w:ascii="Times New Roman" w:hAnsi="Times New Roman" w:cs="Times New Roman"/>
                <w:b/>
                <w:lang w:eastAsia="sk-SK"/>
              </w:rPr>
              <w:t>00</w:t>
            </w:r>
            <w:r w:rsidRPr="00A46718">
              <w:rPr>
                <w:rFonts w:ascii="Times New Roman" w:hAnsi="Times New Roman" w:cs="Times New Roman"/>
                <w:b/>
                <w:lang w:eastAsia="sk-SK"/>
              </w:rPr>
              <w:t> 000,00</w:t>
            </w:r>
          </w:p>
        </w:tc>
        <w:tc>
          <w:tcPr>
            <w:tcW w:w="1417" w:type="dxa"/>
            <w:shd w:val="clear" w:color="auto" w:fill="auto"/>
          </w:tcPr>
          <w:p w:rsidR="003966A1" w:rsidRPr="00A46718" w:rsidRDefault="00A46718" w:rsidP="00A46718">
            <w:pPr>
              <w:autoSpaceDE w:val="0"/>
              <w:autoSpaceDN w:val="0"/>
              <w:adjustRightInd w:val="0"/>
              <w:spacing w:after="0" w:line="240" w:lineRule="auto"/>
              <w:rPr>
                <w:rFonts w:ascii="Times New Roman" w:hAnsi="Times New Roman" w:cs="Times New Roman"/>
                <w:b/>
                <w:lang w:eastAsia="sk-SK"/>
              </w:rPr>
            </w:pPr>
            <w:r w:rsidRPr="00A46718">
              <w:rPr>
                <w:rFonts w:ascii="Times New Roman" w:hAnsi="Times New Roman" w:cs="Times New Roman"/>
                <w:b/>
                <w:lang w:eastAsia="sk-SK"/>
              </w:rPr>
              <w:t>1 724 201,62</w:t>
            </w:r>
          </w:p>
        </w:tc>
        <w:tc>
          <w:tcPr>
            <w:tcW w:w="1418" w:type="dxa"/>
            <w:shd w:val="clear" w:color="auto" w:fill="auto"/>
          </w:tcPr>
          <w:p w:rsidR="003966A1" w:rsidRPr="00A46718" w:rsidRDefault="00A46718" w:rsidP="00A46718">
            <w:pPr>
              <w:autoSpaceDE w:val="0"/>
              <w:autoSpaceDN w:val="0"/>
              <w:adjustRightInd w:val="0"/>
              <w:spacing w:after="0" w:line="240" w:lineRule="auto"/>
              <w:rPr>
                <w:rFonts w:ascii="Times New Roman" w:hAnsi="Times New Roman" w:cs="Times New Roman"/>
                <w:b/>
                <w:lang w:eastAsia="sk-SK"/>
              </w:rPr>
            </w:pPr>
            <w:r w:rsidRPr="00A46718">
              <w:rPr>
                <w:rFonts w:ascii="Times New Roman" w:hAnsi="Times New Roman" w:cs="Times New Roman"/>
                <w:b/>
                <w:lang w:eastAsia="sk-SK"/>
              </w:rPr>
              <w:t>1 724 201,62</w:t>
            </w:r>
          </w:p>
        </w:tc>
        <w:tc>
          <w:tcPr>
            <w:tcW w:w="1417" w:type="dxa"/>
            <w:shd w:val="clear" w:color="auto" w:fill="auto"/>
          </w:tcPr>
          <w:p w:rsidR="00A46718" w:rsidRPr="00A46718" w:rsidRDefault="00A46718" w:rsidP="00A46718">
            <w:pPr>
              <w:spacing w:after="0" w:line="240" w:lineRule="auto"/>
              <w:jc w:val="center"/>
              <w:rPr>
                <w:rFonts w:ascii="Times New Roman" w:eastAsia="Times New Roman" w:hAnsi="Times New Roman" w:cs="Times New Roman"/>
                <w:b/>
              </w:rPr>
            </w:pPr>
            <w:r w:rsidRPr="00A46718">
              <w:rPr>
                <w:rFonts w:ascii="Times New Roman" w:eastAsia="Times New Roman" w:hAnsi="Times New Roman" w:cs="Times New Roman"/>
                <w:b/>
              </w:rPr>
              <w:t>100,00</w:t>
            </w:r>
          </w:p>
        </w:tc>
      </w:tr>
    </w:tbl>
    <w:p w:rsidR="00CF52EF" w:rsidRDefault="00CF52EF" w:rsidP="00A46718">
      <w:pPr>
        <w:autoSpaceDE w:val="0"/>
        <w:autoSpaceDN w:val="0"/>
        <w:adjustRightInd w:val="0"/>
        <w:spacing w:after="0" w:line="240" w:lineRule="auto"/>
        <w:ind w:firstLine="708"/>
        <w:jc w:val="both"/>
        <w:rPr>
          <w:rFonts w:ascii="Times New Roman" w:hAnsi="Times New Roman" w:cs="Times New Roman"/>
          <w:sz w:val="24"/>
          <w:szCs w:val="24"/>
        </w:rPr>
      </w:pPr>
    </w:p>
    <w:p w:rsidR="00A46718" w:rsidRPr="00A46718" w:rsidRDefault="00A46718" w:rsidP="00A46718">
      <w:pPr>
        <w:autoSpaceDE w:val="0"/>
        <w:autoSpaceDN w:val="0"/>
        <w:adjustRightInd w:val="0"/>
        <w:spacing w:after="0" w:line="240" w:lineRule="auto"/>
        <w:ind w:firstLine="708"/>
        <w:jc w:val="both"/>
        <w:rPr>
          <w:rFonts w:ascii="Times New Roman" w:hAnsi="Times New Roman" w:cs="Times New Roman"/>
          <w:sz w:val="24"/>
          <w:szCs w:val="24"/>
        </w:rPr>
      </w:pPr>
      <w:r w:rsidRPr="00A46718">
        <w:rPr>
          <w:rFonts w:ascii="Times New Roman" w:hAnsi="Times New Roman" w:cs="Times New Roman"/>
          <w:sz w:val="24"/>
          <w:szCs w:val="24"/>
        </w:rPr>
        <w:t xml:space="preserve">Kapitálové  výdavky boli vyčerpané na realizáciu výstavby expozície na medzinárodnej výstave EXPO Miláno 2015, pričom </w:t>
      </w:r>
      <w:r w:rsidRPr="00A46718">
        <w:rPr>
          <w:rFonts w:ascii="Times New Roman" w:hAnsi="Times New Roman" w:cs="Times New Roman"/>
          <w:sz w:val="24"/>
          <w:szCs w:val="24"/>
          <w:lang w:eastAsia="sk-SK"/>
        </w:rPr>
        <w:t>1 145 322,85</w:t>
      </w:r>
      <w:r w:rsidRPr="00A46718">
        <w:rPr>
          <w:rFonts w:ascii="Times New Roman" w:hAnsi="Times New Roman" w:cs="Times New Roman"/>
          <w:sz w:val="24"/>
          <w:szCs w:val="24"/>
        </w:rPr>
        <w:t xml:space="preserve"> eur bolo vyčerpaných na výstavbu stavebných objektov a na projektovú dokumentáciu bolo vyčerpaných </w:t>
      </w:r>
      <w:r>
        <w:rPr>
          <w:rFonts w:ascii="Times New Roman" w:hAnsi="Times New Roman" w:cs="Times New Roman"/>
          <w:sz w:val="24"/>
          <w:szCs w:val="24"/>
        </w:rPr>
        <w:t xml:space="preserve">            </w:t>
      </w:r>
      <w:r w:rsidRPr="00A46718">
        <w:rPr>
          <w:rFonts w:ascii="Times New Roman" w:hAnsi="Times New Roman" w:cs="Times New Roman"/>
          <w:sz w:val="24"/>
          <w:szCs w:val="24"/>
        </w:rPr>
        <w:t xml:space="preserve">31 000,00 eur. </w:t>
      </w:r>
    </w:p>
    <w:p w:rsidR="00A46718" w:rsidRPr="00A46718" w:rsidRDefault="00A46718" w:rsidP="00A46718">
      <w:pPr>
        <w:autoSpaceDE w:val="0"/>
        <w:autoSpaceDN w:val="0"/>
        <w:adjustRightInd w:val="0"/>
        <w:spacing w:after="0" w:line="240" w:lineRule="auto"/>
        <w:jc w:val="both"/>
        <w:rPr>
          <w:rFonts w:ascii="Times New Roman" w:hAnsi="Times New Roman" w:cs="Times New Roman"/>
          <w:sz w:val="24"/>
          <w:szCs w:val="24"/>
          <w:lang w:eastAsia="sk-SK"/>
        </w:rPr>
      </w:pPr>
      <w:r w:rsidRPr="00A46718">
        <w:rPr>
          <w:rFonts w:ascii="Times New Roman" w:hAnsi="Times New Roman" w:cs="Times New Roman"/>
          <w:sz w:val="24"/>
          <w:szCs w:val="24"/>
        </w:rPr>
        <w:t xml:space="preserve">Kapitálové výdavky v sume </w:t>
      </w:r>
      <w:r w:rsidRPr="00A46718">
        <w:rPr>
          <w:rFonts w:ascii="Times New Roman" w:hAnsi="Times New Roman" w:cs="Times New Roman"/>
          <w:sz w:val="24"/>
          <w:szCs w:val="24"/>
          <w:lang w:eastAsia="sk-SK"/>
        </w:rPr>
        <w:t xml:space="preserve">156 806,62 eur boli vyčerpané na úhradu výdavkov na dobudovanie systému komplexnej požiarnej ochrany budov MH SR III. etapa. Výdavky za nákup výpočtovej techniky boli v hodnotenom období uhradené v sume 239 250,00 eur za nákup notebooku, </w:t>
      </w:r>
      <w:proofErr w:type="spellStart"/>
      <w:r w:rsidRPr="00A46718">
        <w:rPr>
          <w:rFonts w:ascii="Times New Roman" w:hAnsi="Times New Roman" w:cs="Times New Roman"/>
          <w:sz w:val="24"/>
          <w:szCs w:val="24"/>
          <w:lang w:eastAsia="sk-SK"/>
        </w:rPr>
        <w:t>Firewal</w:t>
      </w:r>
      <w:proofErr w:type="spellEnd"/>
      <w:r w:rsidRPr="00A46718">
        <w:rPr>
          <w:rFonts w:ascii="Times New Roman" w:hAnsi="Times New Roman" w:cs="Times New Roman"/>
          <w:sz w:val="24"/>
          <w:szCs w:val="24"/>
          <w:lang w:eastAsia="sk-SK"/>
        </w:rPr>
        <w:t xml:space="preserve"> a dátového úložiska. </w:t>
      </w:r>
      <w:r w:rsidRPr="00A46718">
        <w:rPr>
          <w:rFonts w:ascii="Times New Roman" w:hAnsi="Times New Roman" w:cs="Times New Roman"/>
          <w:bCs/>
          <w:sz w:val="24"/>
          <w:szCs w:val="24"/>
        </w:rPr>
        <w:t xml:space="preserve">Ďalšie čerpanie kapitálových výdavkov bolo zrealizované na nákup  troch služobných motorových vozidiel  pre potreby úradu ministerstva v celkovej sume </w:t>
      </w:r>
      <w:r w:rsidRPr="00A46718">
        <w:rPr>
          <w:rFonts w:ascii="Times New Roman" w:hAnsi="Times New Roman" w:cs="Times New Roman"/>
          <w:sz w:val="24"/>
          <w:szCs w:val="24"/>
          <w:lang w:eastAsia="sk-SK"/>
        </w:rPr>
        <w:t>119 922,60 eur a za nákup komunikačnej techniky a infraštruktúry sa vyčerpalo 26 381,55 eur. Za nákup a montáž stropnej klimatizácie bolo uhradených     2 998,00 eur. Na nákup licencií boli čerpané výdavky v sume 2 520,00 eur.</w:t>
      </w:r>
    </w:p>
    <w:p w:rsidR="008811E6" w:rsidRPr="00305411" w:rsidRDefault="008811E6" w:rsidP="00305411">
      <w:pPr>
        <w:autoSpaceDE w:val="0"/>
        <w:autoSpaceDN w:val="0"/>
        <w:adjustRightInd w:val="0"/>
        <w:spacing w:after="0" w:line="240" w:lineRule="auto"/>
        <w:jc w:val="both"/>
        <w:rPr>
          <w:rFonts w:ascii="Times New Roman" w:hAnsi="Times New Roman" w:cs="Times New Roman"/>
          <w:i/>
          <w:sz w:val="24"/>
          <w:szCs w:val="24"/>
        </w:rPr>
      </w:pPr>
    </w:p>
    <w:p w:rsidR="000A6CEF" w:rsidRPr="00305411" w:rsidRDefault="000A6CEF" w:rsidP="00305411">
      <w:pPr>
        <w:autoSpaceDE w:val="0"/>
        <w:autoSpaceDN w:val="0"/>
        <w:adjustRightInd w:val="0"/>
        <w:spacing w:after="0" w:line="240" w:lineRule="auto"/>
        <w:jc w:val="both"/>
        <w:rPr>
          <w:rFonts w:ascii="Times New Roman" w:hAnsi="Times New Roman" w:cs="Times New Roman"/>
          <w:i/>
          <w:sz w:val="24"/>
          <w:szCs w:val="24"/>
          <w:lang w:eastAsia="sk-SK"/>
        </w:rPr>
      </w:pPr>
      <w:r w:rsidRPr="00305411">
        <w:rPr>
          <w:rFonts w:ascii="Times New Roman" w:hAnsi="Times New Roman" w:cs="Times New Roman"/>
          <w:i/>
          <w:sz w:val="24"/>
          <w:szCs w:val="24"/>
        </w:rPr>
        <w:t>07L 05 Administrácia rozpočtových organizácií rezortu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1417"/>
        <w:gridCol w:w="1559"/>
        <w:gridCol w:w="1418"/>
        <w:gridCol w:w="1417"/>
      </w:tblGrid>
      <w:tr w:rsidR="0059693B" w:rsidRPr="00C56679" w:rsidTr="00C56679">
        <w:trPr>
          <w:trHeight w:val="638"/>
        </w:trPr>
        <w:tc>
          <w:tcPr>
            <w:tcW w:w="2410" w:type="dxa"/>
            <w:tcBorders>
              <w:bottom w:val="single" w:sz="4" w:space="0" w:color="auto"/>
            </w:tcBorders>
            <w:shd w:val="clear" w:color="auto" w:fill="auto"/>
          </w:tcPr>
          <w:p w:rsidR="0059693B" w:rsidRPr="00C56679" w:rsidRDefault="0059693B" w:rsidP="00305411">
            <w:pPr>
              <w:spacing w:after="0" w:line="240" w:lineRule="auto"/>
              <w:jc w:val="both"/>
              <w:rPr>
                <w:rFonts w:ascii="Times New Roman" w:eastAsia="Times New Roman" w:hAnsi="Times New Roman" w:cs="Times New Roman"/>
                <w:b/>
              </w:rPr>
            </w:pPr>
            <w:r w:rsidRPr="00C56679">
              <w:rPr>
                <w:rFonts w:ascii="Times New Roman" w:eastAsia="Times New Roman" w:hAnsi="Times New Roman" w:cs="Times New Roman"/>
                <w:b/>
              </w:rPr>
              <w:t>Ekonomická</w:t>
            </w:r>
          </w:p>
          <w:p w:rsidR="0059693B" w:rsidRPr="00C56679" w:rsidRDefault="0059693B" w:rsidP="00305411">
            <w:pPr>
              <w:spacing w:after="0" w:line="240" w:lineRule="auto"/>
              <w:jc w:val="both"/>
              <w:rPr>
                <w:rFonts w:ascii="Times New Roman" w:eastAsia="Times New Roman" w:hAnsi="Times New Roman" w:cs="Times New Roman"/>
                <w:b/>
              </w:rPr>
            </w:pPr>
            <w:r w:rsidRPr="00C56679">
              <w:rPr>
                <w:rFonts w:ascii="Times New Roman" w:eastAsia="Times New Roman" w:hAnsi="Times New Roman" w:cs="Times New Roman"/>
                <w:b/>
              </w:rPr>
              <w:t>klasifikácia</w:t>
            </w:r>
          </w:p>
        </w:tc>
        <w:tc>
          <w:tcPr>
            <w:tcW w:w="851" w:type="dxa"/>
          </w:tcPr>
          <w:p w:rsidR="0059693B" w:rsidRPr="00C56679" w:rsidRDefault="0059693B" w:rsidP="00305411">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Zdroj</w:t>
            </w:r>
          </w:p>
        </w:tc>
        <w:tc>
          <w:tcPr>
            <w:tcW w:w="1417" w:type="dxa"/>
            <w:shd w:val="clear" w:color="auto" w:fill="auto"/>
          </w:tcPr>
          <w:p w:rsidR="0059693B" w:rsidRPr="00C56679" w:rsidRDefault="0059693B" w:rsidP="0059693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Schválený</w:t>
            </w:r>
          </w:p>
          <w:p w:rsidR="0059693B" w:rsidRPr="00C56679" w:rsidRDefault="0059693B" w:rsidP="0059693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rozpočet k 1.1.2015</w:t>
            </w:r>
          </w:p>
        </w:tc>
        <w:tc>
          <w:tcPr>
            <w:tcW w:w="1559" w:type="dxa"/>
            <w:shd w:val="clear" w:color="auto" w:fill="auto"/>
          </w:tcPr>
          <w:p w:rsidR="0059693B" w:rsidRPr="00C56679" w:rsidRDefault="0059693B" w:rsidP="00D35D8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Upravený</w:t>
            </w:r>
          </w:p>
          <w:p w:rsidR="0059693B" w:rsidRPr="00C56679" w:rsidRDefault="0059693B" w:rsidP="00D35D8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rozpočet k 31.12.2015</w:t>
            </w:r>
          </w:p>
        </w:tc>
        <w:tc>
          <w:tcPr>
            <w:tcW w:w="1418" w:type="dxa"/>
            <w:shd w:val="clear" w:color="auto" w:fill="auto"/>
          </w:tcPr>
          <w:p w:rsidR="0059693B" w:rsidRPr="00C56679" w:rsidRDefault="0059693B" w:rsidP="00D35D8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Čerpanie k</w:t>
            </w:r>
          </w:p>
          <w:p w:rsidR="0059693B" w:rsidRPr="00C56679" w:rsidRDefault="0059693B" w:rsidP="00D35D8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31.12.2015</w:t>
            </w:r>
          </w:p>
        </w:tc>
        <w:tc>
          <w:tcPr>
            <w:tcW w:w="1417" w:type="dxa"/>
            <w:shd w:val="clear" w:color="auto" w:fill="auto"/>
          </w:tcPr>
          <w:p w:rsidR="0059693B" w:rsidRPr="00C56679" w:rsidRDefault="0059693B" w:rsidP="00D35D8B">
            <w:pPr>
              <w:spacing w:after="0" w:line="240" w:lineRule="auto"/>
              <w:jc w:val="center"/>
              <w:rPr>
                <w:rFonts w:ascii="Times New Roman" w:eastAsia="Times New Roman" w:hAnsi="Times New Roman" w:cs="Times New Roman"/>
                <w:b/>
              </w:rPr>
            </w:pPr>
            <w:r w:rsidRPr="00C56679">
              <w:rPr>
                <w:rFonts w:ascii="Times New Roman" w:eastAsia="Times New Roman" w:hAnsi="Times New Roman" w:cs="Times New Roman"/>
                <w:b/>
              </w:rPr>
              <w:t>% čerpania k uprav. rozpočtu</w:t>
            </w:r>
          </w:p>
        </w:tc>
      </w:tr>
      <w:tr w:rsidR="00716AEC" w:rsidRPr="00C56679" w:rsidTr="00C56679">
        <w:trPr>
          <w:trHeight w:val="283"/>
        </w:trPr>
        <w:tc>
          <w:tcPr>
            <w:tcW w:w="2410" w:type="dxa"/>
            <w:tcBorders>
              <w:top w:val="single" w:sz="4" w:space="0" w:color="auto"/>
              <w:bottom w:val="single" w:sz="4" w:space="0" w:color="auto"/>
            </w:tcBorders>
            <w:shd w:val="clear" w:color="auto" w:fill="auto"/>
          </w:tcPr>
          <w:p w:rsidR="00716AEC" w:rsidRPr="00C56679" w:rsidRDefault="00716AEC" w:rsidP="00FF4E04">
            <w:pPr>
              <w:spacing w:after="0" w:line="240" w:lineRule="auto"/>
              <w:ind w:left="459" w:hanging="459"/>
              <w:jc w:val="both"/>
              <w:rPr>
                <w:rFonts w:ascii="Times New Roman" w:eastAsia="Times New Roman" w:hAnsi="Times New Roman" w:cs="Times New Roman"/>
              </w:rPr>
            </w:pPr>
            <w:r w:rsidRPr="00C56679">
              <w:rPr>
                <w:rFonts w:ascii="Times New Roman" w:eastAsia="Times New Roman" w:hAnsi="Times New Roman" w:cs="Times New Roman"/>
              </w:rPr>
              <w:t>710 – obstarávanie</w:t>
            </w:r>
            <w:r w:rsidR="00FF4E04">
              <w:rPr>
                <w:rFonts w:ascii="Times New Roman" w:eastAsia="Times New Roman" w:hAnsi="Times New Roman" w:cs="Times New Roman"/>
              </w:rPr>
              <w:t xml:space="preserve"> kapitálových aktív</w:t>
            </w:r>
          </w:p>
        </w:tc>
        <w:tc>
          <w:tcPr>
            <w:tcW w:w="851" w:type="dxa"/>
          </w:tcPr>
          <w:p w:rsidR="00FF4E04" w:rsidRDefault="00FF4E04" w:rsidP="00F015FF">
            <w:pPr>
              <w:autoSpaceDE w:val="0"/>
              <w:autoSpaceDN w:val="0"/>
              <w:adjustRightInd w:val="0"/>
              <w:spacing w:after="0" w:line="240" w:lineRule="auto"/>
              <w:rPr>
                <w:rFonts w:ascii="Times New Roman" w:hAnsi="Times New Roman" w:cs="Times New Roman"/>
                <w:lang w:eastAsia="sk-SK"/>
              </w:rPr>
            </w:pPr>
          </w:p>
          <w:p w:rsidR="00716AEC" w:rsidRPr="00C56679" w:rsidRDefault="00716AEC" w:rsidP="00F015FF">
            <w:pPr>
              <w:autoSpaceDE w:val="0"/>
              <w:autoSpaceDN w:val="0"/>
              <w:adjustRightInd w:val="0"/>
              <w:spacing w:after="0" w:line="240" w:lineRule="auto"/>
              <w:rPr>
                <w:rFonts w:ascii="Times New Roman" w:hAnsi="Times New Roman" w:cs="Times New Roman"/>
                <w:lang w:eastAsia="sk-SK"/>
              </w:rPr>
            </w:pPr>
            <w:r w:rsidRPr="00C56679">
              <w:rPr>
                <w:rFonts w:ascii="Times New Roman" w:hAnsi="Times New Roman" w:cs="Times New Roman"/>
                <w:lang w:eastAsia="sk-SK"/>
              </w:rPr>
              <w:t>111</w:t>
            </w:r>
          </w:p>
        </w:tc>
        <w:tc>
          <w:tcPr>
            <w:tcW w:w="1417" w:type="dxa"/>
            <w:shd w:val="clear" w:color="auto" w:fill="auto"/>
          </w:tcPr>
          <w:p w:rsidR="00FF4E04" w:rsidRDefault="00FF4E04" w:rsidP="00F015FF">
            <w:pPr>
              <w:autoSpaceDE w:val="0"/>
              <w:autoSpaceDN w:val="0"/>
              <w:adjustRightInd w:val="0"/>
              <w:spacing w:after="0" w:line="240" w:lineRule="auto"/>
              <w:jc w:val="right"/>
              <w:rPr>
                <w:rFonts w:ascii="Times New Roman" w:hAnsi="Times New Roman" w:cs="Times New Roman"/>
                <w:lang w:eastAsia="sk-SK"/>
              </w:rPr>
            </w:pPr>
          </w:p>
          <w:p w:rsidR="00716AEC" w:rsidRPr="00C56679" w:rsidRDefault="00716AEC" w:rsidP="00F015FF">
            <w:pPr>
              <w:autoSpaceDE w:val="0"/>
              <w:autoSpaceDN w:val="0"/>
              <w:adjustRightInd w:val="0"/>
              <w:spacing w:after="0" w:line="240" w:lineRule="auto"/>
              <w:jc w:val="right"/>
              <w:rPr>
                <w:rFonts w:ascii="Times New Roman" w:hAnsi="Times New Roman" w:cs="Times New Roman"/>
                <w:lang w:eastAsia="sk-SK"/>
              </w:rPr>
            </w:pPr>
            <w:r w:rsidRPr="00C56679">
              <w:rPr>
                <w:rFonts w:ascii="Times New Roman" w:hAnsi="Times New Roman" w:cs="Times New Roman"/>
                <w:lang w:eastAsia="sk-SK"/>
              </w:rPr>
              <w:t>94 200,00</w:t>
            </w:r>
          </w:p>
        </w:tc>
        <w:tc>
          <w:tcPr>
            <w:tcW w:w="1559" w:type="dxa"/>
            <w:shd w:val="clear" w:color="auto" w:fill="auto"/>
          </w:tcPr>
          <w:p w:rsidR="00FF4E04" w:rsidRDefault="00FF4E04" w:rsidP="00F015FF">
            <w:pPr>
              <w:autoSpaceDE w:val="0"/>
              <w:autoSpaceDN w:val="0"/>
              <w:adjustRightInd w:val="0"/>
              <w:spacing w:after="0" w:line="240" w:lineRule="auto"/>
              <w:jc w:val="right"/>
              <w:rPr>
                <w:rFonts w:ascii="Times New Roman" w:eastAsia="Times New Roman" w:hAnsi="Times New Roman" w:cs="Times New Roman"/>
              </w:rPr>
            </w:pPr>
          </w:p>
          <w:p w:rsidR="00716AEC" w:rsidRPr="00C56679" w:rsidRDefault="00716AEC" w:rsidP="00F015FF">
            <w:pPr>
              <w:autoSpaceDE w:val="0"/>
              <w:autoSpaceDN w:val="0"/>
              <w:adjustRightInd w:val="0"/>
              <w:spacing w:after="0" w:line="240" w:lineRule="auto"/>
              <w:jc w:val="right"/>
              <w:rPr>
                <w:rFonts w:ascii="Times New Roman" w:hAnsi="Times New Roman" w:cs="Times New Roman"/>
                <w:lang w:eastAsia="sk-SK"/>
              </w:rPr>
            </w:pPr>
            <w:r w:rsidRPr="00C56679">
              <w:rPr>
                <w:rFonts w:ascii="Times New Roman" w:eastAsia="Times New Roman" w:hAnsi="Times New Roman" w:cs="Times New Roman"/>
              </w:rPr>
              <w:t>101 700,00</w:t>
            </w:r>
          </w:p>
        </w:tc>
        <w:tc>
          <w:tcPr>
            <w:tcW w:w="1418" w:type="dxa"/>
            <w:shd w:val="clear" w:color="auto" w:fill="auto"/>
          </w:tcPr>
          <w:p w:rsidR="00FF4E04" w:rsidRDefault="00FF4E04" w:rsidP="00FF4E04">
            <w:pPr>
              <w:autoSpaceDE w:val="0"/>
              <w:autoSpaceDN w:val="0"/>
              <w:adjustRightInd w:val="0"/>
              <w:spacing w:after="0" w:line="240" w:lineRule="auto"/>
              <w:jc w:val="right"/>
              <w:rPr>
                <w:rFonts w:ascii="Times New Roman" w:hAnsi="Times New Roman" w:cs="Times New Roman"/>
                <w:lang w:eastAsia="sk-SK"/>
              </w:rPr>
            </w:pPr>
          </w:p>
          <w:p w:rsidR="00716AEC" w:rsidRPr="00C56679" w:rsidRDefault="00716AEC" w:rsidP="00FF4E04">
            <w:pPr>
              <w:autoSpaceDE w:val="0"/>
              <w:autoSpaceDN w:val="0"/>
              <w:adjustRightInd w:val="0"/>
              <w:spacing w:after="0" w:line="240" w:lineRule="auto"/>
              <w:jc w:val="right"/>
              <w:rPr>
                <w:rFonts w:ascii="Times New Roman" w:hAnsi="Times New Roman" w:cs="Times New Roman"/>
                <w:lang w:eastAsia="sk-SK"/>
              </w:rPr>
            </w:pPr>
            <w:r w:rsidRPr="00C56679">
              <w:rPr>
                <w:rFonts w:ascii="Times New Roman" w:hAnsi="Times New Roman" w:cs="Times New Roman"/>
                <w:lang w:eastAsia="sk-SK"/>
              </w:rPr>
              <w:t>101 476,04</w:t>
            </w:r>
          </w:p>
        </w:tc>
        <w:tc>
          <w:tcPr>
            <w:tcW w:w="1417" w:type="dxa"/>
            <w:shd w:val="clear" w:color="auto" w:fill="auto"/>
          </w:tcPr>
          <w:p w:rsidR="00FF4E04" w:rsidRDefault="00FF4E04" w:rsidP="000A6B13">
            <w:pPr>
              <w:spacing w:after="0" w:line="240" w:lineRule="auto"/>
              <w:jc w:val="center"/>
              <w:rPr>
                <w:rFonts w:ascii="Times New Roman" w:eastAsia="Times New Roman" w:hAnsi="Times New Roman" w:cs="Times New Roman"/>
              </w:rPr>
            </w:pPr>
          </w:p>
          <w:p w:rsidR="00716AEC" w:rsidRPr="00C56679" w:rsidRDefault="00716AEC" w:rsidP="000A6B13">
            <w:pPr>
              <w:spacing w:after="0" w:line="240" w:lineRule="auto"/>
              <w:jc w:val="center"/>
              <w:rPr>
                <w:rFonts w:ascii="Times New Roman" w:eastAsia="Times New Roman" w:hAnsi="Times New Roman" w:cs="Times New Roman"/>
              </w:rPr>
            </w:pPr>
            <w:r w:rsidRPr="00C56679">
              <w:rPr>
                <w:rFonts w:ascii="Times New Roman" w:eastAsia="Times New Roman" w:hAnsi="Times New Roman" w:cs="Times New Roman"/>
              </w:rPr>
              <w:t>99,78</w:t>
            </w:r>
          </w:p>
        </w:tc>
      </w:tr>
    </w:tbl>
    <w:p w:rsidR="00F015FF" w:rsidRDefault="00F015FF" w:rsidP="00305411">
      <w:pPr>
        <w:autoSpaceDE w:val="0"/>
        <w:autoSpaceDN w:val="0"/>
        <w:adjustRightInd w:val="0"/>
        <w:spacing w:after="0" w:line="240" w:lineRule="auto"/>
        <w:ind w:firstLine="567"/>
        <w:jc w:val="both"/>
        <w:rPr>
          <w:rFonts w:ascii="Times New Roman" w:hAnsi="Times New Roman" w:cs="Times New Roman"/>
          <w:sz w:val="24"/>
          <w:szCs w:val="24"/>
        </w:rPr>
      </w:pPr>
    </w:p>
    <w:p w:rsidR="00C56679" w:rsidRPr="00C56679" w:rsidRDefault="00C56679" w:rsidP="00C56679">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C56679">
        <w:rPr>
          <w:rFonts w:ascii="Times New Roman" w:hAnsi="Times New Roman" w:cs="Times New Roman"/>
          <w:sz w:val="24"/>
          <w:szCs w:val="24"/>
        </w:rPr>
        <w:t>Kapitálové výdavky na rok 2015 pre podriadené rozpočtové organizácie  boli schválené v sume 94 200,00</w:t>
      </w:r>
      <w:r w:rsidRPr="00C56679">
        <w:rPr>
          <w:rFonts w:ascii="Times New Roman" w:hAnsi="Times New Roman" w:cs="Times New Roman"/>
          <w:sz w:val="24"/>
          <w:szCs w:val="24"/>
          <w:lang w:eastAsia="sk-SK"/>
        </w:rPr>
        <w:t xml:space="preserve"> e</w:t>
      </w:r>
      <w:r w:rsidRPr="00C56679">
        <w:rPr>
          <w:rFonts w:ascii="Times New Roman" w:hAnsi="Times New Roman" w:cs="Times New Roman"/>
          <w:sz w:val="24"/>
          <w:szCs w:val="24"/>
        </w:rPr>
        <w:t>ur, rozpočtovými opatreniami MF SR bol rozpočet upravený  na sumu   1</w:t>
      </w:r>
      <w:r w:rsidRPr="00C56679">
        <w:rPr>
          <w:rFonts w:ascii="Times New Roman" w:hAnsi="Times New Roman" w:cs="Times New Roman"/>
          <w:sz w:val="24"/>
          <w:szCs w:val="24"/>
          <w:lang w:eastAsia="sk-SK"/>
        </w:rPr>
        <w:t>01 700,00 eur.</w:t>
      </w:r>
    </w:p>
    <w:p w:rsidR="00C56679" w:rsidRPr="00C56679" w:rsidRDefault="00C56679" w:rsidP="00C56679">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C56679">
        <w:rPr>
          <w:rFonts w:ascii="Times New Roman" w:hAnsi="Times New Roman" w:cs="Times New Roman"/>
          <w:sz w:val="24"/>
          <w:szCs w:val="24"/>
        </w:rPr>
        <w:t>Kapitálové</w:t>
      </w:r>
      <w:r w:rsidRPr="00C56679">
        <w:rPr>
          <w:rFonts w:ascii="Times New Roman" w:hAnsi="Times New Roman" w:cs="Times New Roman"/>
          <w:sz w:val="24"/>
          <w:szCs w:val="24"/>
          <w:lang w:eastAsia="sk-SK"/>
        </w:rPr>
        <w:t xml:space="preserve"> výdavky v roku 2015 boli čerpané v sume 101 476,04 eur, čo je 99,78  % z upraveného rozpočtu k 31. 12. 2015. </w:t>
      </w:r>
    </w:p>
    <w:p w:rsidR="00C56679" w:rsidRPr="00C56679" w:rsidRDefault="00C56679" w:rsidP="00C56679">
      <w:pPr>
        <w:autoSpaceDE w:val="0"/>
        <w:autoSpaceDN w:val="0"/>
        <w:adjustRightInd w:val="0"/>
        <w:spacing w:after="0" w:line="240" w:lineRule="auto"/>
        <w:ind w:firstLine="567"/>
        <w:jc w:val="both"/>
        <w:rPr>
          <w:rFonts w:ascii="Times New Roman" w:hAnsi="Times New Roman" w:cs="Times New Roman"/>
          <w:sz w:val="24"/>
          <w:szCs w:val="24"/>
          <w:lang w:eastAsia="sk-SK"/>
        </w:rPr>
      </w:pPr>
      <w:r w:rsidRPr="00593E7F">
        <w:rPr>
          <w:rFonts w:ascii="Times New Roman" w:hAnsi="Times New Roman" w:cs="Times New Roman"/>
          <w:i/>
          <w:sz w:val="24"/>
          <w:szCs w:val="24"/>
          <w:lang w:eastAsia="sk-SK"/>
        </w:rPr>
        <w:t>Slovenská  obchodná</w:t>
      </w:r>
      <w:r w:rsidRPr="00C56679">
        <w:rPr>
          <w:rFonts w:ascii="Times New Roman" w:hAnsi="Times New Roman" w:cs="Times New Roman"/>
          <w:sz w:val="24"/>
          <w:szCs w:val="24"/>
          <w:lang w:eastAsia="sk-SK"/>
        </w:rPr>
        <w:t xml:space="preserve">  inšpekcia vyčerpala kapitálové výdavky v celkovej sume           53 456,76 eur </w:t>
      </w:r>
      <w:r w:rsidRPr="00C56679">
        <w:rPr>
          <w:rFonts w:ascii="Times New Roman" w:hAnsi="Times New Roman" w:cs="Times New Roman"/>
          <w:sz w:val="24"/>
          <w:szCs w:val="24"/>
        </w:rPr>
        <w:t xml:space="preserve">na nákup  služobných  motorových vozidiel pre potreby organizácie v sume 42 928,36 eur a na čiastočnú rekonštrukciu budovy v správe </w:t>
      </w:r>
      <w:proofErr w:type="spellStart"/>
      <w:r w:rsidRPr="00C56679">
        <w:rPr>
          <w:rFonts w:ascii="Times New Roman" w:hAnsi="Times New Roman" w:cs="Times New Roman"/>
          <w:sz w:val="24"/>
          <w:szCs w:val="24"/>
        </w:rPr>
        <w:t>SOI</w:t>
      </w:r>
      <w:proofErr w:type="spellEnd"/>
      <w:r w:rsidRPr="00C56679">
        <w:rPr>
          <w:rFonts w:ascii="Times New Roman" w:hAnsi="Times New Roman" w:cs="Times New Roman"/>
          <w:sz w:val="24"/>
          <w:szCs w:val="24"/>
        </w:rPr>
        <w:t xml:space="preserve"> v Banskej Bystrici, kde je umiestnený Inšpektorát </w:t>
      </w:r>
      <w:proofErr w:type="spellStart"/>
      <w:r w:rsidRPr="00C56679">
        <w:rPr>
          <w:rFonts w:ascii="Times New Roman" w:hAnsi="Times New Roman" w:cs="Times New Roman"/>
          <w:sz w:val="24"/>
          <w:szCs w:val="24"/>
        </w:rPr>
        <w:t>SOI</w:t>
      </w:r>
      <w:proofErr w:type="spellEnd"/>
      <w:r w:rsidRPr="00C56679">
        <w:rPr>
          <w:rFonts w:ascii="Times New Roman" w:hAnsi="Times New Roman" w:cs="Times New Roman"/>
          <w:sz w:val="24"/>
          <w:szCs w:val="24"/>
        </w:rPr>
        <w:t xml:space="preserve"> pre Banskobystrický kraj v sume 10 528,40 eur.   </w:t>
      </w:r>
    </w:p>
    <w:p w:rsidR="00C56679" w:rsidRPr="00C56679" w:rsidRDefault="00C56679" w:rsidP="00C56679">
      <w:pPr>
        <w:autoSpaceDE w:val="0"/>
        <w:autoSpaceDN w:val="0"/>
        <w:adjustRightInd w:val="0"/>
        <w:spacing w:after="0" w:line="240" w:lineRule="auto"/>
        <w:ind w:firstLine="567"/>
        <w:jc w:val="both"/>
        <w:rPr>
          <w:rFonts w:ascii="Times New Roman" w:hAnsi="Times New Roman" w:cs="Times New Roman"/>
          <w:sz w:val="24"/>
          <w:szCs w:val="24"/>
        </w:rPr>
      </w:pPr>
      <w:r w:rsidRPr="00593E7F">
        <w:rPr>
          <w:rFonts w:ascii="Times New Roman" w:hAnsi="Times New Roman" w:cs="Times New Roman"/>
          <w:i/>
          <w:sz w:val="24"/>
          <w:szCs w:val="24"/>
        </w:rPr>
        <w:t>Puncový úrad</w:t>
      </w:r>
      <w:r w:rsidRPr="00C56679">
        <w:rPr>
          <w:rFonts w:ascii="Times New Roman" w:hAnsi="Times New Roman" w:cs="Times New Roman"/>
          <w:sz w:val="24"/>
          <w:szCs w:val="24"/>
        </w:rPr>
        <w:t xml:space="preserve">  zakúpil v roku 2015 špeciálny prístroj na testovanie investičného zlata pre potreby spracovania znaleckých posudkov pre Ministerstvo vnútra SR ako aj pre rozvoj puncovej kontroly v oblasti testovania investičného zlata v sume 1 823,00 eur. </w:t>
      </w:r>
    </w:p>
    <w:p w:rsidR="00C56679" w:rsidRPr="00C56679" w:rsidRDefault="00C56679" w:rsidP="00C56679">
      <w:pPr>
        <w:autoSpaceDE w:val="0"/>
        <w:autoSpaceDN w:val="0"/>
        <w:adjustRightInd w:val="0"/>
        <w:spacing w:after="0" w:line="240" w:lineRule="auto"/>
        <w:ind w:firstLine="567"/>
        <w:jc w:val="both"/>
        <w:rPr>
          <w:rFonts w:ascii="Times New Roman" w:hAnsi="Times New Roman" w:cs="Times New Roman"/>
          <w:sz w:val="24"/>
          <w:szCs w:val="24"/>
        </w:rPr>
      </w:pPr>
      <w:r w:rsidRPr="00593E7F">
        <w:rPr>
          <w:rFonts w:ascii="Times New Roman" w:hAnsi="Times New Roman" w:cs="Times New Roman"/>
          <w:i/>
          <w:sz w:val="24"/>
          <w:szCs w:val="24"/>
        </w:rPr>
        <w:t>Hlavný banský úrad</w:t>
      </w:r>
      <w:r w:rsidRPr="00C56679">
        <w:rPr>
          <w:rFonts w:ascii="Times New Roman" w:hAnsi="Times New Roman" w:cs="Times New Roman"/>
          <w:sz w:val="24"/>
          <w:szCs w:val="24"/>
        </w:rPr>
        <w:t xml:space="preserve"> vyčerpal k 31. 12. 2015 kapitálové výdavky v sume 46 196,28 eur. Výdavky boli použité na ukončenie investičných akcií Záhradný prístrešok v sume  </w:t>
      </w:r>
      <w:r w:rsidR="00DF3AFF">
        <w:rPr>
          <w:rFonts w:ascii="Times New Roman" w:hAnsi="Times New Roman" w:cs="Times New Roman"/>
          <w:sz w:val="24"/>
          <w:szCs w:val="24"/>
        </w:rPr>
        <w:t xml:space="preserve">         </w:t>
      </w:r>
      <w:r w:rsidRPr="00C56679">
        <w:rPr>
          <w:rFonts w:ascii="Times New Roman" w:hAnsi="Times New Roman" w:cs="Times New Roman"/>
          <w:sz w:val="24"/>
          <w:szCs w:val="24"/>
        </w:rPr>
        <w:t xml:space="preserve">6 946,23 eur,  </w:t>
      </w:r>
      <w:proofErr w:type="spellStart"/>
      <w:r w:rsidRPr="00C56679">
        <w:rPr>
          <w:rFonts w:ascii="Times New Roman" w:hAnsi="Times New Roman" w:cs="Times New Roman"/>
          <w:sz w:val="24"/>
          <w:szCs w:val="24"/>
        </w:rPr>
        <w:t>AB</w:t>
      </w:r>
      <w:proofErr w:type="spellEnd"/>
      <w:r w:rsidRPr="00C56679">
        <w:rPr>
          <w:rFonts w:ascii="Times New Roman" w:hAnsi="Times New Roman" w:cs="Times New Roman"/>
          <w:sz w:val="24"/>
          <w:szCs w:val="24"/>
        </w:rPr>
        <w:t xml:space="preserve"> </w:t>
      </w:r>
      <w:proofErr w:type="spellStart"/>
      <w:r w:rsidRPr="00C56679">
        <w:rPr>
          <w:rFonts w:ascii="Times New Roman" w:hAnsi="Times New Roman" w:cs="Times New Roman"/>
          <w:sz w:val="24"/>
          <w:szCs w:val="24"/>
        </w:rPr>
        <w:t>OBÚ</w:t>
      </w:r>
      <w:proofErr w:type="spellEnd"/>
      <w:r w:rsidRPr="00C56679">
        <w:rPr>
          <w:rFonts w:ascii="Times New Roman" w:hAnsi="Times New Roman" w:cs="Times New Roman"/>
          <w:sz w:val="24"/>
          <w:szCs w:val="24"/>
        </w:rPr>
        <w:t xml:space="preserve"> Košice v sume  4 872,00 eur,  Projekt záhrada </w:t>
      </w:r>
      <w:proofErr w:type="spellStart"/>
      <w:r w:rsidRPr="00C56679">
        <w:rPr>
          <w:rFonts w:ascii="Times New Roman" w:hAnsi="Times New Roman" w:cs="Times New Roman"/>
          <w:sz w:val="24"/>
          <w:szCs w:val="24"/>
        </w:rPr>
        <w:t>HBÚ</w:t>
      </w:r>
      <w:proofErr w:type="spellEnd"/>
      <w:r w:rsidRPr="00C56679">
        <w:rPr>
          <w:rFonts w:ascii="Times New Roman" w:hAnsi="Times New Roman" w:cs="Times New Roman"/>
          <w:sz w:val="24"/>
          <w:szCs w:val="24"/>
        </w:rPr>
        <w:t xml:space="preserve"> v sume  </w:t>
      </w:r>
      <w:r w:rsidR="00DF3AFF">
        <w:rPr>
          <w:rFonts w:ascii="Times New Roman" w:hAnsi="Times New Roman" w:cs="Times New Roman"/>
          <w:sz w:val="24"/>
          <w:szCs w:val="24"/>
        </w:rPr>
        <w:t xml:space="preserve">           </w:t>
      </w:r>
      <w:r w:rsidRPr="00C56679">
        <w:rPr>
          <w:rFonts w:ascii="Times New Roman" w:hAnsi="Times New Roman" w:cs="Times New Roman"/>
          <w:sz w:val="24"/>
          <w:szCs w:val="24"/>
        </w:rPr>
        <w:t xml:space="preserve"> 11 916,36 eur, na investičnú akciu Archív </w:t>
      </w:r>
      <w:proofErr w:type="spellStart"/>
      <w:r w:rsidRPr="00C56679">
        <w:rPr>
          <w:rFonts w:ascii="Times New Roman" w:hAnsi="Times New Roman" w:cs="Times New Roman"/>
          <w:sz w:val="24"/>
          <w:szCs w:val="24"/>
        </w:rPr>
        <w:t>HBÚ</w:t>
      </w:r>
      <w:proofErr w:type="spellEnd"/>
      <w:r w:rsidRPr="00C56679">
        <w:rPr>
          <w:rFonts w:ascii="Times New Roman" w:hAnsi="Times New Roman" w:cs="Times New Roman"/>
          <w:sz w:val="24"/>
          <w:szCs w:val="24"/>
        </w:rPr>
        <w:t xml:space="preserve"> v sume 16 498,63 eur a  </w:t>
      </w:r>
      <w:proofErr w:type="spellStart"/>
      <w:r w:rsidRPr="00C56679">
        <w:rPr>
          <w:rFonts w:ascii="Times New Roman" w:hAnsi="Times New Roman" w:cs="Times New Roman"/>
          <w:sz w:val="24"/>
          <w:szCs w:val="24"/>
        </w:rPr>
        <w:t>OBÚ</w:t>
      </w:r>
      <w:proofErr w:type="spellEnd"/>
      <w:r w:rsidRPr="00C56679">
        <w:rPr>
          <w:rFonts w:ascii="Times New Roman" w:hAnsi="Times New Roman" w:cs="Times New Roman"/>
          <w:sz w:val="24"/>
          <w:szCs w:val="24"/>
        </w:rPr>
        <w:t xml:space="preserve"> Banská Bystrica v sume 5 963,06 eur.</w:t>
      </w:r>
    </w:p>
    <w:p w:rsidR="00C56679" w:rsidRDefault="00C56679" w:rsidP="00C56679">
      <w:pPr>
        <w:autoSpaceDE w:val="0"/>
        <w:autoSpaceDN w:val="0"/>
        <w:adjustRightInd w:val="0"/>
        <w:spacing w:after="0" w:line="240" w:lineRule="auto"/>
        <w:ind w:firstLine="567"/>
        <w:jc w:val="both"/>
        <w:rPr>
          <w:rFonts w:ascii="Times New Roman" w:hAnsi="Times New Roman" w:cs="Times New Roman"/>
        </w:rPr>
      </w:pPr>
    </w:p>
    <w:p w:rsidR="0037339D" w:rsidRPr="00305411" w:rsidRDefault="0037339D" w:rsidP="0037339D">
      <w:pPr>
        <w:spacing w:after="0" w:line="240" w:lineRule="auto"/>
        <w:ind w:right="26" w:firstLine="709"/>
        <w:jc w:val="both"/>
        <w:rPr>
          <w:rFonts w:ascii="Times New Roman" w:hAnsi="Times New Roman" w:cs="Times New Roman"/>
          <w:sz w:val="24"/>
          <w:szCs w:val="24"/>
        </w:rPr>
      </w:pPr>
      <w:r w:rsidRPr="000233F5">
        <w:rPr>
          <w:rFonts w:ascii="Times New Roman" w:hAnsi="Times New Roman" w:cs="Times New Roman"/>
          <w:sz w:val="24"/>
          <w:szCs w:val="24"/>
        </w:rPr>
        <w:t xml:space="preserve">Zo zdrojov </w:t>
      </w:r>
      <w:r w:rsidRPr="000233F5">
        <w:rPr>
          <w:rFonts w:ascii="Times New Roman" w:hAnsi="Times New Roman" w:cs="Times New Roman"/>
          <w:b/>
          <w:i/>
          <w:sz w:val="24"/>
          <w:szCs w:val="24"/>
        </w:rPr>
        <w:t>Európskej únie a zdrojov spolufinancovania</w:t>
      </w:r>
      <w:r w:rsidRPr="000233F5">
        <w:rPr>
          <w:rFonts w:ascii="Times New Roman" w:hAnsi="Times New Roman" w:cs="Times New Roman"/>
          <w:sz w:val="24"/>
          <w:szCs w:val="24"/>
        </w:rPr>
        <w:t xml:space="preserve"> boli v roku 2015 </w:t>
      </w:r>
      <w:r w:rsidR="00DF3AFF">
        <w:rPr>
          <w:rFonts w:ascii="Times New Roman" w:hAnsi="Times New Roman" w:cs="Times New Roman"/>
          <w:sz w:val="24"/>
          <w:szCs w:val="24"/>
        </w:rPr>
        <w:t xml:space="preserve">čerpané </w:t>
      </w:r>
      <w:r w:rsidRPr="000233F5">
        <w:rPr>
          <w:rFonts w:ascii="Times New Roman" w:hAnsi="Times New Roman" w:cs="Times New Roman"/>
          <w:sz w:val="24"/>
          <w:szCs w:val="24"/>
        </w:rPr>
        <w:t>výdavky na obstarávanie kapitálových aktív nasledovne:</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51"/>
        <w:gridCol w:w="1559"/>
        <w:gridCol w:w="1559"/>
        <w:gridCol w:w="1418"/>
        <w:gridCol w:w="1417"/>
      </w:tblGrid>
      <w:tr w:rsidR="0037339D" w:rsidRPr="00884C61" w:rsidTr="00B24926">
        <w:trPr>
          <w:trHeight w:val="727"/>
        </w:trPr>
        <w:tc>
          <w:tcPr>
            <w:tcW w:w="2268" w:type="dxa"/>
            <w:tcBorders>
              <w:top w:val="single" w:sz="4" w:space="0" w:color="auto"/>
              <w:left w:val="single" w:sz="4" w:space="0" w:color="auto"/>
              <w:bottom w:val="single" w:sz="4" w:space="0" w:color="auto"/>
              <w:right w:val="single" w:sz="4" w:space="0" w:color="auto"/>
            </w:tcBorders>
            <w:shd w:val="clear" w:color="auto" w:fill="auto"/>
          </w:tcPr>
          <w:p w:rsidR="0037339D" w:rsidRPr="00884C61" w:rsidRDefault="0037339D" w:rsidP="000E252D">
            <w:pPr>
              <w:spacing w:after="0" w:line="240" w:lineRule="auto"/>
              <w:jc w:val="both"/>
              <w:rPr>
                <w:rFonts w:ascii="Times New Roman" w:eastAsia="Times New Roman" w:hAnsi="Times New Roman" w:cs="Times New Roman"/>
                <w:b/>
              </w:rPr>
            </w:pPr>
            <w:r w:rsidRPr="00884C61">
              <w:rPr>
                <w:rFonts w:ascii="Times New Roman" w:eastAsia="Times New Roman" w:hAnsi="Times New Roman" w:cs="Times New Roman"/>
                <w:b/>
              </w:rPr>
              <w:t>Ekonomická</w:t>
            </w:r>
          </w:p>
          <w:p w:rsidR="0037339D" w:rsidRPr="00884C61" w:rsidRDefault="0037339D" w:rsidP="000E252D">
            <w:pPr>
              <w:spacing w:after="0" w:line="240" w:lineRule="auto"/>
              <w:jc w:val="both"/>
              <w:rPr>
                <w:rFonts w:ascii="Times New Roman" w:eastAsia="Times New Roman" w:hAnsi="Times New Roman" w:cs="Times New Roman"/>
                <w:b/>
              </w:rPr>
            </w:pPr>
            <w:r w:rsidRPr="00884C61">
              <w:rPr>
                <w:rFonts w:ascii="Times New Roman" w:eastAsia="Times New Roman" w:hAnsi="Times New Roman" w:cs="Times New Roman"/>
                <w:b/>
              </w:rPr>
              <w:t>klasifikácia</w:t>
            </w:r>
          </w:p>
        </w:tc>
        <w:tc>
          <w:tcPr>
            <w:tcW w:w="851" w:type="dxa"/>
            <w:tcBorders>
              <w:left w:val="single" w:sz="4" w:space="0" w:color="auto"/>
            </w:tcBorders>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Zdroj</w:t>
            </w:r>
          </w:p>
        </w:tc>
        <w:tc>
          <w:tcPr>
            <w:tcW w:w="1559"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Schválený</w:t>
            </w:r>
          </w:p>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rozpočet k 1.1.2015</w:t>
            </w:r>
          </w:p>
        </w:tc>
        <w:tc>
          <w:tcPr>
            <w:tcW w:w="1559"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Upravený</w:t>
            </w:r>
          </w:p>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rozpočet k 31.12.2015</w:t>
            </w:r>
          </w:p>
        </w:tc>
        <w:tc>
          <w:tcPr>
            <w:tcW w:w="1418"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Čerpanie k</w:t>
            </w:r>
          </w:p>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31.12.2015</w:t>
            </w:r>
          </w:p>
        </w:tc>
        <w:tc>
          <w:tcPr>
            <w:tcW w:w="1417" w:type="dxa"/>
            <w:shd w:val="clear" w:color="auto" w:fill="auto"/>
          </w:tcPr>
          <w:p w:rsidR="0037339D" w:rsidRPr="00884C61" w:rsidRDefault="0037339D" w:rsidP="000E252D">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 čerpania k uprav. rozpočtu</w:t>
            </w:r>
          </w:p>
        </w:tc>
      </w:tr>
      <w:tr w:rsidR="00B24926" w:rsidRPr="00884C61" w:rsidTr="00B24926">
        <w:tc>
          <w:tcPr>
            <w:tcW w:w="2268" w:type="dxa"/>
            <w:tcBorders>
              <w:top w:val="nil"/>
              <w:left w:val="single" w:sz="4" w:space="0" w:color="auto"/>
              <w:bottom w:val="nil"/>
              <w:right w:val="single" w:sz="4" w:space="0" w:color="auto"/>
            </w:tcBorders>
            <w:shd w:val="clear" w:color="auto" w:fill="auto"/>
          </w:tcPr>
          <w:p w:rsidR="00192A2A" w:rsidRPr="00884C61" w:rsidRDefault="00192A2A" w:rsidP="000A6B13">
            <w:pPr>
              <w:spacing w:after="0" w:line="240" w:lineRule="auto"/>
              <w:jc w:val="both"/>
              <w:rPr>
                <w:rFonts w:ascii="Times New Roman" w:eastAsia="Times New Roman" w:hAnsi="Times New Roman" w:cs="Times New Roman"/>
              </w:rPr>
            </w:pPr>
            <w:r w:rsidRPr="00884C61">
              <w:rPr>
                <w:rFonts w:ascii="Times New Roman" w:eastAsia="Times New Roman" w:hAnsi="Times New Roman" w:cs="Times New Roman"/>
              </w:rPr>
              <w:t>710 – obstarávanie</w:t>
            </w:r>
          </w:p>
        </w:tc>
        <w:tc>
          <w:tcPr>
            <w:tcW w:w="851" w:type="dxa"/>
            <w:tcBorders>
              <w:left w:val="single" w:sz="4" w:space="0" w:color="auto"/>
            </w:tcBorders>
          </w:tcPr>
          <w:p w:rsidR="00192A2A" w:rsidRPr="00884C61" w:rsidRDefault="00192A2A" w:rsidP="000A6B13">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11S1</w:t>
            </w:r>
          </w:p>
        </w:tc>
        <w:tc>
          <w:tcPr>
            <w:tcW w:w="1559" w:type="dxa"/>
            <w:shd w:val="clear" w:color="auto" w:fill="auto"/>
          </w:tcPr>
          <w:p w:rsidR="00192A2A" w:rsidRPr="00884C61" w:rsidRDefault="00192A2A" w:rsidP="000A6B13">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192A2A" w:rsidRPr="00884C61" w:rsidRDefault="00884C61" w:rsidP="00884C61">
            <w:pPr>
              <w:autoSpaceDE w:val="0"/>
              <w:autoSpaceDN w:val="0"/>
              <w:adjustRightInd w:val="0"/>
              <w:spacing w:after="0" w:line="240" w:lineRule="auto"/>
              <w:rPr>
                <w:rFonts w:ascii="Times New Roman" w:hAnsi="Times New Roman" w:cs="Times New Roman"/>
                <w:lang w:eastAsia="sk-SK"/>
              </w:rPr>
            </w:pPr>
            <w:r w:rsidRPr="00884C61">
              <w:rPr>
                <w:rFonts w:ascii="Times New Roman" w:hAnsi="Times New Roman" w:cs="Times New Roman"/>
                <w:lang w:eastAsia="sk-SK"/>
              </w:rPr>
              <w:t>1 733 958,75</w:t>
            </w:r>
          </w:p>
        </w:tc>
        <w:tc>
          <w:tcPr>
            <w:tcW w:w="1418" w:type="dxa"/>
            <w:shd w:val="clear" w:color="auto" w:fill="auto"/>
          </w:tcPr>
          <w:p w:rsidR="00192A2A" w:rsidRPr="00884C61" w:rsidRDefault="00884C61" w:rsidP="00884C61">
            <w:pPr>
              <w:autoSpaceDE w:val="0"/>
              <w:autoSpaceDN w:val="0"/>
              <w:adjustRightInd w:val="0"/>
              <w:spacing w:after="0" w:line="240" w:lineRule="auto"/>
              <w:rPr>
                <w:rFonts w:ascii="Times New Roman" w:hAnsi="Times New Roman" w:cs="Times New Roman"/>
                <w:lang w:eastAsia="sk-SK"/>
              </w:rPr>
            </w:pPr>
            <w:r w:rsidRPr="00884C61">
              <w:rPr>
                <w:rFonts w:ascii="Times New Roman" w:hAnsi="Times New Roman" w:cs="Times New Roman"/>
                <w:lang w:eastAsia="sk-SK"/>
              </w:rPr>
              <w:t>1 733 958,75</w:t>
            </w:r>
          </w:p>
        </w:tc>
        <w:tc>
          <w:tcPr>
            <w:tcW w:w="1417" w:type="dxa"/>
            <w:shd w:val="clear" w:color="auto" w:fill="auto"/>
          </w:tcPr>
          <w:p w:rsidR="00192A2A" w:rsidRPr="00884C61" w:rsidRDefault="00884C61"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B24926" w:rsidRPr="00884C61" w:rsidTr="00B24926">
        <w:tc>
          <w:tcPr>
            <w:tcW w:w="2268" w:type="dxa"/>
            <w:tcBorders>
              <w:top w:val="nil"/>
              <w:left w:val="single" w:sz="4" w:space="0" w:color="auto"/>
              <w:bottom w:val="nil"/>
              <w:right w:val="single" w:sz="4" w:space="0" w:color="auto"/>
            </w:tcBorders>
            <w:shd w:val="clear" w:color="auto" w:fill="auto"/>
          </w:tcPr>
          <w:p w:rsidR="00884C61" w:rsidRPr="00884C61" w:rsidRDefault="00884C61" w:rsidP="000A6B13">
            <w:pPr>
              <w:spacing w:after="0" w:line="240" w:lineRule="auto"/>
              <w:jc w:val="both"/>
              <w:rPr>
                <w:rFonts w:ascii="Times New Roman" w:eastAsia="Times New Roman" w:hAnsi="Times New Roman" w:cs="Times New Roman"/>
              </w:rPr>
            </w:pPr>
            <w:r w:rsidRPr="00884C61">
              <w:rPr>
                <w:rFonts w:ascii="Times New Roman" w:eastAsia="Times New Roman" w:hAnsi="Times New Roman" w:cs="Times New Roman"/>
              </w:rPr>
              <w:t xml:space="preserve">      kapitálových aktív</w:t>
            </w:r>
          </w:p>
        </w:tc>
        <w:tc>
          <w:tcPr>
            <w:tcW w:w="851" w:type="dxa"/>
            <w:tcBorders>
              <w:left w:val="single" w:sz="4" w:space="0" w:color="auto"/>
            </w:tcBorders>
          </w:tcPr>
          <w:p w:rsidR="00884C61" w:rsidRPr="00884C61" w:rsidRDefault="00884C61" w:rsidP="00192A2A">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11S2</w:t>
            </w:r>
          </w:p>
        </w:tc>
        <w:tc>
          <w:tcPr>
            <w:tcW w:w="1559" w:type="dxa"/>
            <w:shd w:val="clear" w:color="auto" w:fill="auto"/>
          </w:tcPr>
          <w:p w:rsidR="00884C61" w:rsidRPr="00884C61" w:rsidRDefault="00884C61" w:rsidP="000A6B13">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305 992,86</w:t>
            </w:r>
          </w:p>
        </w:tc>
        <w:tc>
          <w:tcPr>
            <w:tcW w:w="1418"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305 992,86</w:t>
            </w:r>
          </w:p>
        </w:tc>
        <w:tc>
          <w:tcPr>
            <w:tcW w:w="1417" w:type="dxa"/>
            <w:shd w:val="clear" w:color="auto" w:fill="auto"/>
          </w:tcPr>
          <w:p w:rsidR="00884C61" w:rsidRPr="00884C61" w:rsidRDefault="00884C61"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884C61" w:rsidRPr="00884C61" w:rsidTr="00B24926">
        <w:tc>
          <w:tcPr>
            <w:tcW w:w="2268" w:type="dxa"/>
            <w:tcBorders>
              <w:top w:val="nil"/>
              <w:left w:val="single" w:sz="4" w:space="0" w:color="auto"/>
              <w:bottom w:val="nil"/>
              <w:right w:val="single" w:sz="4" w:space="0" w:color="auto"/>
            </w:tcBorders>
            <w:shd w:val="clear" w:color="auto" w:fill="auto"/>
          </w:tcPr>
          <w:p w:rsidR="00884C61" w:rsidRPr="00884C61" w:rsidRDefault="00884C61" w:rsidP="000E252D">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884C61" w:rsidRPr="00884C61" w:rsidRDefault="00884C61" w:rsidP="00192A2A">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11S3</w:t>
            </w:r>
          </w:p>
        </w:tc>
        <w:tc>
          <w:tcPr>
            <w:tcW w:w="1559" w:type="dxa"/>
            <w:shd w:val="clear" w:color="auto" w:fill="auto"/>
          </w:tcPr>
          <w:p w:rsidR="00884C61" w:rsidRPr="00884C61" w:rsidRDefault="00884C61" w:rsidP="000E252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262 476,91</w:t>
            </w:r>
          </w:p>
        </w:tc>
        <w:tc>
          <w:tcPr>
            <w:tcW w:w="1418"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262 476,91</w:t>
            </w:r>
          </w:p>
        </w:tc>
        <w:tc>
          <w:tcPr>
            <w:tcW w:w="1417" w:type="dxa"/>
            <w:shd w:val="clear" w:color="auto" w:fill="auto"/>
          </w:tcPr>
          <w:p w:rsidR="00884C61" w:rsidRPr="00884C61" w:rsidRDefault="00884C61"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884C61" w:rsidRPr="00884C61" w:rsidTr="00B24926">
        <w:tc>
          <w:tcPr>
            <w:tcW w:w="2268" w:type="dxa"/>
            <w:tcBorders>
              <w:top w:val="nil"/>
              <w:left w:val="single" w:sz="4" w:space="0" w:color="auto"/>
              <w:bottom w:val="nil"/>
              <w:right w:val="single" w:sz="4" w:space="0" w:color="auto"/>
            </w:tcBorders>
            <w:shd w:val="clear" w:color="auto" w:fill="auto"/>
          </w:tcPr>
          <w:p w:rsidR="00884C61" w:rsidRPr="00884C61" w:rsidRDefault="00884C61" w:rsidP="00192A2A">
            <w:pPr>
              <w:spacing w:after="0" w:line="240" w:lineRule="auto"/>
              <w:jc w:val="both"/>
              <w:rPr>
                <w:rFonts w:ascii="Times New Roman" w:eastAsia="Times New Roman" w:hAnsi="Times New Roman" w:cs="Times New Roman"/>
              </w:rPr>
            </w:pPr>
            <w:r w:rsidRPr="00884C61">
              <w:rPr>
                <w:rFonts w:ascii="Times New Roman" w:eastAsia="Times New Roman" w:hAnsi="Times New Roman" w:cs="Times New Roman"/>
              </w:rPr>
              <w:t xml:space="preserve">      </w:t>
            </w:r>
          </w:p>
        </w:tc>
        <w:tc>
          <w:tcPr>
            <w:tcW w:w="851" w:type="dxa"/>
            <w:tcBorders>
              <w:left w:val="single" w:sz="4" w:space="0" w:color="auto"/>
            </w:tcBorders>
          </w:tcPr>
          <w:p w:rsidR="00884C61" w:rsidRPr="00884C61" w:rsidRDefault="00884C61" w:rsidP="000E252D">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13S1</w:t>
            </w:r>
          </w:p>
        </w:tc>
        <w:tc>
          <w:tcPr>
            <w:tcW w:w="1559" w:type="dxa"/>
            <w:shd w:val="clear" w:color="auto" w:fill="auto"/>
          </w:tcPr>
          <w:p w:rsidR="00884C61" w:rsidRPr="00884C61" w:rsidRDefault="00884C61" w:rsidP="000E252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906 115,45</w:t>
            </w:r>
          </w:p>
        </w:tc>
        <w:tc>
          <w:tcPr>
            <w:tcW w:w="1418"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906 115,45</w:t>
            </w:r>
          </w:p>
        </w:tc>
        <w:tc>
          <w:tcPr>
            <w:tcW w:w="1417" w:type="dxa"/>
            <w:shd w:val="clear" w:color="auto" w:fill="auto"/>
          </w:tcPr>
          <w:p w:rsidR="00884C61" w:rsidRPr="00884C61" w:rsidRDefault="00884C61"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884C61" w:rsidRPr="00884C61" w:rsidTr="00B24926">
        <w:tc>
          <w:tcPr>
            <w:tcW w:w="2268" w:type="dxa"/>
            <w:tcBorders>
              <w:top w:val="nil"/>
              <w:left w:val="single" w:sz="4" w:space="0" w:color="auto"/>
              <w:bottom w:val="nil"/>
              <w:right w:val="single" w:sz="4" w:space="0" w:color="auto"/>
            </w:tcBorders>
            <w:shd w:val="clear" w:color="auto" w:fill="auto"/>
          </w:tcPr>
          <w:p w:rsidR="00884C61" w:rsidRPr="00884C61" w:rsidRDefault="00884C61" w:rsidP="000E252D">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884C61" w:rsidRPr="00884C61" w:rsidRDefault="00884C61" w:rsidP="000E252D">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13S2</w:t>
            </w:r>
          </w:p>
        </w:tc>
        <w:tc>
          <w:tcPr>
            <w:tcW w:w="1559" w:type="dxa"/>
            <w:shd w:val="clear" w:color="auto" w:fill="auto"/>
          </w:tcPr>
          <w:p w:rsidR="00884C61" w:rsidRPr="00884C61" w:rsidRDefault="00884C61" w:rsidP="000E252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159 902,59</w:t>
            </w:r>
          </w:p>
        </w:tc>
        <w:tc>
          <w:tcPr>
            <w:tcW w:w="1418"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159 902,59</w:t>
            </w:r>
          </w:p>
        </w:tc>
        <w:tc>
          <w:tcPr>
            <w:tcW w:w="1417" w:type="dxa"/>
            <w:shd w:val="clear" w:color="auto" w:fill="auto"/>
          </w:tcPr>
          <w:p w:rsidR="00884C61" w:rsidRPr="00884C61" w:rsidRDefault="00884C61"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884C61" w:rsidRPr="00884C61" w:rsidTr="00B24926">
        <w:tc>
          <w:tcPr>
            <w:tcW w:w="2268" w:type="dxa"/>
            <w:tcBorders>
              <w:top w:val="nil"/>
              <w:left w:val="single" w:sz="4" w:space="0" w:color="auto"/>
              <w:bottom w:val="nil"/>
              <w:right w:val="single" w:sz="4" w:space="0" w:color="auto"/>
            </w:tcBorders>
            <w:shd w:val="clear" w:color="auto" w:fill="auto"/>
          </w:tcPr>
          <w:p w:rsidR="00884C61" w:rsidRPr="00884C61" w:rsidRDefault="00884C61" w:rsidP="000E252D">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884C61" w:rsidRPr="00884C61" w:rsidRDefault="00884C61" w:rsidP="000E252D">
            <w:pPr>
              <w:autoSpaceDE w:val="0"/>
              <w:autoSpaceDN w:val="0"/>
              <w:adjustRightInd w:val="0"/>
              <w:spacing w:after="0" w:line="240" w:lineRule="auto"/>
              <w:jc w:val="center"/>
              <w:rPr>
                <w:rFonts w:ascii="Times New Roman" w:hAnsi="Times New Roman" w:cs="Times New Roman"/>
                <w:lang w:eastAsia="sk-SK"/>
              </w:rPr>
            </w:pPr>
            <w:r w:rsidRPr="00884C61">
              <w:rPr>
                <w:rFonts w:ascii="Times New Roman" w:hAnsi="Times New Roman" w:cs="Times New Roman"/>
                <w:lang w:eastAsia="sk-SK"/>
              </w:rPr>
              <w:t>13S3</w:t>
            </w:r>
          </w:p>
        </w:tc>
        <w:tc>
          <w:tcPr>
            <w:tcW w:w="1559" w:type="dxa"/>
            <w:shd w:val="clear" w:color="auto" w:fill="auto"/>
          </w:tcPr>
          <w:p w:rsidR="00884C61" w:rsidRPr="00884C61" w:rsidRDefault="00884C61" w:rsidP="000E252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0,00</w:t>
            </w:r>
          </w:p>
        </w:tc>
        <w:tc>
          <w:tcPr>
            <w:tcW w:w="1559"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134 789,54</w:t>
            </w:r>
          </w:p>
        </w:tc>
        <w:tc>
          <w:tcPr>
            <w:tcW w:w="1418" w:type="dxa"/>
            <w:shd w:val="clear" w:color="auto" w:fill="auto"/>
          </w:tcPr>
          <w:p w:rsidR="00884C61" w:rsidRPr="00884C61" w:rsidRDefault="00884C61" w:rsidP="003E160D">
            <w:pPr>
              <w:autoSpaceDE w:val="0"/>
              <w:autoSpaceDN w:val="0"/>
              <w:adjustRightInd w:val="0"/>
              <w:spacing w:after="0" w:line="240" w:lineRule="auto"/>
              <w:jc w:val="right"/>
              <w:rPr>
                <w:rFonts w:ascii="Times New Roman" w:hAnsi="Times New Roman" w:cs="Times New Roman"/>
                <w:lang w:eastAsia="sk-SK"/>
              </w:rPr>
            </w:pPr>
            <w:r w:rsidRPr="00884C61">
              <w:rPr>
                <w:rFonts w:ascii="Times New Roman" w:hAnsi="Times New Roman" w:cs="Times New Roman"/>
                <w:lang w:eastAsia="sk-SK"/>
              </w:rPr>
              <w:t>134 789,54</w:t>
            </w:r>
          </w:p>
        </w:tc>
        <w:tc>
          <w:tcPr>
            <w:tcW w:w="1417" w:type="dxa"/>
            <w:shd w:val="clear" w:color="auto" w:fill="auto"/>
          </w:tcPr>
          <w:p w:rsidR="00884C61" w:rsidRPr="00884C61" w:rsidRDefault="00884C61" w:rsidP="000A6B13">
            <w:pPr>
              <w:spacing w:after="0" w:line="240" w:lineRule="auto"/>
              <w:jc w:val="center"/>
              <w:rPr>
                <w:rFonts w:ascii="Times New Roman" w:eastAsia="Times New Roman" w:hAnsi="Times New Roman" w:cs="Times New Roman"/>
              </w:rPr>
            </w:pPr>
            <w:r w:rsidRPr="00884C61">
              <w:rPr>
                <w:rFonts w:ascii="Times New Roman" w:eastAsia="Times New Roman" w:hAnsi="Times New Roman" w:cs="Times New Roman"/>
              </w:rPr>
              <w:t>100,00</w:t>
            </w:r>
          </w:p>
        </w:tc>
      </w:tr>
      <w:tr w:rsidR="00884C61" w:rsidRPr="00884C61" w:rsidTr="00B24926">
        <w:tc>
          <w:tcPr>
            <w:tcW w:w="2268" w:type="dxa"/>
            <w:tcBorders>
              <w:top w:val="single" w:sz="4" w:space="0" w:color="auto"/>
              <w:left w:val="single" w:sz="4" w:space="0" w:color="auto"/>
              <w:bottom w:val="single" w:sz="4" w:space="0" w:color="auto"/>
              <w:right w:val="single" w:sz="4" w:space="0" w:color="auto"/>
            </w:tcBorders>
            <w:shd w:val="clear" w:color="auto" w:fill="auto"/>
          </w:tcPr>
          <w:p w:rsidR="00884C61" w:rsidRPr="00884C61" w:rsidRDefault="00884C61" w:rsidP="00D8523D">
            <w:pPr>
              <w:spacing w:after="0" w:line="240" w:lineRule="auto"/>
              <w:jc w:val="both"/>
              <w:rPr>
                <w:rFonts w:ascii="Times New Roman" w:eastAsia="Times New Roman" w:hAnsi="Times New Roman" w:cs="Times New Roman"/>
                <w:b/>
              </w:rPr>
            </w:pPr>
            <w:r w:rsidRPr="00884C61">
              <w:rPr>
                <w:rFonts w:ascii="Times New Roman" w:eastAsia="Times New Roman" w:hAnsi="Times New Roman" w:cs="Times New Roman"/>
                <w:b/>
              </w:rPr>
              <w:t>SPOLU 710</w:t>
            </w:r>
          </w:p>
        </w:tc>
        <w:tc>
          <w:tcPr>
            <w:tcW w:w="851" w:type="dxa"/>
            <w:tcBorders>
              <w:left w:val="single" w:sz="4" w:space="0" w:color="auto"/>
            </w:tcBorders>
          </w:tcPr>
          <w:p w:rsidR="00884C61" w:rsidRPr="00884C61" w:rsidRDefault="00884C61" w:rsidP="000E252D">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884C61" w:rsidRPr="00884C61" w:rsidRDefault="00884C61" w:rsidP="00C02586">
            <w:pPr>
              <w:autoSpaceDE w:val="0"/>
              <w:autoSpaceDN w:val="0"/>
              <w:adjustRightInd w:val="0"/>
              <w:spacing w:after="0" w:line="240" w:lineRule="auto"/>
              <w:jc w:val="right"/>
              <w:rPr>
                <w:rFonts w:ascii="Times New Roman" w:hAnsi="Times New Roman" w:cs="Times New Roman"/>
                <w:b/>
                <w:lang w:eastAsia="sk-SK"/>
              </w:rPr>
            </w:pPr>
            <w:r w:rsidRPr="00884C61">
              <w:rPr>
                <w:rFonts w:ascii="Times New Roman" w:hAnsi="Times New Roman" w:cs="Times New Roman"/>
                <w:b/>
                <w:lang w:eastAsia="sk-SK"/>
              </w:rPr>
              <w:t>0,00</w:t>
            </w:r>
          </w:p>
        </w:tc>
        <w:tc>
          <w:tcPr>
            <w:tcW w:w="1559" w:type="dxa"/>
            <w:shd w:val="clear" w:color="auto" w:fill="auto"/>
          </w:tcPr>
          <w:p w:rsidR="00884C61" w:rsidRPr="00884C61" w:rsidRDefault="00884C61" w:rsidP="00884C61">
            <w:pPr>
              <w:autoSpaceDE w:val="0"/>
              <w:autoSpaceDN w:val="0"/>
              <w:adjustRightInd w:val="0"/>
              <w:spacing w:after="0" w:line="240" w:lineRule="auto"/>
              <w:rPr>
                <w:rFonts w:ascii="Times New Roman" w:hAnsi="Times New Roman" w:cs="Times New Roman"/>
                <w:b/>
                <w:lang w:eastAsia="sk-SK"/>
              </w:rPr>
            </w:pPr>
            <w:r w:rsidRPr="00884C61">
              <w:rPr>
                <w:rFonts w:ascii="Times New Roman" w:hAnsi="Times New Roman" w:cs="Times New Roman"/>
                <w:b/>
                <w:lang w:eastAsia="sk-SK"/>
              </w:rPr>
              <w:t>3 503 236,10</w:t>
            </w:r>
          </w:p>
        </w:tc>
        <w:tc>
          <w:tcPr>
            <w:tcW w:w="1418" w:type="dxa"/>
            <w:shd w:val="clear" w:color="auto" w:fill="auto"/>
          </w:tcPr>
          <w:p w:rsidR="00884C61" w:rsidRPr="00884C61" w:rsidRDefault="00884C61" w:rsidP="00884C61">
            <w:pPr>
              <w:autoSpaceDE w:val="0"/>
              <w:autoSpaceDN w:val="0"/>
              <w:adjustRightInd w:val="0"/>
              <w:spacing w:after="0" w:line="240" w:lineRule="auto"/>
              <w:rPr>
                <w:rFonts w:ascii="Times New Roman" w:hAnsi="Times New Roman" w:cs="Times New Roman"/>
                <w:b/>
                <w:lang w:eastAsia="sk-SK"/>
              </w:rPr>
            </w:pPr>
            <w:r w:rsidRPr="00884C61">
              <w:rPr>
                <w:rFonts w:ascii="Times New Roman" w:hAnsi="Times New Roman" w:cs="Times New Roman"/>
                <w:b/>
                <w:lang w:eastAsia="sk-SK"/>
              </w:rPr>
              <w:t>3 503 236,10</w:t>
            </w:r>
          </w:p>
        </w:tc>
        <w:tc>
          <w:tcPr>
            <w:tcW w:w="1417" w:type="dxa"/>
            <w:shd w:val="clear" w:color="auto" w:fill="auto"/>
          </w:tcPr>
          <w:p w:rsidR="00884C61" w:rsidRPr="00884C61" w:rsidRDefault="00884C61" w:rsidP="000A6B13">
            <w:pPr>
              <w:spacing w:after="0" w:line="240" w:lineRule="auto"/>
              <w:jc w:val="center"/>
              <w:rPr>
                <w:rFonts w:ascii="Times New Roman" w:eastAsia="Times New Roman" w:hAnsi="Times New Roman" w:cs="Times New Roman"/>
                <w:b/>
              </w:rPr>
            </w:pPr>
            <w:r w:rsidRPr="00884C61">
              <w:rPr>
                <w:rFonts w:ascii="Times New Roman" w:eastAsia="Times New Roman" w:hAnsi="Times New Roman" w:cs="Times New Roman"/>
                <w:b/>
              </w:rPr>
              <w:t>100,00</w:t>
            </w:r>
          </w:p>
        </w:tc>
      </w:tr>
    </w:tbl>
    <w:p w:rsidR="0037339D" w:rsidRPr="00305411" w:rsidRDefault="0037339D" w:rsidP="0037339D">
      <w:pPr>
        <w:spacing w:after="0" w:line="240" w:lineRule="auto"/>
        <w:ind w:right="26" w:firstLine="540"/>
        <w:jc w:val="both"/>
        <w:rPr>
          <w:rFonts w:ascii="Times New Roman" w:hAnsi="Times New Roman" w:cs="Times New Roman"/>
          <w:sz w:val="24"/>
          <w:szCs w:val="24"/>
        </w:rPr>
      </w:pPr>
    </w:p>
    <w:p w:rsidR="00B24926" w:rsidRPr="00B24926" w:rsidRDefault="0037339D" w:rsidP="00FF4E04">
      <w:pPr>
        <w:autoSpaceDE w:val="0"/>
        <w:autoSpaceDN w:val="0"/>
        <w:adjustRightInd w:val="0"/>
        <w:spacing w:line="240" w:lineRule="auto"/>
        <w:ind w:firstLine="708"/>
        <w:jc w:val="both"/>
        <w:rPr>
          <w:rFonts w:ascii="Times New Roman" w:hAnsi="Times New Roman" w:cs="Times New Roman"/>
          <w:sz w:val="24"/>
          <w:szCs w:val="24"/>
        </w:rPr>
      </w:pPr>
      <w:r w:rsidRPr="00B24926">
        <w:rPr>
          <w:rFonts w:ascii="Times New Roman" w:hAnsi="Times New Roman" w:cs="Times New Roman"/>
          <w:sz w:val="24"/>
          <w:szCs w:val="24"/>
        </w:rPr>
        <w:t xml:space="preserve">Rozpočtové prostriedky v celkovej sume </w:t>
      </w:r>
      <w:r w:rsidR="00B24926" w:rsidRPr="003204C7">
        <w:rPr>
          <w:rFonts w:ascii="Times New Roman" w:hAnsi="Times New Roman" w:cs="Times New Roman"/>
          <w:sz w:val="24"/>
          <w:szCs w:val="24"/>
        </w:rPr>
        <w:t xml:space="preserve">3 503 236,10 </w:t>
      </w:r>
      <w:r w:rsidRPr="00B24926">
        <w:rPr>
          <w:rFonts w:ascii="Times New Roman" w:hAnsi="Times New Roman" w:cs="Times New Roman"/>
          <w:sz w:val="24"/>
          <w:szCs w:val="24"/>
        </w:rPr>
        <w:t xml:space="preserve">eur boli v roku 2015 poskytnuté na plnenie jednotlivých opatrení </w:t>
      </w:r>
      <w:r w:rsidRPr="00B24926">
        <w:rPr>
          <w:rFonts w:ascii="Times New Roman" w:hAnsi="Times New Roman" w:cs="Times New Roman"/>
          <w:bCs/>
          <w:sz w:val="24"/>
          <w:szCs w:val="24"/>
          <w:lang w:eastAsia="sk-SK"/>
        </w:rPr>
        <w:t xml:space="preserve">Operačného programu konkurencieschopnosť a hospodársky </w:t>
      </w:r>
      <w:r w:rsidRPr="00B24926">
        <w:rPr>
          <w:rFonts w:ascii="Times New Roman" w:hAnsi="Times New Roman" w:cs="Times New Roman"/>
          <w:sz w:val="24"/>
          <w:szCs w:val="24"/>
        </w:rPr>
        <w:t>rast</w:t>
      </w:r>
      <w:r w:rsidR="00B24926" w:rsidRPr="00B24926">
        <w:rPr>
          <w:rFonts w:ascii="Times New Roman" w:hAnsi="Times New Roman" w:cs="Times New Roman"/>
          <w:sz w:val="24"/>
          <w:szCs w:val="24"/>
        </w:rPr>
        <w:t xml:space="preserve"> a Operačn</w:t>
      </w:r>
      <w:r w:rsidR="007775DB">
        <w:rPr>
          <w:rFonts w:ascii="Times New Roman" w:hAnsi="Times New Roman" w:cs="Times New Roman"/>
          <w:sz w:val="24"/>
          <w:szCs w:val="24"/>
        </w:rPr>
        <w:t>ého</w:t>
      </w:r>
      <w:r w:rsidR="00B24926" w:rsidRPr="00B24926">
        <w:rPr>
          <w:rFonts w:ascii="Times New Roman" w:hAnsi="Times New Roman" w:cs="Times New Roman"/>
          <w:sz w:val="24"/>
          <w:szCs w:val="24"/>
        </w:rPr>
        <w:t xml:space="preserve"> program</w:t>
      </w:r>
      <w:r w:rsidR="007775DB">
        <w:rPr>
          <w:rFonts w:ascii="Times New Roman" w:hAnsi="Times New Roman" w:cs="Times New Roman"/>
          <w:sz w:val="24"/>
          <w:szCs w:val="24"/>
        </w:rPr>
        <w:t>u</w:t>
      </w:r>
      <w:r w:rsidR="00B24926" w:rsidRPr="00B24926">
        <w:rPr>
          <w:rFonts w:ascii="Times New Roman" w:hAnsi="Times New Roman" w:cs="Times New Roman"/>
          <w:sz w:val="24"/>
          <w:szCs w:val="24"/>
        </w:rPr>
        <w:t xml:space="preserve"> Informatizácia spoločnosti</w:t>
      </w:r>
      <w:r w:rsidR="007775DB">
        <w:rPr>
          <w:rFonts w:ascii="Times New Roman" w:hAnsi="Times New Roman" w:cs="Times New Roman"/>
          <w:sz w:val="24"/>
          <w:szCs w:val="24"/>
        </w:rPr>
        <w:t xml:space="preserve"> – Elektronizácia služieb MH SR</w:t>
      </w:r>
      <w:r w:rsidR="00B24926" w:rsidRPr="00B24926">
        <w:rPr>
          <w:rFonts w:ascii="Times New Roman" w:hAnsi="Times New Roman" w:cs="Times New Roman"/>
          <w:sz w:val="24"/>
          <w:szCs w:val="24"/>
        </w:rPr>
        <w:t>.</w:t>
      </w:r>
    </w:p>
    <w:p w:rsidR="0037339D" w:rsidRPr="00B24926" w:rsidRDefault="0037339D" w:rsidP="00FF4E04">
      <w:pPr>
        <w:autoSpaceDE w:val="0"/>
        <w:autoSpaceDN w:val="0"/>
        <w:adjustRightInd w:val="0"/>
        <w:spacing w:after="0" w:line="240" w:lineRule="auto"/>
        <w:jc w:val="both"/>
        <w:rPr>
          <w:rFonts w:ascii="Times New Roman" w:hAnsi="Times New Roman" w:cs="Times New Roman"/>
          <w:b/>
          <w:lang w:eastAsia="sk-SK"/>
        </w:rPr>
      </w:pPr>
      <w:r w:rsidRPr="00417239">
        <w:rPr>
          <w:rFonts w:ascii="Times New Roman" w:hAnsi="Times New Roman" w:cs="Times New Roman"/>
          <w:sz w:val="24"/>
          <w:szCs w:val="24"/>
        </w:rPr>
        <w:t>Komentár o čerpaní bežných transferov na jednotlivé opatrenia tvorí samostatnú časť  1.3.3.</w:t>
      </w:r>
      <w:r w:rsidRPr="00305411">
        <w:rPr>
          <w:rFonts w:ascii="Times New Roman" w:hAnsi="Times New Roman" w:cs="Times New Roman"/>
          <w:color w:val="000000"/>
          <w:sz w:val="24"/>
          <w:szCs w:val="24"/>
        </w:rPr>
        <w:t xml:space="preserve"> </w:t>
      </w:r>
      <w:r w:rsidRPr="00305411">
        <w:rPr>
          <w:rFonts w:ascii="Times New Roman" w:hAnsi="Times New Roman" w:cs="Times New Roman"/>
          <w:sz w:val="24"/>
          <w:szCs w:val="24"/>
        </w:rPr>
        <w:t>Výdavky kapitoly hradené z európskych prostriedkov a spolufinancovania k nim.</w:t>
      </w:r>
    </w:p>
    <w:p w:rsidR="000F02AE" w:rsidRPr="00305411" w:rsidRDefault="000F02AE" w:rsidP="00FF4E04">
      <w:pPr>
        <w:spacing w:after="0" w:line="240" w:lineRule="auto"/>
        <w:jc w:val="both"/>
        <w:rPr>
          <w:rFonts w:ascii="Times New Roman" w:hAnsi="Times New Roman" w:cs="Times New Roman"/>
          <w:sz w:val="24"/>
          <w:szCs w:val="24"/>
        </w:rPr>
      </w:pPr>
      <w:r w:rsidRPr="0029439A">
        <w:rPr>
          <w:rFonts w:ascii="Times New Roman" w:hAnsi="Times New Roman" w:cs="Times New Roman"/>
          <w:sz w:val="24"/>
          <w:szCs w:val="24"/>
        </w:rPr>
        <w:t>Kategória 720 –  Kapitálové transfery</w:t>
      </w:r>
    </w:p>
    <w:p w:rsidR="000F02AE" w:rsidRDefault="000F02AE" w:rsidP="00FF4E04">
      <w:pPr>
        <w:spacing w:after="0" w:line="240" w:lineRule="auto"/>
        <w:jc w:val="both"/>
        <w:rPr>
          <w:rFonts w:ascii="Times New Roman" w:hAnsi="Times New Roman" w:cs="Times New Roman"/>
          <w:b/>
          <w:sz w:val="24"/>
          <w:szCs w:val="24"/>
        </w:rPr>
      </w:pPr>
    </w:p>
    <w:p w:rsidR="0013481E" w:rsidRPr="00305411" w:rsidRDefault="0013481E" w:rsidP="00FF4E04">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305411">
        <w:rPr>
          <w:rFonts w:ascii="Times New Roman" w:hAnsi="Times New Roman" w:cs="Times New Roman"/>
          <w:sz w:val="24"/>
          <w:szCs w:val="24"/>
        </w:rPr>
        <w:t xml:space="preserve">Rozpočet kapitálových transferov </w:t>
      </w:r>
      <w:r w:rsidR="00BE1128">
        <w:rPr>
          <w:rFonts w:ascii="Times New Roman" w:hAnsi="Times New Roman" w:cs="Times New Roman"/>
          <w:sz w:val="24"/>
          <w:szCs w:val="24"/>
        </w:rPr>
        <w:t>schválený v </w:t>
      </w:r>
      <w:r w:rsidR="000233F5">
        <w:rPr>
          <w:rFonts w:ascii="Times New Roman" w:hAnsi="Times New Roman" w:cs="Times New Roman"/>
          <w:sz w:val="24"/>
          <w:szCs w:val="24"/>
        </w:rPr>
        <w:t>sume</w:t>
      </w:r>
      <w:r w:rsidR="00BE1128">
        <w:rPr>
          <w:rFonts w:ascii="Times New Roman" w:hAnsi="Times New Roman" w:cs="Times New Roman"/>
          <w:sz w:val="24"/>
          <w:szCs w:val="24"/>
        </w:rPr>
        <w:t xml:space="preserve"> </w:t>
      </w:r>
      <w:r w:rsidR="00BE1128">
        <w:rPr>
          <w:rFonts w:ascii="Times New Roman" w:hAnsi="Times New Roman" w:cs="Times New Roman"/>
          <w:sz w:val="24"/>
          <w:szCs w:val="24"/>
          <w:lang w:eastAsia="sk-SK"/>
        </w:rPr>
        <w:t xml:space="preserve">178 620 683,00 eur </w:t>
      </w:r>
      <w:r w:rsidRPr="00305411">
        <w:rPr>
          <w:rFonts w:ascii="Times New Roman" w:hAnsi="Times New Roman" w:cs="Times New Roman"/>
          <w:sz w:val="24"/>
          <w:szCs w:val="24"/>
        </w:rPr>
        <w:t xml:space="preserve">bol </w:t>
      </w:r>
      <w:r w:rsidR="00BE1128">
        <w:rPr>
          <w:rFonts w:ascii="Times New Roman" w:hAnsi="Times New Roman" w:cs="Times New Roman"/>
          <w:sz w:val="24"/>
          <w:szCs w:val="24"/>
        </w:rPr>
        <w:t xml:space="preserve">rozpočtovými opatreniami </w:t>
      </w:r>
      <w:r w:rsidRPr="00305411">
        <w:rPr>
          <w:rFonts w:ascii="Times New Roman" w:hAnsi="Times New Roman" w:cs="Times New Roman"/>
          <w:sz w:val="24"/>
          <w:szCs w:val="24"/>
        </w:rPr>
        <w:t xml:space="preserve">upravený na </w:t>
      </w:r>
      <w:r w:rsidR="000233F5">
        <w:rPr>
          <w:rFonts w:ascii="Times New Roman" w:hAnsi="Times New Roman" w:cs="Times New Roman"/>
          <w:sz w:val="24"/>
          <w:szCs w:val="24"/>
        </w:rPr>
        <w:t>sumu</w:t>
      </w:r>
      <w:r w:rsidR="00BE1128">
        <w:rPr>
          <w:rFonts w:ascii="Times New Roman" w:hAnsi="Times New Roman" w:cs="Times New Roman"/>
          <w:sz w:val="24"/>
          <w:szCs w:val="24"/>
        </w:rPr>
        <w:t xml:space="preserve"> </w:t>
      </w:r>
      <w:r w:rsidR="000233F5">
        <w:rPr>
          <w:rFonts w:ascii="Times New Roman" w:hAnsi="Times New Roman" w:cs="Times New Roman"/>
          <w:sz w:val="24"/>
          <w:szCs w:val="24"/>
          <w:lang w:eastAsia="sk-SK"/>
        </w:rPr>
        <w:t xml:space="preserve">202 576 868,48 </w:t>
      </w:r>
      <w:r w:rsidRPr="00305411">
        <w:rPr>
          <w:rFonts w:ascii="Times New Roman" w:hAnsi="Times New Roman" w:cs="Times New Roman"/>
          <w:sz w:val="24"/>
          <w:szCs w:val="24"/>
        </w:rPr>
        <w:t xml:space="preserve"> </w:t>
      </w:r>
      <w:r w:rsidRPr="00305411">
        <w:rPr>
          <w:rFonts w:ascii="Times New Roman" w:hAnsi="Times New Roman" w:cs="Times New Roman"/>
          <w:sz w:val="24"/>
          <w:szCs w:val="24"/>
          <w:lang w:eastAsia="sk-SK"/>
        </w:rPr>
        <w:t>e</w:t>
      </w:r>
      <w:r w:rsidRPr="00305411">
        <w:rPr>
          <w:rFonts w:ascii="Times New Roman" w:hAnsi="Times New Roman" w:cs="Times New Roman"/>
          <w:sz w:val="24"/>
          <w:szCs w:val="24"/>
        </w:rPr>
        <w:t>ur a čerpanie rozpočtu bolo v</w:t>
      </w:r>
      <w:r w:rsidR="00BE1128">
        <w:rPr>
          <w:rFonts w:ascii="Times New Roman" w:hAnsi="Times New Roman" w:cs="Times New Roman"/>
          <w:sz w:val="24"/>
          <w:szCs w:val="24"/>
        </w:rPr>
        <w:t xml:space="preserve"> sume </w:t>
      </w:r>
      <w:r w:rsidR="000233F5">
        <w:rPr>
          <w:rFonts w:ascii="Times New Roman" w:hAnsi="Times New Roman" w:cs="Times New Roman"/>
          <w:sz w:val="24"/>
          <w:szCs w:val="24"/>
          <w:lang w:eastAsia="sk-SK"/>
        </w:rPr>
        <w:t xml:space="preserve">202 576 868,48  </w:t>
      </w:r>
      <w:r w:rsidRPr="00305411">
        <w:rPr>
          <w:rFonts w:ascii="Times New Roman" w:hAnsi="Times New Roman" w:cs="Times New Roman"/>
          <w:sz w:val="24"/>
          <w:szCs w:val="24"/>
          <w:lang w:eastAsia="sk-SK"/>
        </w:rPr>
        <w:t>e</w:t>
      </w:r>
      <w:r w:rsidRPr="00305411">
        <w:rPr>
          <w:rFonts w:ascii="Times New Roman" w:hAnsi="Times New Roman" w:cs="Times New Roman"/>
          <w:sz w:val="24"/>
          <w:szCs w:val="24"/>
        </w:rPr>
        <w:t>ur, čo je plneni</w:t>
      </w:r>
      <w:r w:rsidR="00BE1128">
        <w:rPr>
          <w:rFonts w:ascii="Times New Roman" w:hAnsi="Times New Roman" w:cs="Times New Roman"/>
          <w:sz w:val="24"/>
          <w:szCs w:val="24"/>
        </w:rPr>
        <w:t>e na</w:t>
      </w:r>
      <w:r w:rsidRPr="00305411">
        <w:rPr>
          <w:rFonts w:ascii="Times New Roman" w:hAnsi="Times New Roman" w:cs="Times New Roman"/>
          <w:sz w:val="24"/>
          <w:szCs w:val="24"/>
        </w:rPr>
        <w:t xml:space="preserve"> </w:t>
      </w:r>
      <w:r w:rsidR="000233F5">
        <w:rPr>
          <w:rFonts w:ascii="Times New Roman" w:hAnsi="Times New Roman" w:cs="Times New Roman"/>
          <w:sz w:val="24"/>
          <w:szCs w:val="24"/>
        </w:rPr>
        <w:t xml:space="preserve">100,00 </w:t>
      </w:r>
      <w:r w:rsidRPr="00305411">
        <w:rPr>
          <w:rFonts w:ascii="Times New Roman" w:hAnsi="Times New Roman" w:cs="Times New Roman"/>
          <w:sz w:val="24"/>
          <w:szCs w:val="24"/>
        </w:rPr>
        <w:t>% k upravenému rozpočtu.</w:t>
      </w:r>
    </w:p>
    <w:p w:rsidR="0013481E" w:rsidRPr="000233F5" w:rsidRDefault="0013481E" w:rsidP="00FF4E04">
      <w:pPr>
        <w:spacing w:after="0" w:line="240" w:lineRule="auto"/>
        <w:jc w:val="both"/>
        <w:rPr>
          <w:rFonts w:ascii="Times New Roman" w:hAnsi="Times New Roman" w:cs="Times New Roman"/>
          <w:b/>
        </w:rPr>
      </w:pPr>
    </w:p>
    <w:p w:rsidR="00714B1B" w:rsidRPr="00305411" w:rsidRDefault="00714B1B" w:rsidP="007775DB">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305411">
        <w:rPr>
          <w:rFonts w:ascii="Times New Roman" w:hAnsi="Times New Roman" w:cs="Times New Roman"/>
          <w:sz w:val="24"/>
          <w:szCs w:val="24"/>
        </w:rPr>
        <w:t xml:space="preserve">Čerpanie výdavkov </w:t>
      </w:r>
      <w:r w:rsidR="00C61B2E">
        <w:rPr>
          <w:rFonts w:ascii="Times New Roman" w:hAnsi="Times New Roman" w:cs="Times New Roman"/>
          <w:sz w:val="24"/>
          <w:szCs w:val="24"/>
        </w:rPr>
        <w:t xml:space="preserve">zo zdrojov štátneho rozpočtu a nevyčerpaných prostriedkov z rokov 2013 </w:t>
      </w:r>
      <w:r w:rsidR="007775DB">
        <w:rPr>
          <w:rFonts w:ascii="Times New Roman" w:hAnsi="Times New Roman" w:cs="Times New Roman"/>
          <w:sz w:val="24"/>
          <w:szCs w:val="24"/>
        </w:rPr>
        <w:t xml:space="preserve">v celkovej sume </w:t>
      </w:r>
      <w:r w:rsidR="007775DB">
        <w:rPr>
          <w:rFonts w:ascii="Times New Roman" w:hAnsi="Times New Roman" w:cs="Times New Roman"/>
          <w:sz w:val="24"/>
          <w:szCs w:val="24"/>
          <w:lang w:eastAsia="sk-SK"/>
        </w:rPr>
        <w:t xml:space="preserve">12 156 159,68 eur </w:t>
      </w:r>
      <w:r w:rsidRPr="00305411">
        <w:rPr>
          <w:rFonts w:ascii="Times New Roman" w:hAnsi="Times New Roman" w:cs="Times New Roman"/>
          <w:sz w:val="24"/>
          <w:szCs w:val="24"/>
        </w:rPr>
        <w:t xml:space="preserve">v kategórii 720 – Kapitálové transfery bolo vykázané v jednotlivých podprogramoch </w:t>
      </w:r>
      <w:r w:rsidR="00567DB5">
        <w:rPr>
          <w:rFonts w:ascii="Times New Roman" w:hAnsi="Times New Roman" w:cs="Times New Roman"/>
          <w:sz w:val="24"/>
          <w:szCs w:val="24"/>
        </w:rPr>
        <w:t xml:space="preserve">a prvkoch </w:t>
      </w:r>
      <w:r w:rsidRPr="00305411">
        <w:rPr>
          <w:rFonts w:ascii="Times New Roman" w:hAnsi="Times New Roman" w:cs="Times New Roman"/>
          <w:sz w:val="24"/>
          <w:szCs w:val="24"/>
        </w:rPr>
        <w:t>nasledovne:</w:t>
      </w:r>
    </w:p>
    <w:p w:rsidR="00305411" w:rsidRDefault="00305411" w:rsidP="00305411">
      <w:pPr>
        <w:pStyle w:val="Zkladntext"/>
        <w:tabs>
          <w:tab w:val="left" w:pos="-4962"/>
          <w:tab w:val="left" w:pos="540"/>
          <w:tab w:val="right" w:pos="8460"/>
        </w:tabs>
        <w:spacing w:after="0" w:line="240" w:lineRule="auto"/>
        <w:rPr>
          <w:rFonts w:ascii="Times New Roman" w:hAnsi="Times New Roman" w:cs="Times New Roman"/>
          <w:i/>
          <w:sz w:val="24"/>
          <w:szCs w:val="24"/>
        </w:rPr>
      </w:pPr>
    </w:p>
    <w:p w:rsidR="001A5221" w:rsidRPr="00305411" w:rsidRDefault="001A5221" w:rsidP="00305411">
      <w:pPr>
        <w:pStyle w:val="Zkladntext"/>
        <w:tabs>
          <w:tab w:val="left" w:pos="-4962"/>
          <w:tab w:val="left" w:pos="540"/>
          <w:tab w:val="right" w:pos="8460"/>
        </w:tabs>
        <w:spacing w:after="0" w:line="240" w:lineRule="auto"/>
        <w:rPr>
          <w:rFonts w:ascii="Times New Roman" w:hAnsi="Times New Roman" w:cs="Times New Roman"/>
          <w:i/>
          <w:sz w:val="24"/>
          <w:szCs w:val="24"/>
        </w:rPr>
      </w:pPr>
      <w:r w:rsidRPr="00305411">
        <w:rPr>
          <w:rFonts w:ascii="Times New Roman" w:hAnsi="Times New Roman" w:cs="Times New Roman"/>
          <w:i/>
          <w:sz w:val="24"/>
          <w:szCs w:val="24"/>
        </w:rPr>
        <w:t>07K 04 02 – Administrácia SARIO</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850"/>
        <w:gridCol w:w="1276"/>
        <w:gridCol w:w="1559"/>
        <w:gridCol w:w="1276"/>
        <w:gridCol w:w="1417"/>
      </w:tblGrid>
      <w:tr w:rsidR="0059693B" w:rsidRPr="00AC5880" w:rsidTr="00444B41">
        <w:trPr>
          <w:trHeight w:val="725"/>
        </w:trPr>
        <w:tc>
          <w:tcPr>
            <w:tcW w:w="2694" w:type="dxa"/>
            <w:shd w:val="clear" w:color="auto" w:fill="auto"/>
          </w:tcPr>
          <w:p w:rsidR="0059693B" w:rsidRPr="00AC5880" w:rsidRDefault="0059693B" w:rsidP="00305411">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Ekonomická</w:t>
            </w:r>
          </w:p>
          <w:p w:rsidR="0059693B" w:rsidRPr="00AC5880" w:rsidRDefault="0059693B" w:rsidP="00305411">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klasifikácia</w:t>
            </w:r>
          </w:p>
        </w:tc>
        <w:tc>
          <w:tcPr>
            <w:tcW w:w="850" w:type="dxa"/>
          </w:tcPr>
          <w:p w:rsidR="0059693B" w:rsidRPr="00AC5880" w:rsidRDefault="0059693B" w:rsidP="00305411">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Zdroj</w:t>
            </w:r>
          </w:p>
        </w:tc>
        <w:tc>
          <w:tcPr>
            <w:tcW w:w="1276" w:type="dxa"/>
            <w:shd w:val="clear" w:color="auto" w:fill="auto"/>
          </w:tcPr>
          <w:p w:rsidR="0059693B" w:rsidRPr="00AC5880" w:rsidRDefault="0059693B" w:rsidP="0059693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Schválený</w:t>
            </w:r>
          </w:p>
          <w:p w:rsidR="0059693B" w:rsidRPr="00AC5880" w:rsidRDefault="0059693B" w:rsidP="0059693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1.1.2015</w:t>
            </w:r>
          </w:p>
        </w:tc>
        <w:tc>
          <w:tcPr>
            <w:tcW w:w="1559" w:type="dxa"/>
            <w:shd w:val="clear" w:color="auto" w:fill="auto"/>
          </w:tcPr>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Upravený</w:t>
            </w:r>
          </w:p>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31.12.2015</w:t>
            </w:r>
          </w:p>
        </w:tc>
        <w:tc>
          <w:tcPr>
            <w:tcW w:w="1276" w:type="dxa"/>
            <w:shd w:val="clear" w:color="auto" w:fill="auto"/>
          </w:tcPr>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Čerpanie k</w:t>
            </w:r>
          </w:p>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31.12.2015</w:t>
            </w:r>
          </w:p>
        </w:tc>
        <w:tc>
          <w:tcPr>
            <w:tcW w:w="1417" w:type="dxa"/>
            <w:shd w:val="clear" w:color="auto" w:fill="auto"/>
          </w:tcPr>
          <w:p w:rsidR="0059693B" w:rsidRPr="00AC5880" w:rsidRDefault="0059693B" w:rsidP="00D35D8B">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 čerpania k uprav. rozpočtu</w:t>
            </w:r>
          </w:p>
        </w:tc>
      </w:tr>
      <w:tr w:rsidR="00F94051" w:rsidRPr="00AC5880" w:rsidTr="00444B41">
        <w:tc>
          <w:tcPr>
            <w:tcW w:w="2694" w:type="dxa"/>
            <w:shd w:val="clear" w:color="auto" w:fill="auto"/>
          </w:tcPr>
          <w:p w:rsidR="00F94051" w:rsidRPr="00AC5880" w:rsidRDefault="00F94051" w:rsidP="00305411">
            <w:pPr>
              <w:spacing w:after="0" w:line="240" w:lineRule="auto"/>
              <w:jc w:val="both"/>
              <w:rPr>
                <w:rFonts w:ascii="Times New Roman" w:eastAsia="Times New Roman" w:hAnsi="Times New Roman" w:cs="Times New Roman"/>
              </w:rPr>
            </w:pPr>
            <w:r w:rsidRPr="00AC5880">
              <w:rPr>
                <w:rFonts w:ascii="Times New Roman" w:eastAsia="Times New Roman" w:hAnsi="Times New Roman" w:cs="Times New Roman"/>
              </w:rPr>
              <w:t>720 – kapitálové transfery</w:t>
            </w:r>
          </w:p>
        </w:tc>
        <w:tc>
          <w:tcPr>
            <w:tcW w:w="850" w:type="dxa"/>
          </w:tcPr>
          <w:p w:rsidR="00F94051" w:rsidRPr="00AC5880" w:rsidRDefault="00F94051" w:rsidP="00305411">
            <w:pPr>
              <w:autoSpaceDE w:val="0"/>
              <w:autoSpaceDN w:val="0"/>
              <w:adjustRightInd w:val="0"/>
              <w:spacing w:after="0" w:line="240" w:lineRule="auto"/>
              <w:rPr>
                <w:rFonts w:ascii="Times New Roman" w:hAnsi="Times New Roman" w:cs="Times New Roman"/>
                <w:lang w:eastAsia="sk-SK"/>
              </w:rPr>
            </w:pPr>
            <w:r w:rsidRPr="00AC5880">
              <w:rPr>
                <w:rFonts w:ascii="Times New Roman" w:hAnsi="Times New Roman" w:cs="Times New Roman"/>
                <w:lang w:eastAsia="sk-SK"/>
              </w:rPr>
              <w:t>111</w:t>
            </w:r>
          </w:p>
        </w:tc>
        <w:tc>
          <w:tcPr>
            <w:tcW w:w="1276" w:type="dxa"/>
            <w:shd w:val="clear" w:color="auto" w:fill="auto"/>
          </w:tcPr>
          <w:p w:rsidR="00F94051" w:rsidRPr="00AC5880" w:rsidRDefault="00F94051" w:rsidP="000233F5">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10 000,</w:t>
            </w:r>
            <w:r w:rsidR="00AC5880" w:rsidRPr="00AC5880">
              <w:rPr>
                <w:rFonts w:ascii="Times New Roman" w:hAnsi="Times New Roman" w:cs="Times New Roman"/>
                <w:lang w:eastAsia="sk-SK"/>
              </w:rPr>
              <w:t>00</w:t>
            </w:r>
          </w:p>
        </w:tc>
        <w:tc>
          <w:tcPr>
            <w:tcW w:w="1559" w:type="dxa"/>
            <w:shd w:val="clear" w:color="auto" w:fill="auto"/>
          </w:tcPr>
          <w:p w:rsidR="00F94051" w:rsidRPr="00AC5880" w:rsidRDefault="000233F5" w:rsidP="00305411">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10 000,00</w:t>
            </w:r>
          </w:p>
        </w:tc>
        <w:tc>
          <w:tcPr>
            <w:tcW w:w="1276" w:type="dxa"/>
            <w:shd w:val="clear" w:color="auto" w:fill="auto"/>
          </w:tcPr>
          <w:p w:rsidR="00F94051" w:rsidRPr="00AC5880" w:rsidRDefault="000233F5" w:rsidP="00305411">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10 000,00</w:t>
            </w:r>
          </w:p>
        </w:tc>
        <w:tc>
          <w:tcPr>
            <w:tcW w:w="1417" w:type="dxa"/>
            <w:shd w:val="clear" w:color="auto" w:fill="auto"/>
          </w:tcPr>
          <w:p w:rsidR="00F94051" w:rsidRPr="00AC5880" w:rsidRDefault="00F94051" w:rsidP="00305411">
            <w:pPr>
              <w:spacing w:after="0" w:line="240" w:lineRule="auto"/>
              <w:jc w:val="center"/>
              <w:rPr>
                <w:rFonts w:ascii="Times New Roman" w:eastAsia="Times New Roman" w:hAnsi="Times New Roman" w:cs="Times New Roman"/>
              </w:rPr>
            </w:pPr>
            <w:r w:rsidRPr="00AC5880">
              <w:rPr>
                <w:rFonts w:ascii="Times New Roman" w:eastAsia="Times New Roman" w:hAnsi="Times New Roman" w:cs="Times New Roman"/>
              </w:rPr>
              <w:t>100,00</w:t>
            </w:r>
          </w:p>
        </w:tc>
      </w:tr>
    </w:tbl>
    <w:p w:rsidR="00F94051" w:rsidRPr="00305411" w:rsidRDefault="00F94051" w:rsidP="00305411">
      <w:pPr>
        <w:autoSpaceDE w:val="0"/>
        <w:autoSpaceDN w:val="0"/>
        <w:adjustRightInd w:val="0"/>
        <w:spacing w:after="0" w:line="240" w:lineRule="auto"/>
        <w:ind w:firstLine="567"/>
        <w:jc w:val="both"/>
        <w:rPr>
          <w:rFonts w:ascii="Times New Roman" w:hAnsi="Times New Roman" w:cs="Times New Roman"/>
          <w:sz w:val="24"/>
          <w:szCs w:val="24"/>
        </w:rPr>
      </w:pPr>
    </w:p>
    <w:p w:rsidR="001A5221" w:rsidRPr="00305411" w:rsidRDefault="001A5221" w:rsidP="00EA5219">
      <w:pPr>
        <w:autoSpaceDE w:val="0"/>
        <w:autoSpaceDN w:val="0"/>
        <w:adjustRightInd w:val="0"/>
        <w:spacing w:after="0" w:line="240" w:lineRule="auto"/>
        <w:ind w:firstLine="709"/>
        <w:jc w:val="both"/>
        <w:rPr>
          <w:rFonts w:ascii="Times New Roman" w:hAnsi="Times New Roman" w:cs="Times New Roman"/>
          <w:color w:val="FF0000"/>
          <w:sz w:val="24"/>
          <w:szCs w:val="24"/>
          <w:lang w:eastAsia="sk-SK"/>
        </w:rPr>
      </w:pPr>
      <w:r w:rsidRPr="00305411">
        <w:rPr>
          <w:rFonts w:ascii="Times New Roman" w:hAnsi="Times New Roman" w:cs="Times New Roman"/>
          <w:sz w:val="24"/>
          <w:szCs w:val="24"/>
        </w:rPr>
        <w:t xml:space="preserve">Kapitálové výdavky </w:t>
      </w:r>
      <w:r w:rsidR="00567DB5">
        <w:rPr>
          <w:rFonts w:ascii="Times New Roman" w:hAnsi="Times New Roman" w:cs="Times New Roman"/>
          <w:sz w:val="24"/>
          <w:szCs w:val="24"/>
        </w:rPr>
        <w:t xml:space="preserve">boli </w:t>
      </w:r>
      <w:r w:rsidRPr="00305411">
        <w:rPr>
          <w:rFonts w:ascii="Times New Roman" w:hAnsi="Times New Roman" w:cs="Times New Roman"/>
          <w:sz w:val="24"/>
          <w:szCs w:val="24"/>
        </w:rPr>
        <w:t>v roku 201</w:t>
      </w:r>
      <w:r w:rsidR="00567DB5">
        <w:rPr>
          <w:rFonts w:ascii="Times New Roman" w:hAnsi="Times New Roman" w:cs="Times New Roman"/>
          <w:sz w:val="24"/>
          <w:szCs w:val="24"/>
        </w:rPr>
        <w:t xml:space="preserve">5 </w:t>
      </w:r>
      <w:r w:rsidR="00567DB5" w:rsidRPr="00305411">
        <w:rPr>
          <w:rFonts w:ascii="Times New Roman" w:hAnsi="Times New Roman" w:cs="Times New Roman"/>
          <w:sz w:val="24"/>
          <w:szCs w:val="24"/>
        </w:rPr>
        <w:t>poskytnuté</w:t>
      </w:r>
      <w:r w:rsidRPr="00305411">
        <w:rPr>
          <w:rFonts w:ascii="Times New Roman" w:hAnsi="Times New Roman" w:cs="Times New Roman"/>
          <w:sz w:val="24"/>
          <w:szCs w:val="24"/>
        </w:rPr>
        <w:t xml:space="preserve"> organizácii </w:t>
      </w:r>
      <w:r w:rsidR="008C187A">
        <w:rPr>
          <w:rFonts w:ascii="Times New Roman" w:hAnsi="Times New Roman" w:cs="Times New Roman"/>
          <w:sz w:val="24"/>
          <w:szCs w:val="24"/>
        </w:rPr>
        <w:t xml:space="preserve">SARIO </w:t>
      </w:r>
      <w:r w:rsidR="00567DB5">
        <w:rPr>
          <w:rFonts w:ascii="Times New Roman" w:hAnsi="Times New Roman" w:cs="Times New Roman"/>
          <w:sz w:val="24"/>
          <w:szCs w:val="24"/>
        </w:rPr>
        <w:t>v sume</w:t>
      </w:r>
      <w:r w:rsidRPr="00305411">
        <w:rPr>
          <w:rFonts w:ascii="Times New Roman" w:hAnsi="Times New Roman" w:cs="Times New Roman"/>
          <w:sz w:val="24"/>
          <w:szCs w:val="24"/>
        </w:rPr>
        <w:t xml:space="preserve"> 10 000,00 eur,</w:t>
      </w:r>
      <w:r w:rsidR="00FF4E04">
        <w:rPr>
          <w:rFonts w:ascii="Times New Roman" w:hAnsi="Times New Roman" w:cs="Times New Roman"/>
          <w:sz w:val="24"/>
          <w:szCs w:val="24"/>
        </w:rPr>
        <w:t xml:space="preserve"> </w:t>
      </w:r>
      <w:r w:rsidRPr="00305411">
        <w:rPr>
          <w:rFonts w:ascii="Times New Roman" w:hAnsi="Times New Roman" w:cs="Times New Roman"/>
          <w:sz w:val="24"/>
          <w:szCs w:val="24"/>
        </w:rPr>
        <w:t>t. j. 100,00 % z upraveného rozpočtu.</w:t>
      </w:r>
    </w:p>
    <w:p w:rsidR="001A5221" w:rsidRPr="00305411" w:rsidRDefault="001A5221" w:rsidP="00305411">
      <w:pPr>
        <w:spacing w:after="0" w:line="240" w:lineRule="auto"/>
        <w:jc w:val="both"/>
        <w:rPr>
          <w:rFonts w:ascii="Times New Roman" w:hAnsi="Times New Roman" w:cs="Times New Roman"/>
          <w:b/>
          <w:sz w:val="24"/>
          <w:szCs w:val="24"/>
        </w:rPr>
      </w:pPr>
    </w:p>
    <w:p w:rsidR="00F94051" w:rsidRPr="00305411" w:rsidRDefault="00F94051" w:rsidP="00305411">
      <w:pPr>
        <w:pStyle w:val="Zkladntext2"/>
        <w:spacing w:line="240" w:lineRule="auto"/>
        <w:rPr>
          <w:rFonts w:ascii="Times New Roman" w:hAnsi="Times New Roman" w:cs="Times New Roman"/>
          <w:bCs/>
          <w:i/>
          <w:sz w:val="24"/>
          <w:szCs w:val="24"/>
        </w:rPr>
      </w:pPr>
      <w:r w:rsidRPr="0029439A">
        <w:rPr>
          <w:rFonts w:ascii="Times New Roman" w:hAnsi="Times New Roman" w:cs="Times New Roman"/>
          <w:bCs/>
          <w:i/>
          <w:sz w:val="24"/>
          <w:szCs w:val="24"/>
        </w:rPr>
        <w:t>07K 04 03 Podpora rozvoja strategických investícií – investičné stimuly</w:t>
      </w:r>
    </w:p>
    <w:p w:rsidR="000275A9" w:rsidRPr="002237D1" w:rsidRDefault="000275A9" w:rsidP="000275A9">
      <w:pPr>
        <w:spacing w:after="0" w:line="240" w:lineRule="auto"/>
        <w:ind w:firstLine="540"/>
        <w:jc w:val="right"/>
        <w:rPr>
          <w:rFonts w:ascii="Times New Roman" w:hAnsi="Times New Roman" w:cs="Times New Roman"/>
        </w:rPr>
      </w:pPr>
      <w:r w:rsidRPr="002237D1">
        <w:rPr>
          <w:rFonts w:ascii="Times New Roman" w:hAnsi="Times New Roman" w:cs="Times New Roman"/>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1559"/>
        <w:gridCol w:w="1701"/>
        <w:gridCol w:w="1559"/>
        <w:gridCol w:w="1559"/>
      </w:tblGrid>
      <w:tr w:rsidR="0059693B" w:rsidRPr="00444B41" w:rsidTr="00444B41">
        <w:trPr>
          <w:trHeight w:val="725"/>
        </w:trPr>
        <w:tc>
          <w:tcPr>
            <w:tcW w:w="1843" w:type="dxa"/>
            <w:tcBorders>
              <w:bottom w:val="single" w:sz="4" w:space="0" w:color="auto"/>
            </w:tcBorders>
            <w:shd w:val="clear" w:color="auto" w:fill="auto"/>
          </w:tcPr>
          <w:p w:rsidR="0059693B" w:rsidRPr="00444B41" w:rsidRDefault="0059693B" w:rsidP="00305411">
            <w:pPr>
              <w:spacing w:after="0" w:line="240" w:lineRule="auto"/>
              <w:jc w:val="both"/>
              <w:rPr>
                <w:rFonts w:ascii="Times New Roman" w:eastAsia="Times New Roman" w:hAnsi="Times New Roman" w:cs="Times New Roman"/>
                <w:b/>
              </w:rPr>
            </w:pPr>
            <w:r w:rsidRPr="00444B41">
              <w:rPr>
                <w:rFonts w:ascii="Times New Roman" w:eastAsia="Times New Roman" w:hAnsi="Times New Roman" w:cs="Times New Roman"/>
                <w:b/>
              </w:rPr>
              <w:t>Ekonomická</w:t>
            </w:r>
          </w:p>
          <w:p w:rsidR="0059693B" w:rsidRPr="00444B41" w:rsidRDefault="0059693B" w:rsidP="00305411">
            <w:pPr>
              <w:spacing w:after="0" w:line="240" w:lineRule="auto"/>
              <w:jc w:val="both"/>
              <w:rPr>
                <w:rFonts w:ascii="Times New Roman" w:eastAsia="Times New Roman" w:hAnsi="Times New Roman" w:cs="Times New Roman"/>
                <w:b/>
              </w:rPr>
            </w:pPr>
            <w:r w:rsidRPr="00444B41">
              <w:rPr>
                <w:rFonts w:ascii="Times New Roman" w:eastAsia="Times New Roman" w:hAnsi="Times New Roman" w:cs="Times New Roman"/>
                <w:b/>
              </w:rPr>
              <w:t>klasifikácia</w:t>
            </w:r>
          </w:p>
        </w:tc>
        <w:tc>
          <w:tcPr>
            <w:tcW w:w="851" w:type="dxa"/>
          </w:tcPr>
          <w:p w:rsidR="0059693B" w:rsidRPr="00444B41" w:rsidRDefault="0059693B" w:rsidP="00305411">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Zdroj</w:t>
            </w:r>
          </w:p>
        </w:tc>
        <w:tc>
          <w:tcPr>
            <w:tcW w:w="1559" w:type="dxa"/>
            <w:shd w:val="clear" w:color="auto" w:fill="auto"/>
          </w:tcPr>
          <w:p w:rsidR="0059693B" w:rsidRPr="00444B41" w:rsidRDefault="0059693B" w:rsidP="0059693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Schválený</w:t>
            </w:r>
          </w:p>
          <w:p w:rsidR="0059693B" w:rsidRPr="00444B41" w:rsidRDefault="0059693B" w:rsidP="0059693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rozpočet k 1.1.2015</w:t>
            </w:r>
          </w:p>
        </w:tc>
        <w:tc>
          <w:tcPr>
            <w:tcW w:w="1701" w:type="dxa"/>
            <w:shd w:val="clear" w:color="auto" w:fill="auto"/>
          </w:tcPr>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Upravený</w:t>
            </w:r>
          </w:p>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rozpočet k 31.12.2015</w:t>
            </w:r>
          </w:p>
        </w:tc>
        <w:tc>
          <w:tcPr>
            <w:tcW w:w="1559" w:type="dxa"/>
            <w:shd w:val="clear" w:color="auto" w:fill="auto"/>
          </w:tcPr>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Čerpanie k</w:t>
            </w:r>
          </w:p>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31.12.2015</w:t>
            </w:r>
          </w:p>
        </w:tc>
        <w:tc>
          <w:tcPr>
            <w:tcW w:w="1559" w:type="dxa"/>
            <w:shd w:val="clear" w:color="auto" w:fill="auto"/>
          </w:tcPr>
          <w:p w:rsidR="0059693B" w:rsidRPr="00444B41" w:rsidRDefault="0059693B" w:rsidP="00D35D8B">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 čerpania k uprav. rozpočtu</w:t>
            </w:r>
          </w:p>
        </w:tc>
      </w:tr>
      <w:tr w:rsidR="00F94051" w:rsidRPr="00444B41" w:rsidTr="00444B41">
        <w:tc>
          <w:tcPr>
            <w:tcW w:w="1843" w:type="dxa"/>
            <w:tcBorders>
              <w:top w:val="single" w:sz="4" w:space="0" w:color="auto"/>
              <w:left w:val="single" w:sz="4" w:space="0" w:color="auto"/>
              <w:bottom w:val="nil"/>
              <w:right w:val="single" w:sz="4" w:space="0" w:color="auto"/>
            </w:tcBorders>
            <w:shd w:val="clear" w:color="auto" w:fill="auto"/>
          </w:tcPr>
          <w:p w:rsidR="00F94051" w:rsidRPr="00444B41" w:rsidRDefault="00F94051" w:rsidP="00305411">
            <w:pPr>
              <w:spacing w:after="0" w:line="240" w:lineRule="auto"/>
              <w:jc w:val="both"/>
              <w:rPr>
                <w:rFonts w:ascii="Times New Roman" w:eastAsia="Times New Roman" w:hAnsi="Times New Roman" w:cs="Times New Roman"/>
              </w:rPr>
            </w:pPr>
            <w:r w:rsidRPr="00444B41">
              <w:rPr>
                <w:rFonts w:ascii="Times New Roman" w:eastAsia="Times New Roman" w:hAnsi="Times New Roman" w:cs="Times New Roman"/>
              </w:rPr>
              <w:t xml:space="preserve">720 – kapitálové </w:t>
            </w:r>
          </w:p>
        </w:tc>
        <w:tc>
          <w:tcPr>
            <w:tcW w:w="851" w:type="dxa"/>
            <w:tcBorders>
              <w:left w:val="single" w:sz="4" w:space="0" w:color="auto"/>
            </w:tcBorders>
          </w:tcPr>
          <w:p w:rsidR="00F94051" w:rsidRPr="00444B41" w:rsidRDefault="00F94051" w:rsidP="00305411">
            <w:pPr>
              <w:autoSpaceDE w:val="0"/>
              <w:autoSpaceDN w:val="0"/>
              <w:adjustRightInd w:val="0"/>
              <w:spacing w:after="0" w:line="240" w:lineRule="auto"/>
              <w:rPr>
                <w:rFonts w:ascii="Times New Roman" w:hAnsi="Times New Roman" w:cs="Times New Roman"/>
                <w:lang w:eastAsia="sk-SK"/>
              </w:rPr>
            </w:pPr>
            <w:r w:rsidRPr="00444B41">
              <w:rPr>
                <w:rFonts w:ascii="Times New Roman" w:hAnsi="Times New Roman" w:cs="Times New Roman"/>
                <w:lang w:eastAsia="sk-SK"/>
              </w:rPr>
              <w:t>111</w:t>
            </w:r>
          </w:p>
        </w:tc>
        <w:tc>
          <w:tcPr>
            <w:tcW w:w="1559" w:type="dxa"/>
            <w:shd w:val="clear" w:color="auto" w:fill="auto"/>
          </w:tcPr>
          <w:p w:rsidR="00F94051" w:rsidRPr="00444B41" w:rsidRDefault="009B5A47"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378 175,00</w:t>
            </w:r>
          </w:p>
        </w:tc>
        <w:tc>
          <w:tcPr>
            <w:tcW w:w="1701" w:type="dxa"/>
            <w:shd w:val="clear" w:color="auto" w:fill="auto"/>
          </w:tcPr>
          <w:p w:rsidR="00F94051" w:rsidRPr="00444B41" w:rsidRDefault="00AC5880"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0,00</w:t>
            </w:r>
          </w:p>
        </w:tc>
        <w:tc>
          <w:tcPr>
            <w:tcW w:w="1559" w:type="dxa"/>
            <w:shd w:val="clear" w:color="auto" w:fill="auto"/>
          </w:tcPr>
          <w:p w:rsidR="00F94051" w:rsidRPr="00444B41" w:rsidRDefault="00AC5880"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0,00</w:t>
            </w:r>
          </w:p>
        </w:tc>
        <w:tc>
          <w:tcPr>
            <w:tcW w:w="1559" w:type="dxa"/>
            <w:shd w:val="clear" w:color="auto" w:fill="auto"/>
          </w:tcPr>
          <w:p w:rsidR="00F94051" w:rsidRPr="00444B41" w:rsidRDefault="00AC5880" w:rsidP="00305411">
            <w:pPr>
              <w:spacing w:after="0" w:line="240" w:lineRule="auto"/>
              <w:jc w:val="center"/>
              <w:rPr>
                <w:rFonts w:ascii="Times New Roman" w:eastAsia="Times New Roman" w:hAnsi="Times New Roman" w:cs="Times New Roman"/>
              </w:rPr>
            </w:pPr>
            <w:r w:rsidRPr="00444B41">
              <w:rPr>
                <w:rFonts w:ascii="Times New Roman" w:eastAsia="Times New Roman" w:hAnsi="Times New Roman" w:cs="Times New Roman"/>
              </w:rPr>
              <w:t>0,00</w:t>
            </w:r>
          </w:p>
        </w:tc>
      </w:tr>
      <w:tr w:rsidR="00F94051" w:rsidRPr="00444B41" w:rsidTr="00444B41">
        <w:tc>
          <w:tcPr>
            <w:tcW w:w="1843" w:type="dxa"/>
            <w:tcBorders>
              <w:top w:val="nil"/>
              <w:left w:val="single" w:sz="4" w:space="0" w:color="auto"/>
              <w:bottom w:val="nil"/>
              <w:right w:val="single" w:sz="4" w:space="0" w:color="auto"/>
            </w:tcBorders>
            <w:shd w:val="clear" w:color="auto" w:fill="auto"/>
          </w:tcPr>
          <w:p w:rsidR="00F94051" w:rsidRPr="00444B41" w:rsidRDefault="0083475A" w:rsidP="00305411">
            <w:pPr>
              <w:spacing w:after="0" w:line="240" w:lineRule="auto"/>
              <w:jc w:val="both"/>
              <w:rPr>
                <w:rFonts w:ascii="Times New Roman" w:eastAsia="Times New Roman" w:hAnsi="Times New Roman" w:cs="Times New Roman"/>
              </w:rPr>
            </w:pPr>
            <w:r w:rsidRPr="00444B41">
              <w:rPr>
                <w:rFonts w:ascii="Times New Roman" w:eastAsia="Times New Roman" w:hAnsi="Times New Roman" w:cs="Times New Roman"/>
              </w:rPr>
              <w:t>transfery</w:t>
            </w:r>
          </w:p>
        </w:tc>
        <w:tc>
          <w:tcPr>
            <w:tcW w:w="851" w:type="dxa"/>
            <w:tcBorders>
              <w:left w:val="single" w:sz="4" w:space="0" w:color="auto"/>
            </w:tcBorders>
          </w:tcPr>
          <w:p w:rsidR="00F94051" w:rsidRPr="00444B41" w:rsidRDefault="00F94051" w:rsidP="009B5A47">
            <w:pPr>
              <w:autoSpaceDE w:val="0"/>
              <w:autoSpaceDN w:val="0"/>
              <w:adjustRightInd w:val="0"/>
              <w:spacing w:after="0" w:line="240" w:lineRule="auto"/>
              <w:rPr>
                <w:rFonts w:ascii="Times New Roman" w:hAnsi="Times New Roman" w:cs="Times New Roman"/>
                <w:lang w:eastAsia="sk-SK"/>
              </w:rPr>
            </w:pPr>
            <w:r w:rsidRPr="00444B41">
              <w:rPr>
                <w:rFonts w:ascii="Times New Roman" w:hAnsi="Times New Roman" w:cs="Times New Roman"/>
                <w:lang w:eastAsia="sk-SK"/>
              </w:rPr>
              <w:t>131</w:t>
            </w:r>
            <w:r w:rsidR="009B5A47" w:rsidRPr="00444B41">
              <w:rPr>
                <w:rFonts w:ascii="Times New Roman" w:hAnsi="Times New Roman" w:cs="Times New Roman"/>
                <w:lang w:eastAsia="sk-SK"/>
              </w:rPr>
              <w:t>D</w:t>
            </w:r>
          </w:p>
        </w:tc>
        <w:tc>
          <w:tcPr>
            <w:tcW w:w="1559" w:type="dxa"/>
            <w:shd w:val="clear" w:color="auto" w:fill="auto"/>
          </w:tcPr>
          <w:p w:rsidR="00F94051" w:rsidRPr="00444B41" w:rsidRDefault="00F94051"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0,00</w:t>
            </w:r>
          </w:p>
        </w:tc>
        <w:tc>
          <w:tcPr>
            <w:tcW w:w="1701" w:type="dxa"/>
            <w:shd w:val="clear" w:color="auto" w:fill="auto"/>
          </w:tcPr>
          <w:p w:rsidR="00F94051" w:rsidRPr="00444B41" w:rsidRDefault="00444B41"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3 144 556,47</w:t>
            </w:r>
          </w:p>
        </w:tc>
        <w:tc>
          <w:tcPr>
            <w:tcW w:w="1559" w:type="dxa"/>
            <w:shd w:val="clear" w:color="auto" w:fill="auto"/>
          </w:tcPr>
          <w:p w:rsidR="00F94051" w:rsidRPr="00444B41" w:rsidRDefault="00444B41" w:rsidP="00444B41">
            <w:pPr>
              <w:autoSpaceDE w:val="0"/>
              <w:autoSpaceDN w:val="0"/>
              <w:adjustRightInd w:val="0"/>
              <w:spacing w:after="0" w:line="240" w:lineRule="auto"/>
              <w:jc w:val="right"/>
              <w:rPr>
                <w:rFonts w:ascii="Times New Roman" w:hAnsi="Times New Roman" w:cs="Times New Roman"/>
                <w:lang w:eastAsia="sk-SK"/>
              </w:rPr>
            </w:pPr>
            <w:r w:rsidRPr="00444B41">
              <w:rPr>
                <w:rFonts w:ascii="Times New Roman" w:hAnsi="Times New Roman" w:cs="Times New Roman"/>
                <w:lang w:eastAsia="sk-SK"/>
              </w:rPr>
              <w:t>3 144 556,47</w:t>
            </w:r>
          </w:p>
        </w:tc>
        <w:tc>
          <w:tcPr>
            <w:tcW w:w="1559" w:type="dxa"/>
            <w:shd w:val="clear" w:color="auto" w:fill="auto"/>
          </w:tcPr>
          <w:p w:rsidR="00F94051" w:rsidRPr="00444B41" w:rsidRDefault="00F94051" w:rsidP="00305411">
            <w:pPr>
              <w:spacing w:after="0" w:line="240" w:lineRule="auto"/>
              <w:jc w:val="center"/>
              <w:rPr>
                <w:rFonts w:ascii="Times New Roman" w:eastAsia="Times New Roman" w:hAnsi="Times New Roman" w:cs="Times New Roman"/>
              </w:rPr>
            </w:pPr>
            <w:r w:rsidRPr="00444B41">
              <w:rPr>
                <w:rFonts w:ascii="Times New Roman" w:eastAsia="Times New Roman" w:hAnsi="Times New Roman" w:cs="Times New Roman"/>
              </w:rPr>
              <w:t>100,00</w:t>
            </w:r>
          </w:p>
        </w:tc>
      </w:tr>
      <w:tr w:rsidR="00F94051" w:rsidRPr="00444B41" w:rsidTr="00444B41">
        <w:tc>
          <w:tcPr>
            <w:tcW w:w="1843" w:type="dxa"/>
            <w:shd w:val="clear" w:color="auto" w:fill="auto"/>
          </w:tcPr>
          <w:p w:rsidR="00F94051" w:rsidRPr="00444B41" w:rsidRDefault="00F94051" w:rsidP="00305411">
            <w:pPr>
              <w:spacing w:after="0" w:line="240" w:lineRule="auto"/>
              <w:jc w:val="both"/>
              <w:rPr>
                <w:rFonts w:ascii="Times New Roman" w:eastAsia="Times New Roman" w:hAnsi="Times New Roman" w:cs="Times New Roman"/>
                <w:b/>
              </w:rPr>
            </w:pPr>
            <w:r w:rsidRPr="00444B41">
              <w:rPr>
                <w:rFonts w:ascii="Times New Roman" w:eastAsia="Times New Roman" w:hAnsi="Times New Roman" w:cs="Times New Roman"/>
                <w:b/>
              </w:rPr>
              <w:t xml:space="preserve">SPOLU 720 </w:t>
            </w:r>
          </w:p>
        </w:tc>
        <w:tc>
          <w:tcPr>
            <w:tcW w:w="851" w:type="dxa"/>
          </w:tcPr>
          <w:p w:rsidR="00F94051" w:rsidRPr="00444B41" w:rsidRDefault="00F94051" w:rsidP="00305411">
            <w:pPr>
              <w:autoSpaceDE w:val="0"/>
              <w:autoSpaceDN w:val="0"/>
              <w:adjustRightInd w:val="0"/>
              <w:spacing w:after="0" w:line="240" w:lineRule="auto"/>
              <w:rPr>
                <w:rFonts w:ascii="Times New Roman" w:hAnsi="Times New Roman" w:cs="Times New Roman"/>
                <w:b/>
                <w:lang w:eastAsia="sk-SK"/>
              </w:rPr>
            </w:pPr>
          </w:p>
        </w:tc>
        <w:tc>
          <w:tcPr>
            <w:tcW w:w="1559" w:type="dxa"/>
            <w:shd w:val="clear" w:color="auto" w:fill="auto"/>
          </w:tcPr>
          <w:p w:rsidR="00F94051" w:rsidRPr="00444B41" w:rsidRDefault="009B5A47" w:rsidP="00444B41">
            <w:pPr>
              <w:autoSpaceDE w:val="0"/>
              <w:autoSpaceDN w:val="0"/>
              <w:adjustRightInd w:val="0"/>
              <w:spacing w:after="0" w:line="240" w:lineRule="auto"/>
              <w:jc w:val="right"/>
              <w:rPr>
                <w:rFonts w:ascii="Times New Roman" w:hAnsi="Times New Roman" w:cs="Times New Roman"/>
                <w:b/>
                <w:lang w:eastAsia="sk-SK"/>
              </w:rPr>
            </w:pPr>
            <w:r w:rsidRPr="00444B41">
              <w:rPr>
                <w:rFonts w:ascii="Times New Roman" w:hAnsi="Times New Roman" w:cs="Times New Roman"/>
                <w:b/>
                <w:lang w:eastAsia="sk-SK"/>
              </w:rPr>
              <w:t>378 175,00</w:t>
            </w:r>
          </w:p>
        </w:tc>
        <w:tc>
          <w:tcPr>
            <w:tcW w:w="1701" w:type="dxa"/>
            <w:shd w:val="clear" w:color="auto" w:fill="auto"/>
          </w:tcPr>
          <w:p w:rsidR="00F94051" w:rsidRPr="00444B41" w:rsidRDefault="00444B41" w:rsidP="00444B41">
            <w:pPr>
              <w:autoSpaceDE w:val="0"/>
              <w:autoSpaceDN w:val="0"/>
              <w:adjustRightInd w:val="0"/>
              <w:spacing w:after="0" w:line="240" w:lineRule="auto"/>
              <w:jc w:val="right"/>
              <w:rPr>
                <w:rFonts w:ascii="Times New Roman" w:hAnsi="Times New Roman" w:cs="Times New Roman"/>
                <w:b/>
                <w:lang w:eastAsia="sk-SK"/>
              </w:rPr>
            </w:pPr>
            <w:r w:rsidRPr="00444B41">
              <w:rPr>
                <w:rFonts w:ascii="Times New Roman" w:hAnsi="Times New Roman" w:cs="Times New Roman"/>
                <w:b/>
                <w:lang w:eastAsia="sk-SK"/>
              </w:rPr>
              <w:t>3 144 556,47</w:t>
            </w:r>
          </w:p>
        </w:tc>
        <w:tc>
          <w:tcPr>
            <w:tcW w:w="1559" w:type="dxa"/>
            <w:shd w:val="clear" w:color="auto" w:fill="auto"/>
          </w:tcPr>
          <w:p w:rsidR="00F94051" w:rsidRPr="00444B41" w:rsidRDefault="00444B41" w:rsidP="00444B41">
            <w:pPr>
              <w:autoSpaceDE w:val="0"/>
              <w:autoSpaceDN w:val="0"/>
              <w:adjustRightInd w:val="0"/>
              <w:spacing w:after="0" w:line="240" w:lineRule="auto"/>
              <w:jc w:val="right"/>
              <w:rPr>
                <w:rFonts w:ascii="Times New Roman" w:hAnsi="Times New Roman" w:cs="Times New Roman"/>
                <w:b/>
                <w:lang w:eastAsia="sk-SK"/>
              </w:rPr>
            </w:pPr>
            <w:r w:rsidRPr="00444B41">
              <w:rPr>
                <w:rFonts w:ascii="Times New Roman" w:hAnsi="Times New Roman" w:cs="Times New Roman"/>
                <w:b/>
                <w:lang w:eastAsia="sk-SK"/>
              </w:rPr>
              <w:t>3 144 556,47</w:t>
            </w:r>
          </w:p>
        </w:tc>
        <w:tc>
          <w:tcPr>
            <w:tcW w:w="1559" w:type="dxa"/>
            <w:shd w:val="clear" w:color="auto" w:fill="auto"/>
          </w:tcPr>
          <w:p w:rsidR="00F94051" w:rsidRPr="00444B41" w:rsidRDefault="00F94051" w:rsidP="00305411">
            <w:pPr>
              <w:spacing w:after="0" w:line="240" w:lineRule="auto"/>
              <w:jc w:val="center"/>
              <w:rPr>
                <w:rFonts w:ascii="Times New Roman" w:eastAsia="Times New Roman" w:hAnsi="Times New Roman" w:cs="Times New Roman"/>
                <w:b/>
              </w:rPr>
            </w:pPr>
            <w:r w:rsidRPr="00444B41">
              <w:rPr>
                <w:rFonts w:ascii="Times New Roman" w:eastAsia="Times New Roman" w:hAnsi="Times New Roman" w:cs="Times New Roman"/>
                <w:b/>
              </w:rPr>
              <w:t>100,00</w:t>
            </w:r>
          </w:p>
        </w:tc>
      </w:tr>
    </w:tbl>
    <w:p w:rsidR="00372166" w:rsidRPr="002237D1" w:rsidRDefault="00372166" w:rsidP="00305411">
      <w:pPr>
        <w:autoSpaceDE w:val="0"/>
        <w:autoSpaceDN w:val="0"/>
        <w:adjustRightInd w:val="0"/>
        <w:spacing w:after="0" w:line="240" w:lineRule="auto"/>
        <w:ind w:firstLine="567"/>
        <w:jc w:val="both"/>
        <w:rPr>
          <w:rFonts w:ascii="Times New Roman" w:hAnsi="Times New Roman" w:cs="Times New Roman"/>
          <w:lang w:eastAsia="sk-SK"/>
        </w:rPr>
      </w:pPr>
    </w:p>
    <w:p w:rsidR="00AC5880" w:rsidRPr="00AC5880" w:rsidRDefault="00AC5880" w:rsidP="00AC5880">
      <w:pPr>
        <w:autoSpaceDE w:val="0"/>
        <w:autoSpaceDN w:val="0"/>
        <w:spacing w:line="240" w:lineRule="auto"/>
        <w:ind w:firstLine="567"/>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 xml:space="preserve">Na rok 2015 boli na uvedený prvok rozpočtu schválené kapitálové výdavky v sume      </w:t>
      </w:r>
      <w:r w:rsidRPr="00AC5880">
        <w:rPr>
          <w:rFonts w:ascii="Times New Roman" w:hAnsi="Times New Roman" w:cs="Times New Roman"/>
          <w:color w:val="000000"/>
          <w:sz w:val="24"/>
          <w:szCs w:val="24"/>
          <w:lang w:eastAsia="sk-SK"/>
        </w:rPr>
        <w:t xml:space="preserve">378 175,00 </w:t>
      </w:r>
      <w:r w:rsidRPr="00AC5880">
        <w:rPr>
          <w:rFonts w:ascii="Times New Roman" w:hAnsi="Times New Roman" w:cs="Times New Roman"/>
          <w:color w:val="000000"/>
          <w:sz w:val="24"/>
          <w:szCs w:val="24"/>
        </w:rPr>
        <w:t>eur. Výdavky na investičné stimuly boli v roku 2015  upravené rozpočtovými opatreniami MF SR nasledovne :</w:t>
      </w:r>
    </w:p>
    <w:p w:rsidR="00AC5880" w:rsidRPr="0008185A" w:rsidRDefault="005F7979" w:rsidP="0008185A">
      <w:pPr>
        <w:numPr>
          <w:ilvl w:val="0"/>
          <w:numId w:val="30"/>
        </w:numPr>
        <w:autoSpaceDE w:val="0"/>
        <w:autoSpaceDN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AC5880" w:rsidRPr="00AC5880">
        <w:rPr>
          <w:rFonts w:ascii="Times New Roman" w:hAnsi="Times New Roman" w:cs="Times New Roman"/>
          <w:color w:val="000000"/>
          <w:sz w:val="24"/>
          <w:szCs w:val="24"/>
        </w:rPr>
        <w:t>avýšenie</w:t>
      </w:r>
      <w:r w:rsidR="008C187A">
        <w:rPr>
          <w:rFonts w:ascii="Times New Roman" w:hAnsi="Times New Roman" w:cs="Times New Roman"/>
          <w:color w:val="000000"/>
          <w:sz w:val="24"/>
          <w:szCs w:val="24"/>
        </w:rPr>
        <w:t xml:space="preserve"> </w:t>
      </w:r>
      <w:r w:rsidR="00AC5880" w:rsidRPr="00AC5880">
        <w:rPr>
          <w:rFonts w:ascii="Times New Roman" w:hAnsi="Times New Roman" w:cs="Times New Roman"/>
          <w:color w:val="000000"/>
          <w:sz w:val="24"/>
          <w:szCs w:val="24"/>
        </w:rPr>
        <w:t xml:space="preserve"> kapitálových  výdavkov</w:t>
      </w:r>
      <w:r w:rsidR="008C187A">
        <w:rPr>
          <w:rFonts w:ascii="Times New Roman" w:hAnsi="Times New Roman" w:cs="Times New Roman"/>
          <w:color w:val="000000"/>
          <w:sz w:val="24"/>
          <w:szCs w:val="24"/>
        </w:rPr>
        <w:t xml:space="preserve"> </w:t>
      </w:r>
      <w:r w:rsidR="00AC5880" w:rsidRPr="00AC5880">
        <w:rPr>
          <w:rFonts w:ascii="Times New Roman" w:hAnsi="Times New Roman" w:cs="Times New Roman"/>
          <w:color w:val="000000"/>
          <w:sz w:val="24"/>
          <w:szCs w:val="24"/>
        </w:rPr>
        <w:t xml:space="preserve"> </w:t>
      </w:r>
      <w:r w:rsidR="0008185A">
        <w:rPr>
          <w:rFonts w:ascii="Times New Roman" w:hAnsi="Times New Roman" w:cs="Times New Roman"/>
          <w:color w:val="000000"/>
          <w:sz w:val="24"/>
          <w:szCs w:val="24"/>
        </w:rPr>
        <w:t xml:space="preserve">v priebehu roka </w:t>
      </w:r>
      <w:r w:rsidR="00AC5880" w:rsidRPr="00AC5880">
        <w:rPr>
          <w:rFonts w:ascii="Times New Roman" w:hAnsi="Times New Roman" w:cs="Times New Roman"/>
          <w:color w:val="000000"/>
          <w:sz w:val="24"/>
          <w:szCs w:val="24"/>
        </w:rPr>
        <w:t>o</w:t>
      </w:r>
      <w:r w:rsidR="008C187A">
        <w:rPr>
          <w:rFonts w:ascii="Times New Roman" w:hAnsi="Times New Roman" w:cs="Times New Roman"/>
          <w:color w:val="000000"/>
          <w:sz w:val="24"/>
          <w:szCs w:val="24"/>
        </w:rPr>
        <w:t> </w:t>
      </w:r>
      <w:r w:rsidR="00AC5880" w:rsidRPr="00AC5880">
        <w:rPr>
          <w:rFonts w:ascii="Times New Roman" w:hAnsi="Times New Roman" w:cs="Times New Roman"/>
          <w:color w:val="000000"/>
          <w:sz w:val="24"/>
          <w:szCs w:val="24"/>
        </w:rPr>
        <w:t>nevyčerpané</w:t>
      </w:r>
      <w:r w:rsidR="008C187A">
        <w:rPr>
          <w:rFonts w:ascii="Times New Roman" w:hAnsi="Times New Roman" w:cs="Times New Roman"/>
          <w:color w:val="000000"/>
          <w:sz w:val="24"/>
          <w:szCs w:val="24"/>
        </w:rPr>
        <w:t xml:space="preserve"> </w:t>
      </w:r>
      <w:r w:rsidR="00AC5880" w:rsidRPr="00AC5880">
        <w:rPr>
          <w:rFonts w:ascii="Times New Roman" w:hAnsi="Times New Roman" w:cs="Times New Roman"/>
          <w:color w:val="000000"/>
          <w:sz w:val="24"/>
          <w:szCs w:val="24"/>
        </w:rPr>
        <w:t xml:space="preserve"> prostriedky</w:t>
      </w:r>
      <w:r w:rsidR="008C187A">
        <w:rPr>
          <w:rFonts w:ascii="Times New Roman" w:hAnsi="Times New Roman" w:cs="Times New Roman"/>
          <w:color w:val="000000"/>
          <w:sz w:val="24"/>
          <w:szCs w:val="24"/>
        </w:rPr>
        <w:t xml:space="preserve"> </w:t>
      </w:r>
      <w:r w:rsidR="00AC5880" w:rsidRPr="00AC5880">
        <w:rPr>
          <w:rFonts w:ascii="Times New Roman" w:hAnsi="Times New Roman" w:cs="Times New Roman"/>
          <w:color w:val="000000"/>
          <w:sz w:val="24"/>
          <w:szCs w:val="24"/>
        </w:rPr>
        <w:t xml:space="preserve"> z</w:t>
      </w:r>
      <w:r w:rsidR="008C187A">
        <w:rPr>
          <w:rFonts w:ascii="Times New Roman" w:hAnsi="Times New Roman" w:cs="Times New Roman"/>
          <w:color w:val="000000"/>
          <w:sz w:val="24"/>
          <w:szCs w:val="24"/>
        </w:rPr>
        <w:t xml:space="preserve"> </w:t>
      </w:r>
      <w:r w:rsidR="00AC5880" w:rsidRPr="00AC5880">
        <w:rPr>
          <w:rFonts w:ascii="Times New Roman" w:hAnsi="Times New Roman" w:cs="Times New Roman"/>
          <w:color w:val="000000"/>
          <w:sz w:val="24"/>
          <w:szCs w:val="24"/>
        </w:rPr>
        <w:t xml:space="preserve"> roku 2013 </w:t>
      </w:r>
      <w:r w:rsidR="008C187A">
        <w:rPr>
          <w:rFonts w:ascii="Times New Roman" w:hAnsi="Times New Roman" w:cs="Times New Roman"/>
          <w:color w:val="000000"/>
          <w:sz w:val="24"/>
          <w:szCs w:val="24"/>
        </w:rPr>
        <w:t xml:space="preserve"> </w:t>
      </w:r>
      <w:r w:rsidR="008C187A">
        <w:rPr>
          <w:rFonts w:ascii="Times New Roman" w:hAnsi="Times New Roman" w:cs="Times New Roman"/>
          <w:sz w:val="24"/>
          <w:szCs w:val="24"/>
        </w:rPr>
        <w:t>v  sume</w:t>
      </w:r>
      <w:r w:rsidR="008C187A" w:rsidRPr="00305411">
        <w:rPr>
          <w:rFonts w:ascii="Times New Roman" w:hAnsi="Times New Roman" w:cs="Times New Roman"/>
          <w:sz w:val="24"/>
          <w:szCs w:val="24"/>
        </w:rPr>
        <w:t xml:space="preserve"> </w:t>
      </w:r>
      <w:r w:rsidR="00AC5880" w:rsidRPr="0008185A">
        <w:rPr>
          <w:rFonts w:ascii="Times New Roman" w:hAnsi="Times New Roman" w:cs="Times New Roman"/>
          <w:color w:val="000000"/>
          <w:sz w:val="24"/>
          <w:szCs w:val="24"/>
        </w:rPr>
        <w:t>8 064 250,11 eur,</w:t>
      </w:r>
    </w:p>
    <w:p w:rsidR="00AC5880" w:rsidRPr="00AC5880" w:rsidRDefault="00AC5880" w:rsidP="00AC5880">
      <w:pPr>
        <w:numPr>
          <w:ilvl w:val="0"/>
          <w:numId w:val="30"/>
        </w:numPr>
        <w:autoSpaceDE w:val="0"/>
        <w:autoSpaceDN w:val="0"/>
        <w:spacing w:after="0" w:line="240" w:lineRule="auto"/>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 xml:space="preserve">navýšenie kapitálových  výdavkov </w:t>
      </w:r>
      <w:r w:rsidR="0008185A">
        <w:rPr>
          <w:rFonts w:ascii="Times New Roman" w:hAnsi="Times New Roman" w:cs="Times New Roman"/>
          <w:color w:val="000000"/>
          <w:sz w:val="24"/>
          <w:szCs w:val="24"/>
        </w:rPr>
        <w:t>v priebehu roka</w:t>
      </w:r>
      <w:r w:rsidRPr="00AC5880">
        <w:rPr>
          <w:rFonts w:ascii="Times New Roman" w:hAnsi="Times New Roman" w:cs="Times New Roman"/>
          <w:color w:val="000000"/>
          <w:sz w:val="24"/>
          <w:szCs w:val="24"/>
        </w:rPr>
        <w:t xml:space="preserve"> o nevyčerpané  prostriedky  z roku 201</w:t>
      </w:r>
      <w:r w:rsidR="0008185A">
        <w:rPr>
          <w:rFonts w:ascii="Times New Roman" w:hAnsi="Times New Roman" w:cs="Times New Roman"/>
          <w:color w:val="000000"/>
          <w:sz w:val="24"/>
          <w:szCs w:val="24"/>
        </w:rPr>
        <w:t>3</w:t>
      </w:r>
      <w:r w:rsidRPr="00AC5880">
        <w:rPr>
          <w:rFonts w:ascii="Times New Roman" w:hAnsi="Times New Roman" w:cs="Times New Roman"/>
          <w:color w:val="000000"/>
          <w:sz w:val="24"/>
          <w:szCs w:val="24"/>
        </w:rPr>
        <w:t xml:space="preserve"> </w:t>
      </w:r>
      <w:r w:rsidR="008C187A">
        <w:rPr>
          <w:rFonts w:ascii="Times New Roman" w:hAnsi="Times New Roman" w:cs="Times New Roman"/>
          <w:sz w:val="24"/>
          <w:szCs w:val="24"/>
        </w:rPr>
        <w:t>v</w:t>
      </w:r>
      <w:r w:rsidR="0008185A">
        <w:rPr>
          <w:rFonts w:ascii="Times New Roman" w:hAnsi="Times New Roman" w:cs="Times New Roman"/>
          <w:sz w:val="24"/>
          <w:szCs w:val="24"/>
        </w:rPr>
        <w:t> celkovej sume</w:t>
      </w:r>
      <w:r w:rsidR="008C187A" w:rsidRPr="00305411">
        <w:rPr>
          <w:rFonts w:ascii="Times New Roman" w:hAnsi="Times New Roman" w:cs="Times New Roman"/>
          <w:sz w:val="24"/>
          <w:szCs w:val="24"/>
        </w:rPr>
        <w:t xml:space="preserve"> </w:t>
      </w:r>
      <w:r w:rsidR="008C187A">
        <w:rPr>
          <w:rFonts w:ascii="Times New Roman" w:hAnsi="Times New Roman" w:cs="Times New Roman"/>
          <w:sz w:val="24"/>
          <w:szCs w:val="24"/>
        </w:rPr>
        <w:t xml:space="preserve">  </w:t>
      </w:r>
      <w:r w:rsidRPr="00AC5880">
        <w:rPr>
          <w:rFonts w:ascii="Times New Roman" w:hAnsi="Times New Roman" w:cs="Times New Roman"/>
          <w:color w:val="000000"/>
          <w:sz w:val="24"/>
          <w:szCs w:val="24"/>
        </w:rPr>
        <w:t>3</w:t>
      </w:r>
      <w:r w:rsidR="0008185A">
        <w:rPr>
          <w:rFonts w:ascii="Times New Roman" w:hAnsi="Times New Roman" w:cs="Times New Roman"/>
          <w:color w:val="000000"/>
          <w:sz w:val="24"/>
          <w:szCs w:val="24"/>
        </w:rPr>
        <w:t> 144 556,47</w:t>
      </w:r>
      <w:r w:rsidRPr="00AC5880">
        <w:rPr>
          <w:rFonts w:ascii="Times New Roman" w:hAnsi="Times New Roman" w:cs="Times New Roman"/>
          <w:color w:val="000000"/>
          <w:sz w:val="24"/>
          <w:szCs w:val="24"/>
        </w:rPr>
        <w:t xml:space="preserve"> eur,</w:t>
      </w:r>
    </w:p>
    <w:p w:rsidR="00AC5880" w:rsidRDefault="00AC5880" w:rsidP="0008185A">
      <w:pPr>
        <w:autoSpaceDE w:val="0"/>
        <w:autoSpaceDN w:val="0"/>
        <w:adjustRightInd w:val="0"/>
        <w:spacing w:before="240" w:after="0" w:line="240" w:lineRule="auto"/>
        <w:ind w:firstLine="567"/>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 xml:space="preserve">Celkovo boli kapitálové výdavky na investičné stimuly k 31.12.2015 upravené  o sumu 2 766 381,47 eur  na </w:t>
      </w:r>
      <w:r w:rsidR="008C187A">
        <w:rPr>
          <w:rFonts w:ascii="Times New Roman" w:hAnsi="Times New Roman" w:cs="Times New Roman"/>
          <w:color w:val="000000"/>
          <w:sz w:val="24"/>
          <w:szCs w:val="24"/>
        </w:rPr>
        <w:t xml:space="preserve">konečnú </w:t>
      </w:r>
      <w:r w:rsidRPr="00AC5880">
        <w:rPr>
          <w:rFonts w:ascii="Times New Roman" w:hAnsi="Times New Roman" w:cs="Times New Roman"/>
          <w:color w:val="000000"/>
          <w:sz w:val="24"/>
          <w:szCs w:val="24"/>
        </w:rPr>
        <w:t>sumu 3 144 556,47 eur.</w:t>
      </w:r>
    </w:p>
    <w:p w:rsidR="00AC5880" w:rsidRPr="00AC5880" w:rsidRDefault="00AC5880" w:rsidP="005E23EF">
      <w:pPr>
        <w:autoSpaceDE w:val="0"/>
        <w:autoSpaceDN w:val="0"/>
        <w:adjustRightInd w:val="0"/>
        <w:spacing w:before="240" w:line="240" w:lineRule="auto"/>
        <w:ind w:firstLine="567"/>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K 31. 12. 2015 boli rozpočtové prostriedky čerpané zo zdroja 131D (nevyčerpané  prostriedky z roku 2013) v sume  3 144 556,47 eur  a  boli  poskytnuté  spoločnostiam:</w:t>
      </w:r>
    </w:p>
    <w:p w:rsidR="00AC5880" w:rsidRPr="00AC5880" w:rsidRDefault="00AC5880" w:rsidP="00AC5880">
      <w:pPr>
        <w:numPr>
          <w:ilvl w:val="0"/>
          <w:numId w:val="30"/>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FLAMEshoes, s. r. o. v sume 1 600 000,00  eur,</w:t>
      </w:r>
    </w:p>
    <w:p w:rsidR="00AC5880" w:rsidRPr="00AC5880" w:rsidRDefault="00AC5880" w:rsidP="00AC5880">
      <w:pPr>
        <w:numPr>
          <w:ilvl w:val="0"/>
          <w:numId w:val="30"/>
        </w:numPr>
        <w:autoSpaceDE w:val="0"/>
        <w:autoSpaceDN w:val="0"/>
        <w:adjustRightInd w:val="0"/>
        <w:spacing w:after="0" w:line="240" w:lineRule="auto"/>
        <w:ind w:left="426" w:hanging="426"/>
        <w:jc w:val="both"/>
        <w:rPr>
          <w:rFonts w:ascii="Times New Roman" w:hAnsi="Times New Roman" w:cs="Times New Roman"/>
          <w:color w:val="000000"/>
          <w:sz w:val="24"/>
          <w:szCs w:val="24"/>
        </w:rPr>
      </w:pPr>
      <w:proofErr w:type="spellStart"/>
      <w:r w:rsidRPr="00AC5880">
        <w:rPr>
          <w:rFonts w:ascii="Times New Roman" w:hAnsi="Times New Roman" w:cs="Times New Roman"/>
          <w:color w:val="000000"/>
          <w:sz w:val="24"/>
          <w:szCs w:val="24"/>
        </w:rPr>
        <w:t>TREVES</w:t>
      </w:r>
      <w:proofErr w:type="spellEnd"/>
      <w:r w:rsidRPr="00AC5880">
        <w:rPr>
          <w:rFonts w:ascii="Times New Roman" w:hAnsi="Times New Roman" w:cs="Times New Roman"/>
          <w:color w:val="000000"/>
          <w:sz w:val="24"/>
          <w:szCs w:val="24"/>
        </w:rPr>
        <w:t xml:space="preserve"> Slovakia, s. r. o.  v sume 204 976,58 eur,</w:t>
      </w:r>
    </w:p>
    <w:p w:rsidR="00AC5880" w:rsidRPr="00AC5880" w:rsidRDefault="00AC5880" w:rsidP="00AC5880">
      <w:pPr>
        <w:numPr>
          <w:ilvl w:val="0"/>
          <w:numId w:val="30"/>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Secop, s. r. o. v sume 757 451,94 eur,</w:t>
      </w:r>
    </w:p>
    <w:p w:rsidR="00AC5880" w:rsidRPr="00AC5880" w:rsidRDefault="00AC5880" w:rsidP="00AC5880">
      <w:pPr>
        <w:numPr>
          <w:ilvl w:val="0"/>
          <w:numId w:val="30"/>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MAHLE Behr Slovakia, s. r. o. v sume 127 384,95 eur</w:t>
      </w:r>
    </w:p>
    <w:p w:rsidR="00AC5880" w:rsidRPr="00AC5880" w:rsidRDefault="00AC5880" w:rsidP="00AC5880">
      <w:pPr>
        <w:numPr>
          <w:ilvl w:val="0"/>
          <w:numId w:val="30"/>
        </w:numPr>
        <w:autoSpaceDE w:val="0"/>
        <w:autoSpaceDN w:val="0"/>
        <w:adjustRightInd w:val="0"/>
        <w:spacing w:after="0" w:line="240" w:lineRule="auto"/>
        <w:ind w:left="426" w:hanging="426"/>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Michatek, k. s. v sume 187 018,00 eur</w:t>
      </w:r>
    </w:p>
    <w:p w:rsidR="00AC5880" w:rsidRPr="00AC5880" w:rsidRDefault="00AC5880" w:rsidP="00AC5880">
      <w:pPr>
        <w:numPr>
          <w:ilvl w:val="0"/>
          <w:numId w:val="30"/>
        </w:numPr>
        <w:autoSpaceDE w:val="0"/>
        <w:autoSpaceDN w:val="0"/>
        <w:adjustRightInd w:val="0"/>
        <w:spacing w:after="0" w:line="240" w:lineRule="auto"/>
        <w:ind w:left="426" w:hanging="426"/>
        <w:jc w:val="both"/>
        <w:rPr>
          <w:rFonts w:ascii="Times New Roman" w:hAnsi="Times New Roman" w:cs="Times New Roman"/>
          <w:color w:val="000000"/>
          <w:sz w:val="24"/>
          <w:szCs w:val="24"/>
        </w:rPr>
      </w:pPr>
      <w:proofErr w:type="spellStart"/>
      <w:r w:rsidRPr="00AC5880">
        <w:rPr>
          <w:rFonts w:ascii="Times New Roman" w:hAnsi="Times New Roman" w:cs="Times New Roman"/>
          <w:color w:val="000000"/>
          <w:sz w:val="24"/>
          <w:szCs w:val="24"/>
        </w:rPr>
        <w:t>Semecs</w:t>
      </w:r>
      <w:proofErr w:type="spellEnd"/>
      <w:r w:rsidRPr="00AC5880">
        <w:rPr>
          <w:rFonts w:ascii="Times New Roman" w:hAnsi="Times New Roman" w:cs="Times New Roman"/>
          <w:color w:val="000000"/>
          <w:sz w:val="24"/>
          <w:szCs w:val="24"/>
        </w:rPr>
        <w:t>, s.r.o. v sume 267 725,00 eur.</w:t>
      </w:r>
    </w:p>
    <w:p w:rsidR="00AC5880" w:rsidRDefault="00AC5880" w:rsidP="00AC5880">
      <w:pPr>
        <w:autoSpaceDE w:val="0"/>
        <w:autoSpaceDN w:val="0"/>
        <w:adjustRightInd w:val="0"/>
        <w:spacing w:line="240" w:lineRule="auto"/>
        <w:ind w:firstLine="567"/>
        <w:jc w:val="both"/>
        <w:rPr>
          <w:rFonts w:ascii="Times New Roman" w:hAnsi="Times New Roman" w:cs="Times New Roman"/>
          <w:color w:val="000000"/>
          <w:sz w:val="24"/>
          <w:szCs w:val="24"/>
        </w:rPr>
      </w:pPr>
      <w:r w:rsidRPr="00AC5880">
        <w:rPr>
          <w:rFonts w:ascii="Times New Roman" w:hAnsi="Times New Roman" w:cs="Times New Roman"/>
          <w:color w:val="000000"/>
          <w:sz w:val="24"/>
          <w:szCs w:val="24"/>
        </w:rPr>
        <w:t>Rozpočtové prostriedky boli vyplatené na základe predložených investičných správ ako dotácia na obstaraný dlhodobý hmotný majetok a dlhodobý nehmotný majetok podľa zákona o investičnej pomoci.</w:t>
      </w:r>
    </w:p>
    <w:p w:rsidR="008D0C09" w:rsidRDefault="008D0C09" w:rsidP="00977EAC">
      <w:pPr>
        <w:spacing w:after="0" w:line="240" w:lineRule="auto"/>
        <w:jc w:val="both"/>
        <w:rPr>
          <w:rFonts w:ascii="Times New Roman" w:hAnsi="Times New Roman" w:cs="Times New Roman"/>
          <w:i/>
          <w:sz w:val="24"/>
          <w:szCs w:val="24"/>
        </w:rPr>
      </w:pPr>
      <w:r w:rsidRPr="00EB46A4">
        <w:rPr>
          <w:rFonts w:ascii="Times New Roman" w:hAnsi="Times New Roman" w:cs="Times New Roman"/>
          <w:i/>
          <w:sz w:val="24"/>
          <w:szCs w:val="24"/>
        </w:rPr>
        <w:t xml:space="preserve">07K08 Podpora regionálneho rozvoja </w:t>
      </w:r>
    </w:p>
    <w:p w:rsidR="00977EAC" w:rsidRPr="00B42805" w:rsidRDefault="00977EAC" w:rsidP="00977EAC">
      <w:pPr>
        <w:spacing w:after="0" w:line="240" w:lineRule="auto"/>
        <w:jc w:val="right"/>
        <w:rPr>
          <w:rFonts w:ascii="Times New Roman" w:hAnsi="Times New Roman" w:cs="Times New Roman"/>
          <w:sz w:val="24"/>
          <w:szCs w:val="24"/>
        </w:rPr>
      </w:pPr>
      <w:r w:rsidRPr="00B42805">
        <w:rPr>
          <w:rFonts w:ascii="Times New Roman" w:hAnsi="Times New Roman" w:cs="Times New Roman"/>
          <w:sz w:val="24"/>
          <w:szCs w:val="24"/>
        </w:rPr>
        <w:t>v eurách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276"/>
        <w:gridCol w:w="1559"/>
        <w:gridCol w:w="1418"/>
        <w:gridCol w:w="1417"/>
      </w:tblGrid>
      <w:tr w:rsidR="008D0C09" w:rsidRPr="00AC5880" w:rsidTr="008D1732">
        <w:trPr>
          <w:trHeight w:val="725"/>
        </w:trPr>
        <w:tc>
          <w:tcPr>
            <w:tcW w:w="2552" w:type="dxa"/>
            <w:tcBorders>
              <w:bottom w:val="single" w:sz="4" w:space="0" w:color="auto"/>
            </w:tcBorders>
            <w:shd w:val="clear" w:color="auto" w:fill="auto"/>
          </w:tcPr>
          <w:p w:rsidR="008D0C09" w:rsidRPr="00AC5880" w:rsidRDefault="008D0C09" w:rsidP="000A6B13">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Ekonomická</w:t>
            </w:r>
          </w:p>
          <w:p w:rsidR="008D0C09" w:rsidRPr="00AC5880" w:rsidRDefault="008D0C09" w:rsidP="000A6B13">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klasifikácia</w:t>
            </w:r>
          </w:p>
        </w:tc>
        <w:tc>
          <w:tcPr>
            <w:tcW w:w="850" w:type="dxa"/>
            <w:tcBorders>
              <w:bottom w:val="single" w:sz="4" w:space="0" w:color="auto"/>
            </w:tcBorders>
          </w:tcPr>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Zdroj</w:t>
            </w:r>
          </w:p>
        </w:tc>
        <w:tc>
          <w:tcPr>
            <w:tcW w:w="1276" w:type="dxa"/>
            <w:tcBorders>
              <w:bottom w:val="single" w:sz="4" w:space="0" w:color="auto"/>
            </w:tcBorders>
            <w:shd w:val="clear" w:color="auto" w:fill="auto"/>
          </w:tcPr>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Schválený</w:t>
            </w:r>
          </w:p>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1.1.2015</w:t>
            </w:r>
          </w:p>
        </w:tc>
        <w:tc>
          <w:tcPr>
            <w:tcW w:w="1559" w:type="dxa"/>
            <w:tcBorders>
              <w:bottom w:val="single" w:sz="4" w:space="0" w:color="auto"/>
            </w:tcBorders>
            <w:shd w:val="clear" w:color="auto" w:fill="auto"/>
          </w:tcPr>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Upravený</w:t>
            </w:r>
          </w:p>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31.12.2015</w:t>
            </w:r>
          </w:p>
        </w:tc>
        <w:tc>
          <w:tcPr>
            <w:tcW w:w="1418" w:type="dxa"/>
            <w:tcBorders>
              <w:bottom w:val="single" w:sz="4" w:space="0" w:color="auto"/>
            </w:tcBorders>
            <w:shd w:val="clear" w:color="auto" w:fill="auto"/>
          </w:tcPr>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Čerpanie k</w:t>
            </w:r>
          </w:p>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31.12.2015</w:t>
            </w:r>
          </w:p>
        </w:tc>
        <w:tc>
          <w:tcPr>
            <w:tcW w:w="1417" w:type="dxa"/>
            <w:tcBorders>
              <w:bottom w:val="single" w:sz="4" w:space="0" w:color="auto"/>
            </w:tcBorders>
            <w:shd w:val="clear" w:color="auto" w:fill="auto"/>
          </w:tcPr>
          <w:p w:rsidR="008D0C09" w:rsidRPr="00AC5880" w:rsidRDefault="008D0C09"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 čerpania k uprav. rozpočtu</w:t>
            </w:r>
          </w:p>
        </w:tc>
      </w:tr>
      <w:tr w:rsidR="008D1732" w:rsidRPr="008D1732" w:rsidTr="008D1732">
        <w:tc>
          <w:tcPr>
            <w:tcW w:w="2552" w:type="dxa"/>
            <w:tcBorders>
              <w:top w:val="single" w:sz="4" w:space="0" w:color="auto"/>
              <w:left w:val="single" w:sz="4" w:space="0" w:color="auto"/>
              <w:bottom w:val="nil"/>
              <w:right w:val="single" w:sz="4" w:space="0" w:color="auto"/>
            </w:tcBorders>
            <w:shd w:val="clear" w:color="auto" w:fill="auto"/>
          </w:tcPr>
          <w:p w:rsidR="008D1732" w:rsidRPr="00AC5880" w:rsidRDefault="008D1732" w:rsidP="006B5A54">
            <w:pPr>
              <w:spacing w:after="0" w:line="240" w:lineRule="auto"/>
              <w:jc w:val="both"/>
              <w:rPr>
                <w:rFonts w:ascii="Times New Roman" w:eastAsia="Times New Roman" w:hAnsi="Times New Roman" w:cs="Times New Roman"/>
              </w:rPr>
            </w:pPr>
            <w:r w:rsidRPr="00AC5880">
              <w:rPr>
                <w:rFonts w:ascii="Times New Roman" w:eastAsia="Times New Roman" w:hAnsi="Times New Roman" w:cs="Times New Roman"/>
              </w:rPr>
              <w:t>720 – kapitálové transfery</w:t>
            </w:r>
          </w:p>
        </w:tc>
        <w:tc>
          <w:tcPr>
            <w:tcW w:w="850" w:type="dxa"/>
            <w:tcBorders>
              <w:left w:val="single" w:sz="4" w:space="0" w:color="auto"/>
              <w:bottom w:val="nil"/>
            </w:tcBorders>
          </w:tcPr>
          <w:p w:rsidR="008D1732" w:rsidRPr="008D1732" w:rsidRDefault="008D1732" w:rsidP="008D1732">
            <w:pPr>
              <w:spacing w:after="0" w:line="240" w:lineRule="auto"/>
              <w:jc w:val="both"/>
              <w:rPr>
                <w:rFonts w:ascii="Times New Roman" w:eastAsia="Times New Roman" w:hAnsi="Times New Roman" w:cs="Times New Roman"/>
              </w:rPr>
            </w:pPr>
            <w:r w:rsidRPr="008D1732">
              <w:rPr>
                <w:rFonts w:ascii="Times New Roman" w:eastAsia="Times New Roman" w:hAnsi="Times New Roman" w:cs="Times New Roman"/>
              </w:rPr>
              <w:t>131D</w:t>
            </w:r>
          </w:p>
        </w:tc>
        <w:tc>
          <w:tcPr>
            <w:tcW w:w="1276" w:type="dxa"/>
            <w:tcBorders>
              <w:bottom w:val="nil"/>
            </w:tcBorders>
            <w:shd w:val="clear" w:color="auto" w:fill="auto"/>
          </w:tcPr>
          <w:p w:rsidR="008D1732" w:rsidRPr="008D1732" w:rsidRDefault="008D1732" w:rsidP="008D1732">
            <w:pPr>
              <w:spacing w:after="0" w:line="240" w:lineRule="auto"/>
              <w:jc w:val="center"/>
              <w:rPr>
                <w:rFonts w:ascii="Times New Roman" w:eastAsia="Times New Roman" w:hAnsi="Times New Roman" w:cs="Times New Roman"/>
              </w:rPr>
            </w:pPr>
            <w:r w:rsidRPr="008D1732">
              <w:rPr>
                <w:rFonts w:ascii="Times New Roman" w:eastAsia="Times New Roman" w:hAnsi="Times New Roman" w:cs="Times New Roman"/>
              </w:rPr>
              <w:t>0,00</w:t>
            </w:r>
          </w:p>
        </w:tc>
        <w:tc>
          <w:tcPr>
            <w:tcW w:w="1559" w:type="dxa"/>
            <w:tcBorders>
              <w:bottom w:val="nil"/>
            </w:tcBorders>
            <w:shd w:val="clear" w:color="auto" w:fill="auto"/>
          </w:tcPr>
          <w:p w:rsidR="008D1732" w:rsidRPr="008D1732" w:rsidRDefault="008D1732" w:rsidP="008D1732">
            <w:pPr>
              <w:spacing w:after="0" w:line="240" w:lineRule="auto"/>
              <w:jc w:val="both"/>
              <w:rPr>
                <w:rFonts w:ascii="Times New Roman" w:eastAsia="Times New Roman" w:hAnsi="Times New Roman" w:cs="Times New Roman"/>
              </w:rPr>
            </w:pPr>
            <w:r w:rsidRPr="008D1732">
              <w:rPr>
                <w:rFonts w:ascii="Times New Roman" w:eastAsia="Times New Roman" w:hAnsi="Times New Roman" w:cs="Times New Roman"/>
              </w:rPr>
              <w:t>6 000 000,00</w:t>
            </w:r>
          </w:p>
        </w:tc>
        <w:tc>
          <w:tcPr>
            <w:tcW w:w="1418" w:type="dxa"/>
            <w:tcBorders>
              <w:bottom w:val="nil"/>
            </w:tcBorders>
            <w:shd w:val="clear" w:color="auto" w:fill="auto"/>
          </w:tcPr>
          <w:p w:rsidR="008D1732" w:rsidRPr="008D1732" w:rsidRDefault="008D1732" w:rsidP="008D1732">
            <w:pPr>
              <w:spacing w:after="0" w:line="240" w:lineRule="auto"/>
              <w:jc w:val="both"/>
              <w:rPr>
                <w:rFonts w:ascii="Times New Roman" w:eastAsia="Times New Roman" w:hAnsi="Times New Roman" w:cs="Times New Roman"/>
              </w:rPr>
            </w:pPr>
            <w:r w:rsidRPr="008D1732">
              <w:rPr>
                <w:rFonts w:ascii="Times New Roman" w:eastAsia="Times New Roman" w:hAnsi="Times New Roman" w:cs="Times New Roman"/>
              </w:rPr>
              <w:t>6 000 000,00</w:t>
            </w:r>
          </w:p>
        </w:tc>
        <w:tc>
          <w:tcPr>
            <w:tcW w:w="1417" w:type="dxa"/>
            <w:tcBorders>
              <w:bottom w:val="nil"/>
            </w:tcBorders>
            <w:shd w:val="clear" w:color="auto" w:fill="auto"/>
          </w:tcPr>
          <w:p w:rsidR="00B174F6" w:rsidRPr="00AC5880" w:rsidRDefault="008D1732" w:rsidP="00B174F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100,00</w:t>
            </w:r>
          </w:p>
        </w:tc>
      </w:tr>
      <w:tr w:rsidR="008D1732" w:rsidRPr="008D1732" w:rsidTr="00B174F6">
        <w:trPr>
          <w:trHeight w:val="122"/>
        </w:trPr>
        <w:tc>
          <w:tcPr>
            <w:tcW w:w="2552" w:type="dxa"/>
            <w:tcBorders>
              <w:top w:val="nil"/>
              <w:left w:val="single" w:sz="4" w:space="0" w:color="auto"/>
              <w:bottom w:val="single" w:sz="4" w:space="0" w:color="auto"/>
              <w:right w:val="single" w:sz="4" w:space="0" w:color="auto"/>
            </w:tcBorders>
            <w:shd w:val="clear" w:color="auto" w:fill="auto"/>
          </w:tcPr>
          <w:p w:rsidR="008D1732" w:rsidRPr="00AC5880" w:rsidRDefault="008D1732" w:rsidP="006B5A54">
            <w:pPr>
              <w:spacing w:after="0" w:line="240" w:lineRule="auto"/>
              <w:jc w:val="both"/>
              <w:rPr>
                <w:rFonts w:ascii="Times New Roman" w:eastAsia="Times New Roman" w:hAnsi="Times New Roman" w:cs="Times New Roman"/>
              </w:rPr>
            </w:pPr>
          </w:p>
        </w:tc>
        <w:tc>
          <w:tcPr>
            <w:tcW w:w="850" w:type="dxa"/>
            <w:tcBorders>
              <w:top w:val="nil"/>
              <w:left w:val="single" w:sz="4" w:space="0" w:color="auto"/>
            </w:tcBorders>
          </w:tcPr>
          <w:p w:rsidR="008D1732" w:rsidRPr="008D1732" w:rsidRDefault="008D1732" w:rsidP="008D1732">
            <w:pPr>
              <w:spacing w:after="0" w:line="240" w:lineRule="auto"/>
              <w:jc w:val="both"/>
              <w:rPr>
                <w:rFonts w:ascii="Times New Roman" w:eastAsia="Times New Roman" w:hAnsi="Times New Roman" w:cs="Times New Roman"/>
              </w:rPr>
            </w:pPr>
          </w:p>
        </w:tc>
        <w:tc>
          <w:tcPr>
            <w:tcW w:w="1276" w:type="dxa"/>
            <w:tcBorders>
              <w:top w:val="nil"/>
            </w:tcBorders>
            <w:shd w:val="clear" w:color="auto" w:fill="auto"/>
          </w:tcPr>
          <w:p w:rsidR="008D1732" w:rsidRPr="008D1732" w:rsidRDefault="008D1732" w:rsidP="008D1732">
            <w:pPr>
              <w:spacing w:after="0" w:line="240" w:lineRule="auto"/>
              <w:jc w:val="both"/>
              <w:rPr>
                <w:rFonts w:ascii="Times New Roman" w:eastAsia="Times New Roman" w:hAnsi="Times New Roman" w:cs="Times New Roman"/>
              </w:rPr>
            </w:pPr>
          </w:p>
        </w:tc>
        <w:tc>
          <w:tcPr>
            <w:tcW w:w="1559" w:type="dxa"/>
            <w:tcBorders>
              <w:top w:val="nil"/>
            </w:tcBorders>
            <w:shd w:val="clear" w:color="auto" w:fill="auto"/>
          </w:tcPr>
          <w:p w:rsidR="008D1732" w:rsidRPr="008D1732" w:rsidRDefault="008D1732" w:rsidP="008D1732">
            <w:pPr>
              <w:spacing w:after="0" w:line="240" w:lineRule="auto"/>
              <w:jc w:val="both"/>
              <w:rPr>
                <w:rFonts w:ascii="Times New Roman" w:eastAsia="Times New Roman" w:hAnsi="Times New Roman" w:cs="Times New Roman"/>
              </w:rPr>
            </w:pPr>
          </w:p>
        </w:tc>
        <w:tc>
          <w:tcPr>
            <w:tcW w:w="1418" w:type="dxa"/>
            <w:tcBorders>
              <w:top w:val="nil"/>
            </w:tcBorders>
            <w:shd w:val="clear" w:color="auto" w:fill="auto"/>
          </w:tcPr>
          <w:p w:rsidR="008D1732" w:rsidRPr="008D1732" w:rsidRDefault="008D1732" w:rsidP="008D1732">
            <w:pPr>
              <w:spacing w:after="0" w:line="240" w:lineRule="auto"/>
              <w:jc w:val="both"/>
              <w:rPr>
                <w:rFonts w:ascii="Times New Roman" w:eastAsia="Times New Roman" w:hAnsi="Times New Roman" w:cs="Times New Roman"/>
              </w:rPr>
            </w:pPr>
          </w:p>
        </w:tc>
        <w:tc>
          <w:tcPr>
            <w:tcW w:w="1417" w:type="dxa"/>
            <w:tcBorders>
              <w:top w:val="nil"/>
            </w:tcBorders>
            <w:shd w:val="clear" w:color="auto" w:fill="auto"/>
          </w:tcPr>
          <w:p w:rsidR="008D1732" w:rsidRPr="00AC5880" w:rsidRDefault="008D1732" w:rsidP="008D1732">
            <w:pPr>
              <w:spacing w:after="0" w:line="240" w:lineRule="auto"/>
              <w:jc w:val="both"/>
              <w:rPr>
                <w:rFonts w:ascii="Times New Roman" w:eastAsia="Times New Roman" w:hAnsi="Times New Roman" w:cs="Times New Roman"/>
              </w:rPr>
            </w:pPr>
          </w:p>
        </w:tc>
      </w:tr>
    </w:tbl>
    <w:p w:rsidR="008D0C09" w:rsidRPr="008D0C09" w:rsidRDefault="008D0C09" w:rsidP="00D20C92">
      <w:pPr>
        <w:spacing w:before="240" w:after="0" w:line="240" w:lineRule="auto"/>
        <w:ind w:firstLine="709"/>
        <w:jc w:val="both"/>
        <w:rPr>
          <w:rFonts w:ascii="Times New Roman" w:hAnsi="Times New Roman" w:cs="Times New Roman"/>
          <w:sz w:val="24"/>
          <w:szCs w:val="24"/>
        </w:rPr>
      </w:pPr>
      <w:r w:rsidRPr="008D0C09">
        <w:rPr>
          <w:rFonts w:ascii="Times New Roman" w:hAnsi="Times New Roman" w:cs="Times New Roman"/>
          <w:sz w:val="24"/>
          <w:szCs w:val="24"/>
        </w:rPr>
        <w:t xml:space="preserve">V programovej štruktúre MH SR na rok 2015 neboli schválené rozpočtové prostriedky na uvedený podprogram. Rozpočtovým opatrením MF SR bol </w:t>
      </w:r>
      <w:r w:rsidR="008D1732">
        <w:rPr>
          <w:rFonts w:ascii="Times New Roman" w:hAnsi="Times New Roman" w:cs="Times New Roman"/>
          <w:sz w:val="24"/>
          <w:szCs w:val="24"/>
        </w:rPr>
        <w:t>navýšený</w:t>
      </w:r>
      <w:r w:rsidRPr="008D0C09">
        <w:rPr>
          <w:rFonts w:ascii="Times New Roman" w:hAnsi="Times New Roman" w:cs="Times New Roman"/>
          <w:sz w:val="24"/>
          <w:szCs w:val="24"/>
        </w:rPr>
        <w:t xml:space="preserve"> rozpočet kapitálových výdavkov o prostriedky nevyčerpané v roku 2013 na hodnotu  6 000 000,00 eur. Rozpočtové prostriedky boli za hodnotené obdobie poskytnuté vo forme kapitálového transferu na regionálny rozvoj obce Kostolné Kračany v sume 500 000,00 eur, obce Vígľaš v sume 1 000 000,00 eur a  mestu Sereď v sume 4 500 000,00 eur. Čerpanie výdavkov bolo vykázané vo výške 100,00 % z upraveného rozpočtu kapitálových výdavkov.</w:t>
      </w:r>
    </w:p>
    <w:p w:rsidR="008D1732" w:rsidRDefault="008D1732" w:rsidP="00AC5880">
      <w:pPr>
        <w:pStyle w:val="Zkladntext"/>
        <w:tabs>
          <w:tab w:val="left" w:pos="-4962"/>
          <w:tab w:val="left" w:pos="540"/>
          <w:tab w:val="right" w:pos="8460"/>
        </w:tabs>
        <w:spacing w:after="0" w:line="240" w:lineRule="auto"/>
        <w:rPr>
          <w:rFonts w:ascii="Times New Roman" w:hAnsi="Times New Roman" w:cs="Times New Roman"/>
          <w:i/>
          <w:sz w:val="24"/>
          <w:szCs w:val="24"/>
        </w:rPr>
      </w:pPr>
    </w:p>
    <w:p w:rsidR="00AC5880" w:rsidRPr="00AC5880" w:rsidRDefault="00AC5880" w:rsidP="00DF3AFF">
      <w:pPr>
        <w:pStyle w:val="Zkladntext"/>
        <w:tabs>
          <w:tab w:val="left" w:pos="-4962"/>
          <w:tab w:val="left" w:pos="540"/>
          <w:tab w:val="right" w:pos="8460"/>
        </w:tabs>
        <w:spacing w:after="0" w:line="240" w:lineRule="auto"/>
        <w:ind w:left="1134" w:hanging="1134"/>
        <w:rPr>
          <w:rFonts w:ascii="Times New Roman" w:hAnsi="Times New Roman" w:cs="Times New Roman"/>
          <w:i/>
          <w:sz w:val="24"/>
          <w:szCs w:val="24"/>
        </w:rPr>
      </w:pPr>
      <w:r w:rsidRPr="00AC5880">
        <w:rPr>
          <w:rFonts w:ascii="Times New Roman" w:hAnsi="Times New Roman" w:cs="Times New Roman"/>
          <w:i/>
          <w:sz w:val="24"/>
          <w:szCs w:val="24"/>
        </w:rPr>
        <w:t>07K0D01 Zvyšovanie energetickej efektívnosti na strane výroby aj spotreby a zavádzanie  progresívnych technológií v energetike – opatrenie 2.1. OP KaHR</w:t>
      </w:r>
    </w:p>
    <w:p w:rsidR="00AC5880" w:rsidRPr="007D774A" w:rsidRDefault="00AC5880" w:rsidP="00AC5880">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276"/>
        <w:gridCol w:w="1559"/>
        <w:gridCol w:w="1418"/>
        <w:gridCol w:w="1417"/>
      </w:tblGrid>
      <w:tr w:rsidR="00AC5880" w:rsidRPr="00AC5880" w:rsidTr="008D1732">
        <w:trPr>
          <w:trHeight w:val="725"/>
        </w:trPr>
        <w:tc>
          <w:tcPr>
            <w:tcW w:w="2552" w:type="dxa"/>
            <w:shd w:val="clear" w:color="auto" w:fill="auto"/>
          </w:tcPr>
          <w:p w:rsidR="00AC5880" w:rsidRPr="00AC5880" w:rsidRDefault="00AC5880" w:rsidP="000A6B13">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Ekonomická</w:t>
            </w:r>
          </w:p>
          <w:p w:rsidR="00AC5880" w:rsidRPr="00AC5880" w:rsidRDefault="00AC5880" w:rsidP="000A6B13">
            <w:pPr>
              <w:spacing w:after="0" w:line="240" w:lineRule="auto"/>
              <w:jc w:val="both"/>
              <w:rPr>
                <w:rFonts w:ascii="Times New Roman" w:eastAsia="Times New Roman" w:hAnsi="Times New Roman" w:cs="Times New Roman"/>
                <w:b/>
              </w:rPr>
            </w:pPr>
            <w:r w:rsidRPr="00AC5880">
              <w:rPr>
                <w:rFonts w:ascii="Times New Roman" w:eastAsia="Times New Roman" w:hAnsi="Times New Roman" w:cs="Times New Roman"/>
                <w:b/>
              </w:rPr>
              <w:t>klasifikácia</w:t>
            </w:r>
          </w:p>
        </w:tc>
        <w:tc>
          <w:tcPr>
            <w:tcW w:w="850" w:type="dxa"/>
          </w:tcPr>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Zdroj</w:t>
            </w:r>
          </w:p>
        </w:tc>
        <w:tc>
          <w:tcPr>
            <w:tcW w:w="1276" w:type="dxa"/>
            <w:shd w:val="clear" w:color="auto" w:fill="auto"/>
          </w:tcPr>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Schválený</w:t>
            </w:r>
          </w:p>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1.1.2015</w:t>
            </w:r>
          </w:p>
        </w:tc>
        <w:tc>
          <w:tcPr>
            <w:tcW w:w="1559" w:type="dxa"/>
            <w:shd w:val="clear" w:color="auto" w:fill="auto"/>
          </w:tcPr>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Upravený</w:t>
            </w:r>
          </w:p>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rozpočet k 31.12.2015</w:t>
            </w:r>
          </w:p>
        </w:tc>
        <w:tc>
          <w:tcPr>
            <w:tcW w:w="1418" w:type="dxa"/>
            <w:shd w:val="clear" w:color="auto" w:fill="auto"/>
          </w:tcPr>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Čerpanie k</w:t>
            </w:r>
          </w:p>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31.12.2015</w:t>
            </w:r>
          </w:p>
        </w:tc>
        <w:tc>
          <w:tcPr>
            <w:tcW w:w="1417" w:type="dxa"/>
            <w:shd w:val="clear" w:color="auto" w:fill="auto"/>
          </w:tcPr>
          <w:p w:rsidR="00AC5880" w:rsidRPr="00AC5880" w:rsidRDefault="00AC5880" w:rsidP="000A6B13">
            <w:pPr>
              <w:spacing w:after="0" w:line="240" w:lineRule="auto"/>
              <w:jc w:val="center"/>
              <w:rPr>
                <w:rFonts w:ascii="Times New Roman" w:eastAsia="Times New Roman" w:hAnsi="Times New Roman" w:cs="Times New Roman"/>
                <w:b/>
              </w:rPr>
            </w:pPr>
            <w:r w:rsidRPr="00AC5880">
              <w:rPr>
                <w:rFonts w:ascii="Times New Roman" w:eastAsia="Times New Roman" w:hAnsi="Times New Roman" w:cs="Times New Roman"/>
                <w:b/>
              </w:rPr>
              <w:t>% čerpania k uprav. rozpočtu</w:t>
            </w:r>
          </w:p>
        </w:tc>
      </w:tr>
      <w:tr w:rsidR="00AC5880" w:rsidRPr="00AC5880" w:rsidTr="008D1732">
        <w:tc>
          <w:tcPr>
            <w:tcW w:w="2552" w:type="dxa"/>
            <w:shd w:val="clear" w:color="auto" w:fill="auto"/>
          </w:tcPr>
          <w:p w:rsidR="00AC5880" w:rsidRPr="00AC5880" w:rsidRDefault="00AC5880" w:rsidP="000A6B13">
            <w:pPr>
              <w:spacing w:after="0" w:line="240" w:lineRule="auto"/>
              <w:jc w:val="both"/>
              <w:rPr>
                <w:rFonts w:ascii="Times New Roman" w:eastAsia="Times New Roman" w:hAnsi="Times New Roman" w:cs="Times New Roman"/>
              </w:rPr>
            </w:pPr>
            <w:r w:rsidRPr="00AC5880">
              <w:rPr>
                <w:rFonts w:ascii="Times New Roman" w:eastAsia="Times New Roman" w:hAnsi="Times New Roman" w:cs="Times New Roman"/>
              </w:rPr>
              <w:t>720 – kapitálové transfery</w:t>
            </w:r>
          </w:p>
        </w:tc>
        <w:tc>
          <w:tcPr>
            <w:tcW w:w="850" w:type="dxa"/>
          </w:tcPr>
          <w:p w:rsidR="00AC5880" w:rsidRPr="00AC5880" w:rsidRDefault="00AC5880" w:rsidP="000A6B13">
            <w:pPr>
              <w:autoSpaceDE w:val="0"/>
              <w:autoSpaceDN w:val="0"/>
              <w:adjustRightInd w:val="0"/>
              <w:spacing w:after="0" w:line="240" w:lineRule="auto"/>
              <w:rPr>
                <w:rFonts w:ascii="Times New Roman" w:hAnsi="Times New Roman" w:cs="Times New Roman"/>
                <w:lang w:eastAsia="sk-SK"/>
              </w:rPr>
            </w:pPr>
            <w:r w:rsidRPr="00AC5880">
              <w:rPr>
                <w:rFonts w:ascii="Times New Roman" w:hAnsi="Times New Roman" w:cs="Times New Roman"/>
                <w:lang w:eastAsia="sk-SK"/>
              </w:rPr>
              <w:t>111</w:t>
            </w:r>
          </w:p>
        </w:tc>
        <w:tc>
          <w:tcPr>
            <w:tcW w:w="1276" w:type="dxa"/>
            <w:shd w:val="clear" w:color="auto" w:fill="auto"/>
          </w:tcPr>
          <w:p w:rsidR="00AC5880" w:rsidRPr="00AC5880" w:rsidRDefault="00AC5880" w:rsidP="000A6B13">
            <w:pPr>
              <w:autoSpaceDE w:val="0"/>
              <w:autoSpaceDN w:val="0"/>
              <w:adjustRightInd w:val="0"/>
              <w:spacing w:after="0" w:line="240" w:lineRule="auto"/>
              <w:jc w:val="right"/>
              <w:rPr>
                <w:rFonts w:ascii="Times New Roman" w:hAnsi="Times New Roman" w:cs="Times New Roman"/>
                <w:lang w:eastAsia="sk-SK"/>
              </w:rPr>
            </w:pPr>
            <w:r w:rsidRPr="00AC5880">
              <w:rPr>
                <w:rFonts w:ascii="Times New Roman" w:hAnsi="Times New Roman" w:cs="Times New Roman"/>
                <w:lang w:eastAsia="sk-SK"/>
              </w:rPr>
              <w:t>0,00</w:t>
            </w:r>
          </w:p>
        </w:tc>
        <w:tc>
          <w:tcPr>
            <w:tcW w:w="1559" w:type="dxa"/>
            <w:shd w:val="clear" w:color="auto" w:fill="auto"/>
          </w:tcPr>
          <w:p w:rsidR="00AC5880" w:rsidRPr="00AC5880" w:rsidRDefault="00AC5880" w:rsidP="00AC5880">
            <w:pPr>
              <w:autoSpaceDE w:val="0"/>
              <w:autoSpaceDN w:val="0"/>
              <w:adjustRightInd w:val="0"/>
              <w:spacing w:after="0" w:line="240" w:lineRule="auto"/>
              <w:rPr>
                <w:rFonts w:ascii="Times New Roman" w:hAnsi="Times New Roman" w:cs="Times New Roman"/>
                <w:lang w:eastAsia="sk-SK"/>
              </w:rPr>
            </w:pPr>
            <w:r w:rsidRPr="00AC5880">
              <w:rPr>
                <w:rFonts w:ascii="Times New Roman" w:hAnsi="Times New Roman" w:cs="Times New Roman"/>
                <w:lang w:eastAsia="sk-SK"/>
              </w:rPr>
              <w:t>2 962 603,21</w:t>
            </w:r>
          </w:p>
        </w:tc>
        <w:tc>
          <w:tcPr>
            <w:tcW w:w="1418" w:type="dxa"/>
            <w:shd w:val="clear" w:color="auto" w:fill="auto"/>
          </w:tcPr>
          <w:p w:rsidR="00AC5880" w:rsidRPr="00AC5880" w:rsidRDefault="00AC5880" w:rsidP="00AC5880">
            <w:pPr>
              <w:autoSpaceDE w:val="0"/>
              <w:autoSpaceDN w:val="0"/>
              <w:adjustRightInd w:val="0"/>
              <w:spacing w:after="0" w:line="240" w:lineRule="auto"/>
              <w:rPr>
                <w:rFonts w:ascii="Times New Roman" w:hAnsi="Times New Roman" w:cs="Times New Roman"/>
                <w:lang w:eastAsia="sk-SK"/>
              </w:rPr>
            </w:pPr>
            <w:r w:rsidRPr="00AC5880">
              <w:rPr>
                <w:rFonts w:ascii="Times New Roman" w:hAnsi="Times New Roman" w:cs="Times New Roman"/>
                <w:lang w:eastAsia="sk-SK"/>
              </w:rPr>
              <w:t>2 962 603,21</w:t>
            </w:r>
          </w:p>
        </w:tc>
        <w:tc>
          <w:tcPr>
            <w:tcW w:w="1417" w:type="dxa"/>
            <w:shd w:val="clear" w:color="auto" w:fill="auto"/>
          </w:tcPr>
          <w:p w:rsidR="00AC5880" w:rsidRPr="00AC5880" w:rsidRDefault="00AC5880" w:rsidP="000A6B13">
            <w:pPr>
              <w:spacing w:after="0" w:line="240" w:lineRule="auto"/>
              <w:jc w:val="center"/>
              <w:rPr>
                <w:rFonts w:ascii="Times New Roman" w:eastAsia="Times New Roman" w:hAnsi="Times New Roman" w:cs="Times New Roman"/>
              </w:rPr>
            </w:pPr>
            <w:r w:rsidRPr="00AC5880">
              <w:rPr>
                <w:rFonts w:ascii="Times New Roman" w:eastAsia="Times New Roman" w:hAnsi="Times New Roman" w:cs="Times New Roman"/>
              </w:rPr>
              <w:t>100,00</w:t>
            </w:r>
          </w:p>
        </w:tc>
      </w:tr>
    </w:tbl>
    <w:p w:rsidR="00AC5880" w:rsidRPr="00AC5880" w:rsidRDefault="00AC5880" w:rsidP="008D1732">
      <w:pPr>
        <w:tabs>
          <w:tab w:val="left" w:pos="-2127"/>
        </w:tabs>
        <w:spacing w:before="240" w:after="0" w:line="240" w:lineRule="auto"/>
        <w:jc w:val="both"/>
        <w:rPr>
          <w:rFonts w:ascii="Times New Roman" w:hAnsi="Times New Roman" w:cs="Times New Roman"/>
          <w:sz w:val="24"/>
          <w:szCs w:val="24"/>
          <w:lang w:eastAsia="sk-SK"/>
        </w:rPr>
      </w:pPr>
      <w:r>
        <w:rPr>
          <w:bCs/>
          <w:iCs/>
          <w:szCs w:val="24"/>
        </w:rPr>
        <w:tab/>
      </w:r>
      <w:r w:rsidRPr="00AC5880">
        <w:rPr>
          <w:rFonts w:ascii="Times New Roman" w:hAnsi="Times New Roman" w:cs="Times New Roman"/>
          <w:sz w:val="24"/>
          <w:szCs w:val="24"/>
          <w:lang w:eastAsia="sk-SK"/>
        </w:rPr>
        <w:t xml:space="preserve">Na uvedený prvok neboli schválené rozpočtové prostriedky. </w:t>
      </w:r>
    </w:p>
    <w:p w:rsidR="00AC5880" w:rsidRPr="00AC5880" w:rsidRDefault="00AC5880" w:rsidP="008D1732">
      <w:pPr>
        <w:tabs>
          <w:tab w:val="left" w:pos="-2127"/>
        </w:tabs>
        <w:spacing w:line="240" w:lineRule="auto"/>
        <w:ind w:firstLine="709"/>
        <w:jc w:val="both"/>
        <w:rPr>
          <w:rFonts w:ascii="Times New Roman" w:hAnsi="Times New Roman" w:cs="Times New Roman"/>
          <w:sz w:val="24"/>
          <w:szCs w:val="24"/>
          <w:lang w:eastAsia="sk-SK"/>
        </w:rPr>
      </w:pPr>
      <w:r w:rsidRPr="00AC5880">
        <w:rPr>
          <w:rFonts w:ascii="Times New Roman" w:hAnsi="Times New Roman" w:cs="Times New Roman"/>
          <w:sz w:val="24"/>
          <w:szCs w:val="24"/>
          <w:lang w:eastAsia="sk-SK"/>
        </w:rPr>
        <w:t>Rozpočtovým opatrením MF SR bol rozpočet výdavkov upravený na</w:t>
      </w:r>
      <w:r w:rsidRPr="00AC5880">
        <w:rPr>
          <w:rFonts w:ascii="Times New Roman" w:hAnsi="Times New Roman" w:cs="Times New Roman"/>
          <w:sz w:val="24"/>
          <w:szCs w:val="24"/>
        </w:rPr>
        <w:t xml:space="preserve"> sumu  2 962 603,21</w:t>
      </w:r>
      <w:r w:rsidRPr="00AC5880">
        <w:rPr>
          <w:rFonts w:ascii="Times New Roman" w:hAnsi="Times New Roman" w:cs="Times New Roman"/>
          <w:sz w:val="24"/>
          <w:szCs w:val="24"/>
          <w:lang w:eastAsia="sk-SK"/>
        </w:rPr>
        <w:t xml:space="preserve"> eur a výdavky boli vyčerpané </w:t>
      </w:r>
      <w:r w:rsidR="008D1732">
        <w:rPr>
          <w:rFonts w:ascii="Times New Roman" w:hAnsi="Times New Roman" w:cs="Times New Roman"/>
          <w:sz w:val="24"/>
          <w:szCs w:val="24"/>
          <w:lang w:eastAsia="sk-SK"/>
        </w:rPr>
        <w:t>v sume</w:t>
      </w:r>
      <w:r w:rsidRPr="00AC5880">
        <w:rPr>
          <w:rFonts w:ascii="Times New Roman" w:hAnsi="Times New Roman" w:cs="Times New Roman"/>
          <w:sz w:val="24"/>
          <w:szCs w:val="24"/>
          <w:lang w:eastAsia="sk-SK"/>
        </w:rPr>
        <w:t xml:space="preserve"> 100,00 % z upraveného rozpočtu, t. j. v sume </w:t>
      </w:r>
      <w:r w:rsidRPr="00AC5880">
        <w:rPr>
          <w:rFonts w:ascii="Times New Roman" w:hAnsi="Times New Roman" w:cs="Times New Roman"/>
          <w:sz w:val="24"/>
          <w:szCs w:val="24"/>
        </w:rPr>
        <w:t>2 962 603,</w:t>
      </w:r>
      <w:r w:rsidRPr="00AC5880">
        <w:rPr>
          <w:rFonts w:ascii="Times New Roman" w:hAnsi="Times New Roman" w:cs="Times New Roman"/>
          <w:sz w:val="24"/>
          <w:szCs w:val="24"/>
          <w:lang w:eastAsia="sk-SK"/>
        </w:rPr>
        <w:t xml:space="preserve">21 eur. Výdavky boli použité na podporu projektu spoločnosti </w:t>
      </w:r>
      <w:proofErr w:type="spellStart"/>
      <w:r w:rsidRPr="00AC5880">
        <w:rPr>
          <w:rFonts w:ascii="Times New Roman" w:hAnsi="Times New Roman" w:cs="Times New Roman"/>
          <w:sz w:val="24"/>
          <w:szCs w:val="24"/>
          <w:lang w:eastAsia="sk-SK"/>
        </w:rPr>
        <w:t>ENERGO</w:t>
      </w:r>
      <w:proofErr w:type="spellEnd"/>
      <w:r w:rsidRPr="00AC5880">
        <w:rPr>
          <w:rFonts w:ascii="Times New Roman" w:hAnsi="Times New Roman" w:cs="Times New Roman"/>
          <w:sz w:val="24"/>
          <w:szCs w:val="24"/>
          <w:lang w:eastAsia="sk-SK"/>
        </w:rPr>
        <w:t xml:space="preserve"> </w:t>
      </w:r>
      <w:proofErr w:type="spellStart"/>
      <w:r w:rsidRPr="00AC5880">
        <w:rPr>
          <w:rFonts w:ascii="Times New Roman" w:hAnsi="Times New Roman" w:cs="Times New Roman"/>
          <w:sz w:val="24"/>
          <w:szCs w:val="24"/>
          <w:lang w:eastAsia="sk-SK"/>
        </w:rPr>
        <w:t>AQUA</w:t>
      </w:r>
      <w:proofErr w:type="spellEnd"/>
      <w:r w:rsidRPr="00AC5880">
        <w:rPr>
          <w:rFonts w:ascii="Times New Roman" w:hAnsi="Times New Roman" w:cs="Times New Roman"/>
          <w:sz w:val="24"/>
          <w:szCs w:val="24"/>
          <w:lang w:eastAsia="sk-SK"/>
        </w:rPr>
        <w:t>, a.s.</w:t>
      </w:r>
    </w:p>
    <w:p w:rsidR="00C61B2E" w:rsidRPr="00305411" w:rsidRDefault="00C61B2E" w:rsidP="00C61B2E">
      <w:pPr>
        <w:spacing w:after="0" w:line="240" w:lineRule="auto"/>
        <w:ind w:right="26"/>
        <w:jc w:val="both"/>
        <w:rPr>
          <w:rFonts w:ascii="Times New Roman" w:hAnsi="Times New Roman" w:cs="Times New Roman"/>
          <w:i/>
          <w:sz w:val="24"/>
          <w:szCs w:val="24"/>
        </w:rPr>
      </w:pPr>
      <w:r w:rsidRPr="00305411">
        <w:rPr>
          <w:rFonts w:ascii="Times New Roman" w:hAnsi="Times New Roman" w:cs="Times New Roman"/>
          <w:i/>
          <w:sz w:val="24"/>
          <w:szCs w:val="24"/>
        </w:rPr>
        <w:t>07L04 – Podpora programov rezortu MH SR</w:t>
      </w:r>
    </w:p>
    <w:p w:rsidR="000275A9" w:rsidRPr="007D774A" w:rsidRDefault="000275A9" w:rsidP="000275A9">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850"/>
        <w:gridCol w:w="1276"/>
        <w:gridCol w:w="1559"/>
        <w:gridCol w:w="1418"/>
        <w:gridCol w:w="1417"/>
      </w:tblGrid>
      <w:tr w:rsidR="00C61B2E" w:rsidRPr="00EB46A4" w:rsidTr="00EB46A4">
        <w:trPr>
          <w:trHeight w:val="725"/>
        </w:trPr>
        <w:tc>
          <w:tcPr>
            <w:tcW w:w="2552" w:type="dxa"/>
            <w:shd w:val="clear" w:color="auto" w:fill="auto"/>
          </w:tcPr>
          <w:p w:rsidR="00C61B2E" w:rsidRPr="00EB46A4" w:rsidRDefault="00C61B2E" w:rsidP="0090112B">
            <w:pPr>
              <w:spacing w:after="0" w:line="240" w:lineRule="auto"/>
              <w:jc w:val="both"/>
              <w:rPr>
                <w:rFonts w:ascii="Times New Roman" w:eastAsia="Times New Roman" w:hAnsi="Times New Roman" w:cs="Times New Roman"/>
                <w:b/>
              </w:rPr>
            </w:pPr>
            <w:r w:rsidRPr="00EB46A4">
              <w:rPr>
                <w:rFonts w:ascii="Times New Roman" w:eastAsia="Times New Roman" w:hAnsi="Times New Roman" w:cs="Times New Roman"/>
                <w:b/>
              </w:rPr>
              <w:t>Ekonomická</w:t>
            </w:r>
          </w:p>
          <w:p w:rsidR="00C61B2E" w:rsidRPr="00EB46A4" w:rsidRDefault="00C61B2E" w:rsidP="0090112B">
            <w:pPr>
              <w:spacing w:after="0" w:line="240" w:lineRule="auto"/>
              <w:jc w:val="both"/>
              <w:rPr>
                <w:rFonts w:ascii="Times New Roman" w:eastAsia="Times New Roman" w:hAnsi="Times New Roman" w:cs="Times New Roman"/>
                <w:b/>
              </w:rPr>
            </w:pPr>
            <w:r w:rsidRPr="00EB46A4">
              <w:rPr>
                <w:rFonts w:ascii="Times New Roman" w:eastAsia="Times New Roman" w:hAnsi="Times New Roman" w:cs="Times New Roman"/>
                <w:b/>
              </w:rPr>
              <w:t>klasifikácia</w:t>
            </w:r>
          </w:p>
        </w:tc>
        <w:tc>
          <w:tcPr>
            <w:tcW w:w="850" w:type="dxa"/>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Zdroj</w:t>
            </w:r>
          </w:p>
        </w:tc>
        <w:tc>
          <w:tcPr>
            <w:tcW w:w="1276"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Schválený</w:t>
            </w:r>
          </w:p>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rozpočet k 1.1.2015</w:t>
            </w:r>
          </w:p>
        </w:tc>
        <w:tc>
          <w:tcPr>
            <w:tcW w:w="1559"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Upravený</w:t>
            </w:r>
          </w:p>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rozpočet k 31.12.2015</w:t>
            </w:r>
          </w:p>
        </w:tc>
        <w:tc>
          <w:tcPr>
            <w:tcW w:w="1418"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Čerpanie k</w:t>
            </w:r>
          </w:p>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31.12.2015</w:t>
            </w:r>
          </w:p>
        </w:tc>
        <w:tc>
          <w:tcPr>
            <w:tcW w:w="1417" w:type="dxa"/>
            <w:shd w:val="clear" w:color="auto" w:fill="auto"/>
          </w:tcPr>
          <w:p w:rsidR="00C61B2E" w:rsidRPr="00EB46A4" w:rsidRDefault="00C61B2E" w:rsidP="0090112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 čerpania k uprav. rozpočtu</w:t>
            </w:r>
          </w:p>
        </w:tc>
      </w:tr>
      <w:tr w:rsidR="008D0C09" w:rsidRPr="00EB46A4" w:rsidTr="00EB46A4">
        <w:tc>
          <w:tcPr>
            <w:tcW w:w="2552" w:type="dxa"/>
            <w:shd w:val="clear" w:color="auto" w:fill="auto"/>
          </w:tcPr>
          <w:p w:rsidR="008D0C09" w:rsidRPr="00EB46A4" w:rsidRDefault="008D0C09" w:rsidP="0090112B">
            <w:pPr>
              <w:spacing w:after="0" w:line="240" w:lineRule="auto"/>
              <w:jc w:val="both"/>
              <w:rPr>
                <w:rFonts w:ascii="Times New Roman" w:eastAsia="Times New Roman" w:hAnsi="Times New Roman" w:cs="Times New Roman"/>
              </w:rPr>
            </w:pPr>
            <w:r w:rsidRPr="00EB46A4">
              <w:rPr>
                <w:rFonts w:ascii="Times New Roman" w:eastAsia="Times New Roman" w:hAnsi="Times New Roman" w:cs="Times New Roman"/>
              </w:rPr>
              <w:t>720 – kapitálové transfery</w:t>
            </w:r>
          </w:p>
        </w:tc>
        <w:tc>
          <w:tcPr>
            <w:tcW w:w="850" w:type="dxa"/>
          </w:tcPr>
          <w:p w:rsidR="008D0C09" w:rsidRPr="00EB46A4" w:rsidRDefault="008D0C09" w:rsidP="0090112B">
            <w:pPr>
              <w:autoSpaceDE w:val="0"/>
              <w:autoSpaceDN w:val="0"/>
              <w:adjustRightInd w:val="0"/>
              <w:spacing w:after="0" w:line="240" w:lineRule="auto"/>
              <w:rPr>
                <w:rFonts w:ascii="Times New Roman" w:hAnsi="Times New Roman" w:cs="Times New Roman"/>
                <w:lang w:eastAsia="sk-SK"/>
              </w:rPr>
            </w:pPr>
            <w:r w:rsidRPr="00EB46A4">
              <w:rPr>
                <w:rFonts w:ascii="Times New Roman" w:hAnsi="Times New Roman" w:cs="Times New Roman"/>
                <w:lang w:eastAsia="sk-SK"/>
              </w:rPr>
              <w:t>111</w:t>
            </w:r>
          </w:p>
        </w:tc>
        <w:tc>
          <w:tcPr>
            <w:tcW w:w="1276" w:type="dxa"/>
            <w:shd w:val="clear" w:color="auto" w:fill="auto"/>
          </w:tcPr>
          <w:p w:rsidR="008D0C09" w:rsidRPr="00EB46A4" w:rsidRDefault="008D0C09" w:rsidP="0090112B">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39 000,00</w:t>
            </w:r>
          </w:p>
        </w:tc>
        <w:tc>
          <w:tcPr>
            <w:tcW w:w="1559" w:type="dxa"/>
            <w:shd w:val="clear" w:color="auto" w:fill="auto"/>
          </w:tcPr>
          <w:p w:rsidR="008D0C09" w:rsidRPr="00EB46A4" w:rsidRDefault="008D0C09" w:rsidP="000A6B13">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39 000,00</w:t>
            </w:r>
          </w:p>
        </w:tc>
        <w:tc>
          <w:tcPr>
            <w:tcW w:w="1418" w:type="dxa"/>
            <w:shd w:val="clear" w:color="auto" w:fill="auto"/>
          </w:tcPr>
          <w:p w:rsidR="008D0C09" w:rsidRPr="00EB46A4" w:rsidRDefault="008D0C09" w:rsidP="000A6B13">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39 000,00</w:t>
            </w:r>
          </w:p>
        </w:tc>
        <w:tc>
          <w:tcPr>
            <w:tcW w:w="1417" w:type="dxa"/>
            <w:shd w:val="clear" w:color="auto" w:fill="auto"/>
          </w:tcPr>
          <w:p w:rsidR="008D0C09" w:rsidRPr="00EB46A4" w:rsidRDefault="008D0C09" w:rsidP="0090112B">
            <w:pPr>
              <w:spacing w:after="0" w:line="240" w:lineRule="auto"/>
              <w:jc w:val="center"/>
              <w:rPr>
                <w:rFonts w:ascii="Times New Roman" w:eastAsia="Times New Roman" w:hAnsi="Times New Roman" w:cs="Times New Roman"/>
              </w:rPr>
            </w:pPr>
            <w:r w:rsidRPr="00EB46A4">
              <w:rPr>
                <w:rFonts w:ascii="Times New Roman" w:eastAsia="Times New Roman" w:hAnsi="Times New Roman" w:cs="Times New Roman"/>
              </w:rPr>
              <w:t>100,00</w:t>
            </w:r>
          </w:p>
        </w:tc>
      </w:tr>
    </w:tbl>
    <w:p w:rsidR="00C61B2E" w:rsidRPr="00305411" w:rsidRDefault="00C61B2E" w:rsidP="00C61B2E">
      <w:pPr>
        <w:autoSpaceDE w:val="0"/>
        <w:autoSpaceDN w:val="0"/>
        <w:adjustRightInd w:val="0"/>
        <w:spacing w:after="0" w:line="240" w:lineRule="auto"/>
        <w:ind w:firstLine="567"/>
        <w:jc w:val="both"/>
        <w:rPr>
          <w:rFonts w:ascii="Times New Roman" w:hAnsi="Times New Roman" w:cs="Times New Roman"/>
          <w:sz w:val="24"/>
          <w:szCs w:val="24"/>
        </w:rPr>
      </w:pPr>
    </w:p>
    <w:p w:rsidR="008D0C09" w:rsidRPr="008D0C09" w:rsidRDefault="008D0C09" w:rsidP="008D0C09">
      <w:pPr>
        <w:autoSpaceDE w:val="0"/>
        <w:autoSpaceDN w:val="0"/>
        <w:adjustRightInd w:val="0"/>
        <w:spacing w:after="0" w:line="240" w:lineRule="auto"/>
        <w:ind w:firstLine="567"/>
        <w:jc w:val="both"/>
        <w:rPr>
          <w:rFonts w:ascii="Times New Roman" w:hAnsi="Times New Roman" w:cs="Times New Roman"/>
          <w:sz w:val="24"/>
          <w:szCs w:val="24"/>
        </w:rPr>
      </w:pPr>
      <w:r w:rsidRPr="008D0C09">
        <w:rPr>
          <w:rFonts w:ascii="Times New Roman" w:hAnsi="Times New Roman" w:cs="Times New Roman"/>
          <w:sz w:val="24"/>
          <w:szCs w:val="24"/>
        </w:rPr>
        <w:t xml:space="preserve">V rámci kapitálových výdavkov boli v roku 2015  poskytnuté prostriedky  príspevkovej organizácii </w:t>
      </w:r>
      <w:r w:rsidRPr="008D0C09">
        <w:rPr>
          <w:rFonts w:ascii="Times New Roman" w:hAnsi="Times New Roman" w:cs="Times New Roman"/>
          <w:i/>
          <w:sz w:val="24"/>
          <w:szCs w:val="24"/>
        </w:rPr>
        <w:t>Múzeum obchodu</w:t>
      </w:r>
      <w:r w:rsidRPr="008D0C09">
        <w:rPr>
          <w:rFonts w:ascii="Times New Roman" w:hAnsi="Times New Roman" w:cs="Times New Roman"/>
          <w:sz w:val="24"/>
          <w:szCs w:val="24"/>
        </w:rPr>
        <w:t xml:space="preserve"> v sume  9 000,00 eur,</w:t>
      </w:r>
      <w:r w:rsidRPr="008D0C09">
        <w:rPr>
          <w:rFonts w:ascii="Times New Roman" w:hAnsi="Times New Roman" w:cs="Times New Roman"/>
          <w:bCs/>
          <w:sz w:val="24"/>
          <w:szCs w:val="24"/>
        </w:rPr>
        <w:t xml:space="preserve"> čo predstavuje čerpanie vo výške 100,00 % zo schváleného rozpočtu kapitálových výdavkov</w:t>
      </w:r>
      <w:r w:rsidRPr="008D0C09">
        <w:rPr>
          <w:rFonts w:ascii="Times New Roman" w:hAnsi="Times New Roman" w:cs="Times New Roman"/>
          <w:sz w:val="24"/>
          <w:szCs w:val="24"/>
        </w:rPr>
        <w:t>. Kapitálové výdavky boli vyčerpané na rozšírenie zbierkového fondu.</w:t>
      </w:r>
    </w:p>
    <w:p w:rsidR="008D0C09" w:rsidRPr="008D0C09" w:rsidRDefault="008D0C09" w:rsidP="008D0C09">
      <w:pPr>
        <w:autoSpaceDE w:val="0"/>
        <w:autoSpaceDN w:val="0"/>
        <w:adjustRightInd w:val="0"/>
        <w:spacing w:after="0" w:line="240" w:lineRule="auto"/>
        <w:ind w:firstLine="567"/>
        <w:jc w:val="both"/>
        <w:rPr>
          <w:rFonts w:ascii="Times New Roman" w:hAnsi="Times New Roman" w:cs="Times New Roman"/>
          <w:bCs/>
          <w:sz w:val="24"/>
          <w:szCs w:val="24"/>
        </w:rPr>
      </w:pPr>
    </w:p>
    <w:p w:rsidR="008D0C09" w:rsidRPr="008D0C09" w:rsidRDefault="008D0C09" w:rsidP="008D0C09">
      <w:pPr>
        <w:autoSpaceDE w:val="0"/>
        <w:autoSpaceDN w:val="0"/>
        <w:adjustRightInd w:val="0"/>
        <w:spacing w:after="0" w:line="240" w:lineRule="auto"/>
        <w:ind w:firstLine="567"/>
        <w:jc w:val="both"/>
        <w:rPr>
          <w:rFonts w:ascii="Times New Roman" w:hAnsi="Times New Roman" w:cs="Times New Roman"/>
          <w:sz w:val="24"/>
          <w:szCs w:val="24"/>
        </w:rPr>
      </w:pPr>
      <w:r w:rsidRPr="008D0C09">
        <w:rPr>
          <w:rFonts w:ascii="Times New Roman" w:hAnsi="Times New Roman" w:cs="Times New Roman"/>
          <w:bCs/>
          <w:sz w:val="24"/>
          <w:szCs w:val="24"/>
        </w:rPr>
        <w:t xml:space="preserve">Príspevkovej organizácii </w:t>
      </w:r>
      <w:r w:rsidRPr="008D0C09">
        <w:rPr>
          <w:rFonts w:ascii="Times New Roman" w:hAnsi="Times New Roman" w:cs="Times New Roman"/>
          <w:i/>
          <w:sz w:val="24"/>
          <w:szCs w:val="24"/>
        </w:rPr>
        <w:t>Slovenská inovačná a energetická agentúra</w:t>
      </w:r>
      <w:r w:rsidRPr="008D0C09">
        <w:rPr>
          <w:rFonts w:ascii="Times New Roman" w:hAnsi="Times New Roman" w:cs="Times New Roman"/>
          <w:bCs/>
          <w:sz w:val="24"/>
          <w:szCs w:val="24"/>
        </w:rPr>
        <w:t xml:space="preserve"> </w:t>
      </w:r>
      <w:r w:rsidR="00EB46A4" w:rsidRPr="00EB46A4">
        <w:rPr>
          <w:rFonts w:ascii="Times New Roman" w:hAnsi="Times New Roman" w:cs="Times New Roman"/>
          <w:bCs/>
          <w:i/>
          <w:sz w:val="24"/>
          <w:szCs w:val="24"/>
        </w:rPr>
        <w:t>(</w:t>
      </w:r>
      <w:proofErr w:type="spellStart"/>
      <w:r w:rsidR="00EB46A4" w:rsidRPr="00EB46A4">
        <w:rPr>
          <w:rFonts w:ascii="Times New Roman" w:hAnsi="Times New Roman" w:cs="Times New Roman"/>
          <w:bCs/>
          <w:i/>
          <w:sz w:val="24"/>
          <w:szCs w:val="24"/>
        </w:rPr>
        <w:t>SIEA</w:t>
      </w:r>
      <w:proofErr w:type="spellEnd"/>
      <w:r w:rsidR="00EB46A4" w:rsidRPr="00EB46A4">
        <w:rPr>
          <w:rFonts w:ascii="Times New Roman" w:hAnsi="Times New Roman" w:cs="Times New Roman"/>
          <w:bCs/>
          <w:i/>
          <w:sz w:val="24"/>
          <w:szCs w:val="24"/>
        </w:rPr>
        <w:t>)</w:t>
      </w:r>
      <w:r w:rsidRPr="008D0C09">
        <w:rPr>
          <w:rFonts w:ascii="Times New Roman" w:hAnsi="Times New Roman" w:cs="Times New Roman"/>
          <w:bCs/>
          <w:sz w:val="24"/>
          <w:szCs w:val="24"/>
        </w:rPr>
        <w:t xml:space="preserve"> boli poskytnuté kapitálové výdavky  v sume 30 000,00 eur, t. j. 100,00 % zo schváleného rozpočtu. Prostriedky použila </w:t>
      </w:r>
      <w:proofErr w:type="spellStart"/>
      <w:r w:rsidRPr="008D0C09">
        <w:rPr>
          <w:rFonts w:ascii="Times New Roman" w:hAnsi="Times New Roman" w:cs="Times New Roman"/>
          <w:bCs/>
          <w:sz w:val="24"/>
          <w:szCs w:val="24"/>
        </w:rPr>
        <w:t>SI</w:t>
      </w:r>
      <w:r w:rsidR="00EB46A4">
        <w:rPr>
          <w:rFonts w:ascii="Times New Roman" w:hAnsi="Times New Roman" w:cs="Times New Roman"/>
          <w:bCs/>
          <w:sz w:val="24"/>
          <w:szCs w:val="24"/>
        </w:rPr>
        <w:t>E</w:t>
      </w:r>
      <w:r w:rsidRPr="008D0C09">
        <w:rPr>
          <w:rFonts w:ascii="Times New Roman" w:hAnsi="Times New Roman" w:cs="Times New Roman"/>
          <w:bCs/>
          <w:sz w:val="24"/>
          <w:szCs w:val="24"/>
        </w:rPr>
        <w:t>A</w:t>
      </w:r>
      <w:proofErr w:type="spellEnd"/>
      <w:r w:rsidRPr="008D0C09">
        <w:rPr>
          <w:rFonts w:ascii="Times New Roman" w:hAnsi="Times New Roman" w:cs="Times New Roman"/>
          <w:bCs/>
          <w:sz w:val="24"/>
          <w:szCs w:val="24"/>
        </w:rPr>
        <w:t xml:space="preserve"> na nákup softvéru a interiérového vybavenia.</w:t>
      </w:r>
    </w:p>
    <w:p w:rsidR="00556F25" w:rsidRPr="00305411" w:rsidRDefault="00556F25" w:rsidP="00EA5219">
      <w:pPr>
        <w:spacing w:after="0" w:line="240" w:lineRule="auto"/>
        <w:ind w:firstLine="709"/>
        <w:jc w:val="both"/>
        <w:rPr>
          <w:rFonts w:ascii="Times New Roman" w:hAnsi="Times New Roman" w:cs="Times New Roman"/>
          <w:sz w:val="24"/>
          <w:szCs w:val="24"/>
        </w:rPr>
      </w:pPr>
    </w:p>
    <w:p w:rsidR="008C39B6" w:rsidRPr="008C187A" w:rsidRDefault="00013CAD" w:rsidP="007C577C">
      <w:pPr>
        <w:spacing w:after="0" w:line="240" w:lineRule="auto"/>
        <w:ind w:right="26" w:firstLine="709"/>
        <w:jc w:val="both"/>
        <w:rPr>
          <w:rFonts w:ascii="Times New Roman" w:hAnsi="Times New Roman" w:cs="Times New Roman"/>
          <w:sz w:val="24"/>
          <w:szCs w:val="24"/>
        </w:rPr>
      </w:pPr>
      <w:r w:rsidRPr="00FD5863">
        <w:rPr>
          <w:rFonts w:ascii="Times New Roman" w:hAnsi="Times New Roman" w:cs="Times New Roman"/>
          <w:sz w:val="24"/>
          <w:szCs w:val="24"/>
        </w:rPr>
        <w:t xml:space="preserve">Zo zdrojov </w:t>
      </w:r>
      <w:r w:rsidRPr="00FD5863">
        <w:rPr>
          <w:rFonts w:ascii="Times New Roman" w:hAnsi="Times New Roman" w:cs="Times New Roman"/>
          <w:b/>
          <w:i/>
          <w:sz w:val="24"/>
          <w:szCs w:val="24"/>
        </w:rPr>
        <w:t>Európskej únie</w:t>
      </w:r>
      <w:r w:rsidR="00EB46A4">
        <w:rPr>
          <w:rFonts w:ascii="Times New Roman" w:hAnsi="Times New Roman" w:cs="Times New Roman"/>
          <w:b/>
          <w:i/>
          <w:sz w:val="24"/>
          <w:szCs w:val="24"/>
        </w:rPr>
        <w:t xml:space="preserve"> a zdrojov spoluf</w:t>
      </w:r>
      <w:r w:rsidR="00DF3AFF">
        <w:rPr>
          <w:rFonts w:ascii="Times New Roman" w:hAnsi="Times New Roman" w:cs="Times New Roman"/>
          <w:b/>
          <w:i/>
          <w:sz w:val="24"/>
          <w:szCs w:val="24"/>
        </w:rPr>
        <w:t>i</w:t>
      </w:r>
      <w:r w:rsidR="00EB46A4">
        <w:rPr>
          <w:rFonts w:ascii="Times New Roman" w:hAnsi="Times New Roman" w:cs="Times New Roman"/>
          <w:b/>
          <w:i/>
          <w:sz w:val="24"/>
          <w:szCs w:val="24"/>
        </w:rPr>
        <w:t>nancovania</w:t>
      </w:r>
      <w:r w:rsidRPr="00FD5863">
        <w:rPr>
          <w:rFonts w:ascii="Times New Roman" w:hAnsi="Times New Roman" w:cs="Times New Roman"/>
          <w:b/>
          <w:i/>
          <w:sz w:val="24"/>
          <w:szCs w:val="24"/>
        </w:rPr>
        <w:t xml:space="preserve"> </w:t>
      </w:r>
      <w:r w:rsidRPr="00FD5863">
        <w:rPr>
          <w:rFonts w:ascii="Times New Roman" w:hAnsi="Times New Roman" w:cs="Times New Roman"/>
          <w:sz w:val="24"/>
          <w:szCs w:val="24"/>
        </w:rPr>
        <w:t xml:space="preserve"> boli v roku 201</w:t>
      </w:r>
      <w:r w:rsidR="007C577C" w:rsidRPr="00FD5863">
        <w:rPr>
          <w:rFonts w:ascii="Times New Roman" w:hAnsi="Times New Roman" w:cs="Times New Roman"/>
          <w:sz w:val="24"/>
          <w:szCs w:val="24"/>
        </w:rPr>
        <w:t>5</w:t>
      </w:r>
      <w:r w:rsidRPr="00FD5863">
        <w:rPr>
          <w:rFonts w:ascii="Times New Roman" w:hAnsi="Times New Roman" w:cs="Times New Roman"/>
          <w:sz w:val="24"/>
          <w:szCs w:val="24"/>
        </w:rPr>
        <w:t xml:space="preserve"> poskytnuté kapitálové transfery </w:t>
      </w:r>
      <w:r w:rsidR="007C577C" w:rsidRPr="00FD5863">
        <w:rPr>
          <w:rFonts w:ascii="Times New Roman" w:hAnsi="Times New Roman" w:cs="Times New Roman"/>
          <w:sz w:val="24"/>
          <w:szCs w:val="24"/>
        </w:rPr>
        <w:t xml:space="preserve">v celkovej </w:t>
      </w:r>
      <w:r w:rsidR="007C577C" w:rsidRPr="008C187A">
        <w:rPr>
          <w:rFonts w:ascii="Times New Roman" w:hAnsi="Times New Roman" w:cs="Times New Roman"/>
          <w:bCs/>
          <w:sz w:val="24"/>
          <w:szCs w:val="24"/>
          <w:lang w:eastAsia="sk-SK"/>
        </w:rPr>
        <w:t>sume</w:t>
      </w:r>
      <w:r w:rsidR="00EB46A4" w:rsidRPr="008C187A">
        <w:rPr>
          <w:rFonts w:ascii="Times New Roman" w:hAnsi="Times New Roman" w:cs="Times New Roman"/>
          <w:bCs/>
          <w:sz w:val="24"/>
          <w:szCs w:val="24"/>
          <w:lang w:eastAsia="sk-SK"/>
        </w:rPr>
        <w:t xml:space="preserve"> 190 420 708,80</w:t>
      </w:r>
      <w:r w:rsidR="007C577C" w:rsidRPr="00FD5863">
        <w:rPr>
          <w:rFonts w:ascii="Times New Roman" w:hAnsi="Times New Roman" w:cs="Times New Roman"/>
          <w:sz w:val="24"/>
          <w:szCs w:val="24"/>
        </w:rPr>
        <w:t xml:space="preserve"> eur</w:t>
      </w:r>
      <w:r w:rsidRPr="00FD5863">
        <w:rPr>
          <w:rFonts w:ascii="Times New Roman" w:hAnsi="Times New Roman" w:cs="Times New Roman"/>
          <w:sz w:val="24"/>
          <w:szCs w:val="24"/>
        </w:rPr>
        <w:t xml:space="preserve"> na plnenie jednotlivých </w:t>
      </w:r>
      <w:r w:rsidRPr="00FD5863">
        <w:rPr>
          <w:rFonts w:ascii="Times New Roman" w:hAnsi="Times New Roman" w:cs="Times New Roman"/>
          <w:color w:val="000000"/>
          <w:sz w:val="24"/>
          <w:szCs w:val="24"/>
        </w:rPr>
        <w:t xml:space="preserve">opatrení </w:t>
      </w:r>
      <w:r w:rsidR="00BE1358" w:rsidRPr="00FD5863">
        <w:rPr>
          <w:rFonts w:ascii="Times New Roman" w:hAnsi="Times New Roman" w:cs="Times New Roman"/>
          <w:bCs/>
          <w:sz w:val="24"/>
          <w:szCs w:val="24"/>
          <w:lang w:eastAsia="sk-SK"/>
        </w:rPr>
        <w:t>Operačného programu konkurencieschopnosť a hospodársky rast</w:t>
      </w:r>
      <w:r w:rsidR="008C187A">
        <w:rPr>
          <w:rFonts w:ascii="Times New Roman" w:hAnsi="Times New Roman" w:cs="Times New Roman"/>
          <w:color w:val="000000"/>
          <w:sz w:val="24"/>
          <w:szCs w:val="24"/>
        </w:rPr>
        <w:t xml:space="preserve"> </w:t>
      </w:r>
      <w:r w:rsidR="008C187A" w:rsidRPr="00B24926">
        <w:rPr>
          <w:rFonts w:ascii="Times New Roman" w:hAnsi="Times New Roman" w:cs="Times New Roman"/>
          <w:sz w:val="24"/>
          <w:szCs w:val="24"/>
        </w:rPr>
        <w:t>a Operačný program Informatizácia spoločnosti.</w:t>
      </w:r>
      <w:r w:rsidRPr="00FD5863">
        <w:rPr>
          <w:rFonts w:ascii="Times New Roman" w:hAnsi="Times New Roman" w:cs="Times New Roman"/>
          <w:color w:val="000000"/>
          <w:sz w:val="24"/>
          <w:szCs w:val="24"/>
        </w:rPr>
        <w:t xml:space="preserve"> </w:t>
      </w:r>
      <w:r w:rsidR="008C39B6" w:rsidRPr="00FD5863">
        <w:rPr>
          <w:rFonts w:ascii="Times New Roman" w:hAnsi="Times New Roman" w:cs="Times New Roman"/>
          <w:color w:val="000000"/>
          <w:sz w:val="24"/>
          <w:szCs w:val="24"/>
        </w:rPr>
        <w:t xml:space="preserve">Komentár o čerpaní kapitálových transferov na jednotlivé </w:t>
      </w:r>
      <w:r w:rsidR="008C39B6" w:rsidRPr="008C187A">
        <w:rPr>
          <w:rFonts w:ascii="Times New Roman" w:hAnsi="Times New Roman" w:cs="Times New Roman"/>
          <w:sz w:val="24"/>
          <w:szCs w:val="24"/>
        </w:rPr>
        <w:t>opatrenia tvorí samostatnú časť  1.3.3. Výdavky kapitoly hradené z európskych prostriedkov a spolufinancovania k nim.</w:t>
      </w:r>
    </w:p>
    <w:p w:rsidR="00D20C92" w:rsidRPr="007D774A" w:rsidRDefault="00D20C92" w:rsidP="00D20C92">
      <w:pPr>
        <w:spacing w:after="0" w:line="240" w:lineRule="auto"/>
        <w:ind w:firstLine="540"/>
        <w:jc w:val="right"/>
        <w:rPr>
          <w:rFonts w:ascii="Times New Roman" w:hAnsi="Times New Roman" w:cs="Times New Roman"/>
          <w:sz w:val="24"/>
          <w:szCs w:val="24"/>
        </w:rPr>
      </w:pPr>
      <w:r w:rsidRPr="00E91F66">
        <w:rPr>
          <w:rFonts w:ascii="Times New Roman" w:hAnsi="Times New Roman" w:cs="Times New Roman"/>
          <w:sz w:val="24"/>
          <w:szCs w:val="24"/>
        </w:rPr>
        <w:t>v eur</w:t>
      </w:r>
      <w:r>
        <w:rPr>
          <w:rFonts w:ascii="Times New Roman" w:hAnsi="Times New Roman" w:cs="Times New Roman"/>
          <w:sz w:val="24"/>
          <w:szCs w:val="24"/>
        </w:rPr>
        <w:t>ách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1701"/>
        <w:gridCol w:w="1701"/>
        <w:gridCol w:w="1701"/>
        <w:gridCol w:w="1275"/>
      </w:tblGrid>
      <w:tr w:rsidR="00FD5863" w:rsidRPr="00FD5863" w:rsidTr="00FD5863">
        <w:trPr>
          <w:trHeight w:val="727"/>
        </w:trPr>
        <w:tc>
          <w:tcPr>
            <w:tcW w:w="1843" w:type="dxa"/>
            <w:tcBorders>
              <w:top w:val="single" w:sz="4" w:space="0" w:color="auto"/>
              <w:left w:val="single" w:sz="4" w:space="0" w:color="auto"/>
              <w:bottom w:val="single" w:sz="4" w:space="0" w:color="auto"/>
              <w:right w:val="single" w:sz="4" w:space="0" w:color="auto"/>
            </w:tcBorders>
            <w:shd w:val="clear" w:color="auto" w:fill="auto"/>
          </w:tcPr>
          <w:p w:rsidR="00D20C92" w:rsidRPr="00FD5863" w:rsidRDefault="00D20C92" w:rsidP="00FF1AC7">
            <w:pPr>
              <w:spacing w:after="0" w:line="240" w:lineRule="auto"/>
              <w:jc w:val="both"/>
              <w:rPr>
                <w:rFonts w:ascii="Times New Roman" w:eastAsia="Times New Roman" w:hAnsi="Times New Roman" w:cs="Times New Roman"/>
                <w:b/>
              </w:rPr>
            </w:pPr>
            <w:r w:rsidRPr="00FD5863">
              <w:rPr>
                <w:rFonts w:ascii="Times New Roman" w:eastAsia="Times New Roman" w:hAnsi="Times New Roman" w:cs="Times New Roman"/>
                <w:b/>
              </w:rPr>
              <w:t>Ekonomická</w:t>
            </w:r>
          </w:p>
          <w:p w:rsidR="00D20C92" w:rsidRPr="00FD5863" w:rsidRDefault="00D20C92" w:rsidP="00FF1AC7">
            <w:pPr>
              <w:spacing w:after="0" w:line="240" w:lineRule="auto"/>
              <w:jc w:val="both"/>
              <w:rPr>
                <w:rFonts w:ascii="Times New Roman" w:eastAsia="Times New Roman" w:hAnsi="Times New Roman" w:cs="Times New Roman"/>
                <w:b/>
              </w:rPr>
            </w:pPr>
            <w:r w:rsidRPr="00FD5863">
              <w:rPr>
                <w:rFonts w:ascii="Times New Roman" w:eastAsia="Times New Roman" w:hAnsi="Times New Roman" w:cs="Times New Roman"/>
                <w:b/>
              </w:rPr>
              <w:t>klasifikácia</w:t>
            </w:r>
          </w:p>
        </w:tc>
        <w:tc>
          <w:tcPr>
            <w:tcW w:w="851" w:type="dxa"/>
            <w:tcBorders>
              <w:left w:val="single" w:sz="4" w:space="0" w:color="auto"/>
            </w:tcBorders>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Zdroj</w:t>
            </w:r>
          </w:p>
        </w:tc>
        <w:tc>
          <w:tcPr>
            <w:tcW w:w="1701"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Schválený</w:t>
            </w:r>
          </w:p>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rozpočet k 1.1.2015</w:t>
            </w:r>
          </w:p>
        </w:tc>
        <w:tc>
          <w:tcPr>
            <w:tcW w:w="1701"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Upravený</w:t>
            </w:r>
          </w:p>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rozpočet k 31.12.2015</w:t>
            </w:r>
          </w:p>
        </w:tc>
        <w:tc>
          <w:tcPr>
            <w:tcW w:w="1701"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Čerpanie k</w:t>
            </w:r>
          </w:p>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31.12.2015</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 čerpania k uprav. rozpočtu</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D20C92">
            <w:pPr>
              <w:spacing w:after="0" w:line="240" w:lineRule="auto"/>
              <w:jc w:val="both"/>
              <w:rPr>
                <w:rFonts w:ascii="Times New Roman" w:eastAsia="Times New Roman" w:hAnsi="Times New Roman" w:cs="Times New Roman"/>
              </w:rPr>
            </w:pPr>
            <w:r w:rsidRPr="00FD5863">
              <w:rPr>
                <w:rFonts w:ascii="Times New Roman" w:eastAsia="Times New Roman" w:hAnsi="Times New Roman" w:cs="Times New Roman"/>
              </w:rPr>
              <w:t>720 – Kapitálové</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11S1</w:t>
            </w:r>
          </w:p>
        </w:tc>
        <w:tc>
          <w:tcPr>
            <w:tcW w:w="1701" w:type="dxa"/>
            <w:shd w:val="clear" w:color="auto" w:fill="auto"/>
          </w:tcPr>
          <w:p w:rsidR="00D20C92" w:rsidRPr="00FD5863" w:rsidRDefault="00721879"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99 586 112,00</w:t>
            </w:r>
          </w:p>
        </w:tc>
        <w:tc>
          <w:tcPr>
            <w:tcW w:w="1701" w:type="dxa"/>
            <w:shd w:val="clear" w:color="auto" w:fill="auto"/>
          </w:tcPr>
          <w:p w:rsidR="00D20C92" w:rsidRPr="00FD5863" w:rsidRDefault="00721879"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D20C92" w:rsidRPr="00FD5863" w:rsidRDefault="00721879"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D20C92">
            <w:pPr>
              <w:spacing w:after="0" w:line="240" w:lineRule="auto"/>
              <w:jc w:val="both"/>
              <w:rPr>
                <w:rFonts w:ascii="Times New Roman" w:eastAsia="Times New Roman" w:hAnsi="Times New Roman" w:cs="Times New Roman"/>
              </w:rPr>
            </w:pPr>
            <w:r w:rsidRPr="00FD5863">
              <w:rPr>
                <w:rFonts w:ascii="Times New Roman" w:eastAsia="Times New Roman" w:hAnsi="Times New Roman" w:cs="Times New Roman"/>
              </w:rPr>
              <w:t xml:space="preserve">          transfery</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11S2</w:t>
            </w:r>
          </w:p>
        </w:tc>
        <w:tc>
          <w:tcPr>
            <w:tcW w:w="1701" w:type="dxa"/>
            <w:shd w:val="clear" w:color="auto" w:fill="auto"/>
          </w:tcPr>
          <w:p w:rsidR="00D20C92" w:rsidRPr="00FD5863" w:rsidRDefault="00721879"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17 009 089,00</w:t>
            </w:r>
          </w:p>
        </w:tc>
        <w:tc>
          <w:tcPr>
            <w:tcW w:w="1701" w:type="dxa"/>
            <w:shd w:val="clear" w:color="auto" w:fill="auto"/>
          </w:tcPr>
          <w:p w:rsidR="00D20C92" w:rsidRPr="00FD5863" w:rsidRDefault="00721879"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D20C92" w:rsidRPr="00FD5863" w:rsidRDefault="00721879"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FF1AC7">
            <w:pPr>
              <w:spacing w:after="0" w:line="240" w:lineRule="auto"/>
              <w:jc w:val="both"/>
              <w:rPr>
                <w:rFonts w:ascii="Times New Roman" w:eastAsia="Times New Roman" w:hAnsi="Times New Roman" w:cs="Times New Roman"/>
              </w:rPr>
            </w:pPr>
            <w:r w:rsidRPr="00FD5863">
              <w:rPr>
                <w:rFonts w:ascii="Times New Roman" w:eastAsia="Times New Roman" w:hAnsi="Times New Roman" w:cs="Times New Roman"/>
              </w:rPr>
              <w:t xml:space="preserve">      </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13S1</w:t>
            </w:r>
          </w:p>
        </w:tc>
        <w:tc>
          <w:tcPr>
            <w:tcW w:w="1701" w:type="dxa"/>
            <w:shd w:val="clear" w:color="auto" w:fill="auto"/>
          </w:tcPr>
          <w:p w:rsidR="00D20C92" w:rsidRPr="00FD5863" w:rsidRDefault="00D20C92"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162 898 802,66</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162 898 802,66</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FD5863" w:rsidRPr="00FD5863" w:rsidRDefault="00FD5863" w:rsidP="00FF1AC7">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D5863" w:rsidRPr="00FD5863" w:rsidRDefault="00FD5863"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13S2</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27 521 906,14</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27 521 906,14</w:t>
            </w:r>
          </w:p>
        </w:tc>
        <w:tc>
          <w:tcPr>
            <w:tcW w:w="1275" w:type="dxa"/>
            <w:shd w:val="clear" w:color="auto" w:fill="auto"/>
          </w:tcPr>
          <w:p w:rsidR="00FD5863" w:rsidRPr="00FD5863" w:rsidRDefault="00FD5863"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FD5863" w:rsidRPr="00FD5863" w:rsidRDefault="00FD5863" w:rsidP="00FF1AC7">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FD5863" w:rsidRPr="00FD5863" w:rsidRDefault="00FD5863" w:rsidP="00FF1AC7">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1AA1</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58 493 282,00</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FD5863"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275" w:type="dxa"/>
            <w:shd w:val="clear" w:color="auto" w:fill="auto"/>
          </w:tcPr>
          <w:p w:rsidR="00FD5863" w:rsidRPr="00FD5863" w:rsidRDefault="00FD5863"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nil"/>
              <w:left w:val="single" w:sz="4" w:space="0" w:color="auto"/>
              <w:bottom w:val="nil"/>
              <w:right w:val="single" w:sz="4" w:space="0" w:color="auto"/>
            </w:tcBorders>
            <w:shd w:val="clear" w:color="auto" w:fill="auto"/>
          </w:tcPr>
          <w:p w:rsidR="00D20C92" w:rsidRPr="00FD5863" w:rsidRDefault="00D20C92" w:rsidP="00FF1AC7">
            <w:pPr>
              <w:spacing w:after="0" w:line="240" w:lineRule="auto"/>
              <w:jc w:val="both"/>
              <w:rPr>
                <w:rFonts w:ascii="Times New Roman" w:eastAsia="Times New Roman" w:hAnsi="Times New Roman" w:cs="Times New Roman"/>
              </w:rPr>
            </w:pPr>
          </w:p>
        </w:tc>
        <w:tc>
          <w:tcPr>
            <w:tcW w:w="851" w:type="dxa"/>
            <w:tcBorders>
              <w:left w:val="single" w:sz="4" w:space="0" w:color="auto"/>
            </w:tcBorders>
          </w:tcPr>
          <w:p w:rsidR="00D20C92" w:rsidRPr="00FD5863" w:rsidRDefault="00D20C92" w:rsidP="00FD5863">
            <w:pPr>
              <w:autoSpaceDE w:val="0"/>
              <w:autoSpaceDN w:val="0"/>
              <w:adjustRightInd w:val="0"/>
              <w:spacing w:after="0" w:line="240" w:lineRule="auto"/>
              <w:jc w:val="center"/>
              <w:rPr>
                <w:rFonts w:ascii="Times New Roman" w:hAnsi="Times New Roman" w:cs="Times New Roman"/>
                <w:lang w:eastAsia="sk-SK"/>
              </w:rPr>
            </w:pPr>
            <w:r w:rsidRPr="00FD5863">
              <w:rPr>
                <w:rFonts w:ascii="Times New Roman" w:hAnsi="Times New Roman" w:cs="Times New Roman"/>
                <w:lang w:eastAsia="sk-SK"/>
              </w:rPr>
              <w:t>1</w:t>
            </w:r>
            <w:r w:rsidR="00FD5863" w:rsidRPr="00FD5863">
              <w:rPr>
                <w:rFonts w:ascii="Times New Roman" w:hAnsi="Times New Roman" w:cs="Times New Roman"/>
                <w:lang w:eastAsia="sk-SK"/>
              </w:rPr>
              <w:t>AA2</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3 105 025,00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lang w:eastAsia="sk-SK"/>
              </w:rPr>
            </w:pPr>
            <w:r w:rsidRPr="00FD5863">
              <w:rPr>
                <w:rFonts w:ascii="Times New Roman" w:hAnsi="Times New Roman" w:cs="Times New Roman"/>
                <w:lang w:eastAsia="sk-SK"/>
              </w:rPr>
              <w:t>0,00</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rPr>
            </w:pPr>
            <w:r w:rsidRPr="00FD5863">
              <w:rPr>
                <w:rFonts w:ascii="Times New Roman" w:eastAsia="Times New Roman" w:hAnsi="Times New Roman" w:cs="Times New Roman"/>
              </w:rPr>
              <w:t>100,00</w:t>
            </w:r>
          </w:p>
        </w:tc>
      </w:tr>
      <w:tr w:rsidR="00FD5863" w:rsidRPr="00FD5863" w:rsidTr="00FD5863">
        <w:tc>
          <w:tcPr>
            <w:tcW w:w="1843" w:type="dxa"/>
            <w:tcBorders>
              <w:top w:val="single" w:sz="4" w:space="0" w:color="auto"/>
              <w:left w:val="single" w:sz="4" w:space="0" w:color="auto"/>
              <w:bottom w:val="single" w:sz="4" w:space="0" w:color="auto"/>
              <w:right w:val="single" w:sz="4" w:space="0" w:color="auto"/>
            </w:tcBorders>
            <w:shd w:val="clear" w:color="auto" w:fill="auto"/>
          </w:tcPr>
          <w:p w:rsidR="00D20C92" w:rsidRPr="00FD5863" w:rsidRDefault="00D20C92" w:rsidP="00D20C92">
            <w:pPr>
              <w:spacing w:after="0" w:line="240" w:lineRule="auto"/>
              <w:jc w:val="both"/>
              <w:rPr>
                <w:rFonts w:ascii="Times New Roman" w:eastAsia="Times New Roman" w:hAnsi="Times New Roman" w:cs="Times New Roman"/>
                <w:b/>
              </w:rPr>
            </w:pPr>
            <w:r w:rsidRPr="00FD5863">
              <w:rPr>
                <w:rFonts w:ascii="Times New Roman" w:eastAsia="Times New Roman" w:hAnsi="Times New Roman" w:cs="Times New Roman"/>
                <w:b/>
              </w:rPr>
              <w:t>SPOLU 720</w:t>
            </w:r>
          </w:p>
        </w:tc>
        <w:tc>
          <w:tcPr>
            <w:tcW w:w="851" w:type="dxa"/>
            <w:tcBorders>
              <w:left w:val="single" w:sz="4" w:space="0" w:color="auto"/>
            </w:tcBorders>
          </w:tcPr>
          <w:p w:rsidR="00D20C92" w:rsidRPr="00FD5863" w:rsidRDefault="00D20C92" w:rsidP="00FF1AC7">
            <w:pPr>
              <w:autoSpaceDE w:val="0"/>
              <w:autoSpaceDN w:val="0"/>
              <w:adjustRightInd w:val="0"/>
              <w:spacing w:after="0" w:line="240" w:lineRule="auto"/>
              <w:rPr>
                <w:rFonts w:ascii="Times New Roman" w:hAnsi="Times New Roman" w:cs="Times New Roman"/>
                <w:b/>
                <w:lang w:eastAsia="sk-SK"/>
              </w:rPr>
            </w:pP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b/>
                <w:lang w:eastAsia="sk-SK"/>
              </w:rPr>
            </w:pPr>
            <w:r w:rsidRPr="00FD5863">
              <w:rPr>
                <w:rFonts w:ascii="Times New Roman" w:hAnsi="Times New Roman" w:cs="Times New Roman"/>
                <w:b/>
                <w:lang w:eastAsia="sk-SK"/>
              </w:rPr>
              <w:t>178 193 508,00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b/>
                <w:lang w:eastAsia="sk-SK"/>
              </w:rPr>
            </w:pPr>
            <w:r w:rsidRPr="00FD5863">
              <w:rPr>
                <w:rFonts w:ascii="Times New Roman" w:hAnsi="Times New Roman" w:cs="Times New Roman"/>
                <w:b/>
                <w:lang w:eastAsia="sk-SK"/>
              </w:rPr>
              <w:t>190 420 708,80</w:t>
            </w:r>
          </w:p>
        </w:tc>
        <w:tc>
          <w:tcPr>
            <w:tcW w:w="1701" w:type="dxa"/>
            <w:shd w:val="clear" w:color="auto" w:fill="auto"/>
          </w:tcPr>
          <w:p w:rsidR="00D20C92" w:rsidRPr="00FD5863" w:rsidRDefault="00FD5863" w:rsidP="00FD5863">
            <w:pPr>
              <w:autoSpaceDE w:val="0"/>
              <w:autoSpaceDN w:val="0"/>
              <w:adjustRightInd w:val="0"/>
              <w:spacing w:after="0" w:line="240" w:lineRule="auto"/>
              <w:jc w:val="right"/>
              <w:rPr>
                <w:rFonts w:ascii="Times New Roman" w:hAnsi="Times New Roman" w:cs="Times New Roman"/>
                <w:b/>
                <w:lang w:eastAsia="sk-SK"/>
              </w:rPr>
            </w:pPr>
            <w:r w:rsidRPr="00FD5863">
              <w:rPr>
                <w:rFonts w:ascii="Times New Roman" w:hAnsi="Times New Roman" w:cs="Times New Roman"/>
                <w:b/>
                <w:lang w:eastAsia="sk-SK"/>
              </w:rPr>
              <w:t>190 420 708,80</w:t>
            </w:r>
          </w:p>
        </w:tc>
        <w:tc>
          <w:tcPr>
            <w:tcW w:w="1275" w:type="dxa"/>
            <w:shd w:val="clear" w:color="auto" w:fill="auto"/>
          </w:tcPr>
          <w:p w:rsidR="00D20C92" w:rsidRPr="00FD5863" w:rsidRDefault="00D20C92" w:rsidP="00FF1AC7">
            <w:pPr>
              <w:spacing w:after="0" w:line="240" w:lineRule="auto"/>
              <w:jc w:val="center"/>
              <w:rPr>
                <w:rFonts w:ascii="Times New Roman" w:eastAsia="Times New Roman" w:hAnsi="Times New Roman" w:cs="Times New Roman"/>
                <w:b/>
              </w:rPr>
            </w:pPr>
            <w:r w:rsidRPr="00FD5863">
              <w:rPr>
                <w:rFonts w:ascii="Times New Roman" w:eastAsia="Times New Roman" w:hAnsi="Times New Roman" w:cs="Times New Roman"/>
                <w:b/>
              </w:rPr>
              <w:t>100,00</w:t>
            </w:r>
          </w:p>
        </w:tc>
      </w:tr>
    </w:tbl>
    <w:p w:rsidR="00D20C92" w:rsidRPr="00305411" w:rsidRDefault="00D20C92" w:rsidP="00D20C92">
      <w:pPr>
        <w:spacing w:after="0" w:line="240" w:lineRule="auto"/>
        <w:ind w:right="26" w:firstLine="540"/>
        <w:jc w:val="both"/>
        <w:rPr>
          <w:rFonts w:ascii="Times New Roman" w:hAnsi="Times New Roman" w:cs="Times New Roman"/>
          <w:sz w:val="24"/>
          <w:szCs w:val="24"/>
        </w:rPr>
      </w:pPr>
    </w:p>
    <w:p w:rsidR="0012367D" w:rsidRPr="00305411" w:rsidRDefault="00D80FE6" w:rsidP="00DF3AFF">
      <w:pPr>
        <w:spacing w:after="0" w:line="240" w:lineRule="auto"/>
        <w:ind w:firstLine="709"/>
        <w:jc w:val="both"/>
        <w:rPr>
          <w:rFonts w:ascii="Times New Roman" w:hAnsi="Times New Roman" w:cs="Times New Roman"/>
          <w:sz w:val="24"/>
          <w:szCs w:val="24"/>
        </w:rPr>
      </w:pPr>
      <w:r w:rsidRPr="00305411">
        <w:rPr>
          <w:rFonts w:ascii="Times New Roman" w:hAnsi="Times New Roman" w:cs="Times New Roman"/>
          <w:sz w:val="24"/>
          <w:szCs w:val="24"/>
        </w:rPr>
        <w:t>Podrobnejšie č</w:t>
      </w:r>
      <w:r w:rsidR="009B7A2B" w:rsidRPr="00305411">
        <w:rPr>
          <w:rFonts w:ascii="Times New Roman" w:hAnsi="Times New Roman" w:cs="Times New Roman"/>
          <w:sz w:val="24"/>
          <w:szCs w:val="24"/>
        </w:rPr>
        <w:t xml:space="preserve">erpanie </w:t>
      </w:r>
      <w:r w:rsidR="00E22A79">
        <w:rPr>
          <w:rFonts w:ascii="Times New Roman" w:hAnsi="Times New Roman" w:cs="Times New Roman"/>
          <w:sz w:val="24"/>
          <w:szCs w:val="24"/>
        </w:rPr>
        <w:t>bežných a kapitálových výdavkov</w:t>
      </w:r>
      <w:r w:rsidRPr="00305411">
        <w:rPr>
          <w:rFonts w:ascii="Times New Roman" w:hAnsi="Times New Roman" w:cs="Times New Roman"/>
          <w:sz w:val="24"/>
          <w:szCs w:val="24"/>
        </w:rPr>
        <w:t xml:space="preserve"> kapitoly MH SR</w:t>
      </w:r>
      <w:r w:rsidR="008A6A3F">
        <w:rPr>
          <w:rFonts w:ascii="Times New Roman" w:hAnsi="Times New Roman" w:cs="Times New Roman"/>
          <w:sz w:val="24"/>
          <w:szCs w:val="24"/>
        </w:rPr>
        <w:t xml:space="preserve"> podľa ekonomickej klasifikácie, </w:t>
      </w:r>
      <w:r w:rsidR="00EB46A4">
        <w:rPr>
          <w:rFonts w:ascii="Times New Roman" w:hAnsi="Times New Roman" w:cs="Times New Roman"/>
          <w:sz w:val="24"/>
          <w:szCs w:val="24"/>
        </w:rPr>
        <w:t>vrátane zdroja 72c</w:t>
      </w:r>
      <w:r w:rsidR="008A6A3F">
        <w:rPr>
          <w:rFonts w:ascii="Times New Roman" w:hAnsi="Times New Roman" w:cs="Times New Roman"/>
          <w:sz w:val="24"/>
          <w:szCs w:val="24"/>
        </w:rPr>
        <w:t>,</w:t>
      </w:r>
      <w:r w:rsidR="009B7A2B" w:rsidRPr="00305411">
        <w:rPr>
          <w:rFonts w:ascii="Times New Roman" w:hAnsi="Times New Roman" w:cs="Times New Roman"/>
          <w:sz w:val="24"/>
          <w:szCs w:val="24"/>
        </w:rPr>
        <w:t xml:space="preserve"> je </w:t>
      </w:r>
      <w:r w:rsidRPr="00305411">
        <w:rPr>
          <w:rFonts w:ascii="Times New Roman" w:hAnsi="Times New Roman" w:cs="Times New Roman"/>
          <w:sz w:val="24"/>
          <w:szCs w:val="24"/>
        </w:rPr>
        <w:t>uvedené v tabuľke:</w:t>
      </w:r>
    </w:p>
    <w:tbl>
      <w:tblPr>
        <w:tblW w:w="9244" w:type="dxa"/>
        <w:tblLayout w:type="fixed"/>
        <w:tblCellMar>
          <w:left w:w="30" w:type="dxa"/>
          <w:right w:w="30" w:type="dxa"/>
        </w:tblCellMar>
        <w:tblLook w:val="0000" w:firstRow="0" w:lastRow="0" w:firstColumn="0" w:lastColumn="0" w:noHBand="0" w:noVBand="0"/>
      </w:tblPr>
      <w:tblGrid>
        <w:gridCol w:w="456"/>
        <w:gridCol w:w="125"/>
        <w:gridCol w:w="3135"/>
        <w:gridCol w:w="1559"/>
        <w:gridCol w:w="1559"/>
        <w:gridCol w:w="1560"/>
        <w:gridCol w:w="850"/>
      </w:tblGrid>
      <w:tr w:rsidR="00C30AD7" w:rsidTr="00B96FCA">
        <w:trPr>
          <w:trHeight w:val="230"/>
        </w:trPr>
        <w:tc>
          <w:tcPr>
            <w:tcW w:w="456" w:type="dxa"/>
            <w:tcBorders>
              <w:top w:val="nil"/>
              <w:left w:val="nil"/>
              <w:bottom w:val="nil"/>
              <w:right w:val="nil"/>
            </w:tcBorders>
          </w:tcPr>
          <w:p w:rsidR="001B3F35"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nil"/>
              <w:right w:val="nil"/>
            </w:tcBorders>
          </w:tcPr>
          <w:p w:rsidR="0015799F" w:rsidRDefault="0015799F">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nil"/>
              <w:left w:val="nil"/>
              <w:bottom w:val="single" w:sz="4" w:space="0" w:color="auto"/>
              <w:right w:val="nil"/>
            </w:tcBorders>
          </w:tcPr>
          <w:p w:rsidR="001B3F35" w:rsidRDefault="001B3F3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nil"/>
              <w:left w:val="nil"/>
              <w:bottom w:val="single" w:sz="4" w:space="0" w:color="auto"/>
              <w:right w:val="nil"/>
            </w:tcBorders>
          </w:tcPr>
          <w:p w:rsidR="001B3F35" w:rsidRDefault="001B3F3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nil"/>
              <w:left w:val="nil"/>
              <w:bottom w:val="single" w:sz="4" w:space="0" w:color="auto"/>
              <w:right w:val="nil"/>
            </w:tcBorders>
          </w:tcPr>
          <w:p w:rsidR="001B3F35" w:rsidRDefault="001B3F3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nil"/>
              <w:left w:val="nil"/>
              <w:bottom w:val="single" w:sz="4" w:space="0" w:color="auto"/>
              <w:right w:val="nil"/>
            </w:tcBorders>
          </w:tcPr>
          <w:p w:rsidR="001B3F35" w:rsidRDefault="009959DF" w:rsidP="009959DF">
            <w:pPr>
              <w:autoSpaceDE w:val="0"/>
              <w:autoSpaceDN w:val="0"/>
              <w:adjustRightInd w:val="0"/>
              <w:spacing w:after="0" w:line="240" w:lineRule="auto"/>
              <w:jc w:val="right"/>
              <w:rPr>
                <w:rFonts w:ascii="Times New Roman" w:hAnsi="Times New Roman" w:cs="Times New Roman"/>
                <w:color w:val="000000"/>
                <w:lang w:eastAsia="sk-SK"/>
              </w:rPr>
            </w:pPr>
            <w:r>
              <w:rPr>
                <w:rFonts w:ascii="Times New Roman" w:hAnsi="Times New Roman" w:cs="Times New Roman"/>
                <w:color w:val="000000"/>
                <w:lang w:eastAsia="sk-SK"/>
              </w:rPr>
              <w:t>v eur</w:t>
            </w:r>
            <w:r w:rsidR="000275A9">
              <w:rPr>
                <w:rFonts w:ascii="Times New Roman" w:hAnsi="Times New Roman" w:cs="Times New Roman"/>
                <w:color w:val="000000"/>
                <w:lang w:eastAsia="sk-SK"/>
              </w:rPr>
              <w:t>ách</w:t>
            </w:r>
          </w:p>
        </w:tc>
      </w:tr>
      <w:tr w:rsidR="0059693B" w:rsidRPr="00EB46A4" w:rsidTr="00B96FCA">
        <w:trPr>
          <w:trHeight w:val="290"/>
        </w:trPr>
        <w:tc>
          <w:tcPr>
            <w:tcW w:w="456" w:type="dxa"/>
            <w:tcBorders>
              <w:top w:val="single" w:sz="6" w:space="0" w:color="auto"/>
              <w:left w:val="single" w:sz="6" w:space="0" w:color="auto"/>
              <w:bottom w:val="nil"/>
              <w:right w:val="nil"/>
            </w:tcBorders>
          </w:tcPr>
          <w:p w:rsidR="0059693B" w:rsidRPr="00EB46A4" w:rsidRDefault="0059693B">
            <w:pPr>
              <w:autoSpaceDE w:val="0"/>
              <w:autoSpaceDN w:val="0"/>
              <w:adjustRightInd w:val="0"/>
              <w:spacing w:after="0" w:line="240" w:lineRule="auto"/>
              <w:rPr>
                <w:rFonts w:ascii="Times New Roman" w:hAnsi="Times New Roman" w:cs="Times New Roman"/>
                <w:b/>
                <w:color w:val="000000"/>
                <w:lang w:eastAsia="sk-SK"/>
              </w:rPr>
            </w:pPr>
          </w:p>
        </w:tc>
        <w:tc>
          <w:tcPr>
            <w:tcW w:w="3260" w:type="dxa"/>
            <w:gridSpan w:val="2"/>
            <w:tcBorders>
              <w:top w:val="single" w:sz="6" w:space="0" w:color="auto"/>
              <w:left w:val="nil"/>
              <w:bottom w:val="nil"/>
              <w:right w:val="single" w:sz="4" w:space="0" w:color="auto"/>
            </w:tcBorders>
          </w:tcPr>
          <w:p w:rsidR="0059693B" w:rsidRPr="00EB46A4" w:rsidRDefault="0059693B">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Ukazovateľ</w:t>
            </w:r>
          </w:p>
        </w:tc>
        <w:tc>
          <w:tcPr>
            <w:tcW w:w="1559" w:type="dxa"/>
            <w:tcBorders>
              <w:top w:val="single" w:sz="4" w:space="0" w:color="auto"/>
              <w:left w:val="single" w:sz="4" w:space="0" w:color="auto"/>
              <w:right w:val="single" w:sz="4" w:space="0" w:color="auto"/>
            </w:tcBorders>
          </w:tcPr>
          <w:p w:rsidR="0059693B" w:rsidRPr="00EB46A4" w:rsidRDefault="0059693B" w:rsidP="00D35D8B">
            <w:pPr>
              <w:spacing w:after="0" w:line="240" w:lineRule="auto"/>
              <w:jc w:val="center"/>
              <w:rPr>
                <w:rFonts w:ascii="Times New Roman" w:eastAsia="Times New Roman" w:hAnsi="Times New Roman" w:cs="Times New Roman"/>
                <w:b/>
              </w:rPr>
            </w:pPr>
            <w:r w:rsidRPr="00EB46A4">
              <w:rPr>
                <w:rFonts w:ascii="Times New Roman" w:eastAsia="Times New Roman" w:hAnsi="Times New Roman" w:cs="Times New Roman"/>
                <w:b/>
              </w:rPr>
              <w:t>Schválený</w:t>
            </w:r>
          </w:p>
        </w:tc>
        <w:tc>
          <w:tcPr>
            <w:tcW w:w="1559" w:type="dxa"/>
            <w:tcBorders>
              <w:top w:val="single" w:sz="4" w:space="0" w:color="auto"/>
              <w:left w:val="single" w:sz="4" w:space="0" w:color="auto"/>
              <w:right w:val="single" w:sz="4" w:space="0" w:color="auto"/>
            </w:tcBorders>
          </w:tcPr>
          <w:p w:rsidR="0059693B" w:rsidRPr="00EB46A4" w:rsidRDefault="0059693B">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 xml:space="preserve">Upravený </w:t>
            </w:r>
            <w:proofErr w:type="spellStart"/>
            <w:r w:rsidRPr="00EB46A4">
              <w:rPr>
                <w:rFonts w:ascii="Times New Roman" w:hAnsi="Times New Roman" w:cs="Times New Roman"/>
                <w:b/>
                <w:color w:val="000000"/>
                <w:lang w:eastAsia="sk-SK"/>
              </w:rPr>
              <w:t>rozp</w:t>
            </w:r>
            <w:proofErr w:type="spellEnd"/>
            <w:r w:rsidRPr="00EB46A4">
              <w:rPr>
                <w:rFonts w:ascii="Times New Roman" w:hAnsi="Times New Roman" w:cs="Times New Roman"/>
                <w:b/>
                <w:color w:val="000000"/>
                <w:lang w:eastAsia="sk-SK"/>
              </w:rPr>
              <w:t>.</w:t>
            </w:r>
          </w:p>
        </w:tc>
        <w:tc>
          <w:tcPr>
            <w:tcW w:w="1560" w:type="dxa"/>
            <w:tcBorders>
              <w:top w:val="single" w:sz="4" w:space="0" w:color="auto"/>
              <w:left w:val="single" w:sz="4" w:space="0" w:color="auto"/>
              <w:right w:val="single" w:sz="4" w:space="0" w:color="auto"/>
            </w:tcBorders>
          </w:tcPr>
          <w:p w:rsidR="0059693B" w:rsidRPr="00EB46A4" w:rsidRDefault="0059693B">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Skutočnosť</w:t>
            </w:r>
          </w:p>
        </w:tc>
        <w:tc>
          <w:tcPr>
            <w:tcW w:w="850" w:type="dxa"/>
            <w:tcBorders>
              <w:top w:val="single" w:sz="4" w:space="0" w:color="auto"/>
              <w:left w:val="single" w:sz="4" w:space="0" w:color="auto"/>
              <w:right w:val="single" w:sz="4" w:space="0" w:color="auto"/>
            </w:tcBorders>
          </w:tcPr>
          <w:p w:rsidR="0059693B" w:rsidRPr="00EB46A4" w:rsidRDefault="0059693B">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Plnenie</w:t>
            </w:r>
          </w:p>
        </w:tc>
      </w:tr>
      <w:tr w:rsidR="0059693B" w:rsidRPr="00EB46A4" w:rsidTr="00B96FCA">
        <w:trPr>
          <w:trHeight w:val="199"/>
        </w:trPr>
        <w:tc>
          <w:tcPr>
            <w:tcW w:w="456" w:type="dxa"/>
            <w:tcBorders>
              <w:top w:val="nil"/>
              <w:left w:val="single" w:sz="6" w:space="0" w:color="auto"/>
              <w:bottom w:val="nil"/>
              <w:right w:val="nil"/>
            </w:tcBorders>
          </w:tcPr>
          <w:p w:rsidR="0059693B" w:rsidRPr="00EB46A4" w:rsidRDefault="0059693B">
            <w:pPr>
              <w:autoSpaceDE w:val="0"/>
              <w:autoSpaceDN w:val="0"/>
              <w:adjustRightInd w:val="0"/>
              <w:spacing w:after="0" w:line="240" w:lineRule="auto"/>
              <w:rPr>
                <w:rFonts w:ascii="Times New Roman" w:hAnsi="Times New Roman" w:cs="Times New Roman"/>
                <w:b/>
                <w:color w:val="000000"/>
                <w:lang w:eastAsia="sk-SK"/>
              </w:rPr>
            </w:pPr>
          </w:p>
        </w:tc>
        <w:tc>
          <w:tcPr>
            <w:tcW w:w="3260" w:type="dxa"/>
            <w:gridSpan w:val="2"/>
            <w:tcBorders>
              <w:top w:val="nil"/>
              <w:left w:val="nil"/>
              <w:bottom w:val="nil"/>
              <w:right w:val="single" w:sz="4" w:space="0" w:color="auto"/>
            </w:tcBorders>
          </w:tcPr>
          <w:p w:rsidR="0059693B" w:rsidRPr="00EB46A4" w:rsidRDefault="0059693B">
            <w:pPr>
              <w:autoSpaceDE w:val="0"/>
              <w:autoSpaceDN w:val="0"/>
              <w:adjustRightInd w:val="0"/>
              <w:spacing w:after="0" w:line="240" w:lineRule="auto"/>
              <w:jc w:val="right"/>
              <w:rPr>
                <w:rFonts w:ascii="Times New Roman" w:hAnsi="Times New Roman" w:cs="Times New Roman"/>
                <w:b/>
                <w:color w:val="000000"/>
                <w:lang w:eastAsia="sk-SK"/>
              </w:rPr>
            </w:pPr>
          </w:p>
        </w:tc>
        <w:tc>
          <w:tcPr>
            <w:tcW w:w="1559" w:type="dxa"/>
            <w:tcBorders>
              <w:left w:val="single" w:sz="4" w:space="0" w:color="auto"/>
              <w:bottom w:val="single" w:sz="4" w:space="0" w:color="auto"/>
              <w:right w:val="single" w:sz="4" w:space="0" w:color="auto"/>
            </w:tcBorders>
          </w:tcPr>
          <w:p w:rsidR="0059693B" w:rsidRPr="00EB46A4" w:rsidRDefault="0059693B" w:rsidP="00D35D8B">
            <w:pPr>
              <w:rPr>
                <w:rFonts w:ascii="Times New Roman" w:hAnsi="Times New Roman" w:cs="Times New Roman"/>
              </w:rPr>
            </w:pPr>
            <w:r w:rsidRPr="00EB46A4">
              <w:rPr>
                <w:rFonts w:ascii="Times New Roman" w:eastAsia="Times New Roman" w:hAnsi="Times New Roman" w:cs="Times New Roman"/>
                <w:b/>
              </w:rPr>
              <w:t>rozpočet k 1.1.2015</w:t>
            </w:r>
          </w:p>
        </w:tc>
        <w:tc>
          <w:tcPr>
            <w:tcW w:w="1559" w:type="dxa"/>
            <w:tcBorders>
              <w:left w:val="single" w:sz="4" w:space="0" w:color="auto"/>
              <w:bottom w:val="single" w:sz="4" w:space="0" w:color="auto"/>
              <w:right w:val="single" w:sz="4" w:space="0" w:color="auto"/>
            </w:tcBorders>
          </w:tcPr>
          <w:p w:rsidR="0059693B" w:rsidRPr="00EB46A4" w:rsidRDefault="0059693B" w:rsidP="0059693B">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k 31.12.2015</w:t>
            </w:r>
          </w:p>
        </w:tc>
        <w:tc>
          <w:tcPr>
            <w:tcW w:w="1560" w:type="dxa"/>
            <w:tcBorders>
              <w:left w:val="single" w:sz="4" w:space="0" w:color="auto"/>
              <w:bottom w:val="single" w:sz="4" w:space="0" w:color="auto"/>
              <w:right w:val="single" w:sz="4" w:space="0" w:color="auto"/>
            </w:tcBorders>
          </w:tcPr>
          <w:p w:rsidR="0059693B" w:rsidRPr="00EB46A4" w:rsidRDefault="0059693B" w:rsidP="0059693B">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k 31.12.2015</w:t>
            </w:r>
          </w:p>
        </w:tc>
        <w:tc>
          <w:tcPr>
            <w:tcW w:w="850" w:type="dxa"/>
            <w:tcBorders>
              <w:left w:val="single" w:sz="4" w:space="0" w:color="auto"/>
              <w:bottom w:val="single" w:sz="4" w:space="0" w:color="auto"/>
              <w:right w:val="single" w:sz="4" w:space="0" w:color="auto"/>
            </w:tcBorders>
          </w:tcPr>
          <w:p w:rsidR="0059693B" w:rsidRPr="00EB46A4" w:rsidRDefault="0059693B">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(v %)</w:t>
            </w:r>
          </w:p>
        </w:tc>
      </w:tr>
      <w:tr w:rsidR="00C30AD7" w:rsidRPr="00EB46A4" w:rsidTr="00B96FCA">
        <w:trPr>
          <w:trHeight w:val="230"/>
        </w:trPr>
        <w:tc>
          <w:tcPr>
            <w:tcW w:w="456" w:type="dxa"/>
            <w:tcBorders>
              <w:top w:val="single" w:sz="6" w:space="0" w:color="auto"/>
              <w:left w:val="single" w:sz="6" w:space="0" w:color="auto"/>
              <w:bottom w:val="single" w:sz="6" w:space="0" w:color="auto"/>
              <w:right w:val="nil"/>
            </w:tcBorders>
          </w:tcPr>
          <w:p w:rsidR="001B3F35" w:rsidRPr="00EB46A4" w:rsidRDefault="008926C1">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a</w:t>
            </w:r>
          </w:p>
        </w:tc>
        <w:tc>
          <w:tcPr>
            <w:tcW w:w="3260" w:type="dxa"/>
            <w:gridSpan w:val="2"/>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b</w:t>
            </w:r>
          </w:p>
        </w:tc>
        <w:tc>
          <w:tcPr>
            <w:tcW w:w="1559"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w:t>
            </w:r>
          </w:p>
        </w:tc>
        <w:tc>
          <w:tcPr>
            <w:tcW w:w="1559" w:type="dxa"/>
            <w:tcBorders>
              <w:top w:val="single" w:sz="4" w:space="0" w:color="auto"/>
              <w:left w:val="nil"/>
              <w:bottom w:val="nil"/>
              <w:right w:val="nil"/>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2</w:t>
            </w:r>
          </w:p>
        </w:tc>
        <w:tc>
          <w:tcPr>
            <w:tcW w:w="1560"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3</w:t>
            </w:r>
          </w:p>
        </w:tc>
        <w:tc>
          <w:tcPr>
            <w:tcW w:w="850" w:type="dxa"/>
            <w:tcBorders>
              <w:top w:val="single" w:sz="4" w:space="0" w:color="auto"/>
              <w:left w:val="nil"/>
              <w:bottom w:val="nil"/>
              <w:right w:val="single" w:sz="6" w:space="0" w:color="auto"/>
            </w:tcBorders>
          </w:tcPr>
          <w:p w:rsidR="001B3F35" w:rsidRPr="00EB46A4" w:rsidRDefault="001B3F35" w:rsidP="00D51591">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4</w:t>
            </w:r>
          </w:p>
        </w:tc>
      </w:tr>
      <w:tr w:rsidR="00C30AD7" w:rsidRPr="00EB46A4" w:rsidTr="00B96FCA">
        <w:trPr>
          <w:trHeight w:val="375"/>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610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Mzdy, platy, služobné príjmy a</w:t>
            </w:r>
            <w:r w:rsidR="008A6A3F">
              <w:rPr>
                <w:rFonts w:ascii="Times New Roman" w:hAnsi="Times New Roman" w:cs="Times New Roman"/>
                <w:b/>
                <w:i/>
                <w:iCs/>
                <w:color w:val="000000"/>
                <w:lang w:eastAsia="sk-SK"/>
              </w:rPr>
              <w:t> </w:t>
            </w:r>
            <w:proofErr w:type="spellStart"/>
            <w:r w:rsidRPr="00EB46A4">
              <w:rPr>
                <w:rFonts w:ascii="Times New Roman" w:hAnsi="Times New Roman" w:cs="Times New Roman"/>
                <w:b/>
                <w:i/>
                <w:iCs/>
                <w:color w:val="000000"/>
                <w:lang w:eastAsia="sk-SK"/>
              </w:rPr>
              <w:t>OOV</w:t>
            </w:r>
            <w:proofErr w:type="spellEnd"/>
          </w:p>
        </w:tc>
        <w:tc>
          <w:tcPr>
            <w:tcW w:w="1559" w:type="dxa"/>
            <w:tcBorders>
              <w:top w:val="single" w:sz="6" w:space="0" w:color="auto"/>
              <w:left w:val="single" w:sz="6" w:space="0" w:color="auto"/>
              <w:bottom w:val="single" w:sz="6" w:space="0" w:color="auto"/>
              <w:right w:val="single" w:sz="6" w:space="0" w:color="auto"/>
            </w:tcBorders>
          </w:tcPr>
          <w:p w:rsidR="00AC5EBA" w:rsidRPr="00EB46A4" w:rsidRDefault="00AC5EBA" w:rsidP="00936015">
            <w:pPr>
              <w:autoSpaceDE w:val="0"/>
              <w:autoSpaceDN w:val="0"/>
              <w:adjustRightInd w:val="0"/>
              <w:spacing w:after="0" w:line="240" w:lineRule="auto"/>
              <w:jc w:val="right"/>
              <w:rPr>
                <w:rFonts w:ascii="Times New Roman" w:hAnsi="Times New Roman" w:cs="Times New Roman"/>
                <w:b/>
                <w:i/>
                <w:lang w:eastAsia="sk-SK"/>
              </w:rPr>
            </w:pPr>
          </w:p>
          <w:p w:rsidR="001B3F35" w:rsidRPr="00EB46A4" w:rsidRDefault="00927A9F"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8 622 641,00</w:t>
            </w:r>
          </w:p>
        </w:tc>
        <w:tc>
          <w:tcPr>
            <w:tcW w:w="1559" w:type="dxa"/>
            <w:tcBorders>
              <w:top w:val="single" w:sz="6" w:space="0" w:color="auto"/>
              <w:left w:val="nil"/>
              <w:bottom w:val="single" w:sz="6" w:space="0" w:color="auto"/>
              <w:right w:val="nil"/>
            </w:tcBorders>
          </w:tcPr>
          <w:p w:rsidR="00D51591" w:rsidRPr="00EB46A4" w:rsidRDefault="00D51591" w:rsidP="00936015">
            <w:pPr>
              <w:autoSpaceDE w:val="0"/>
              <w:autoSpaceDN w:val="0"/>
              <w:adjustRightInd w:val="0"/>
              <w:spacing w:after="0" w:line="240" w:lineRule="auto"/>
              <w:jc w:val="right"/>
              <w:rPr>
                <w:rFonts w:ascii="Times New Roman" w:hAnsi="Times New Roman" w:cs="Times New Roman"/>
                <w:b/>
                <w:i/>
                <w:lang w:eastAsia="sk-SK"/>
              </w:rPr>
            </w:pPr>
          </w:p>
          <w:p w:rsidR="00433B33" w:rsidRPr="00EB46A4" w:rsidRDefault="00433B33"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11 767 263,77</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b/>
                <w:i/>
                <w:lang w:eastAsia="sk-SK"/>
              </w:rPr>
            </w:pPr>
          </w:p>
          <w:p w:rsidR="00433B33" w:rsidRPr="00EB46A4" w:rsidRDefault="00433B33"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11 763 125,87</w:t>
            </w:r>
          </w:p>
        </w:tc>
        <w:tc>
          <w:tcPr>
            <w:tcW w:w="850" w:type="dxa"/>
            <w:tcBorders>
              <w:top w:val="single" w:sz="6" w:space="0" w:color="auto"/>
              <w:left w:val="nil"/>
              <w:bottom w:val="single" w:sz="6" w:space="0" w:color="auto"/>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b/>
                <w:i/>
                <w:iCs/>
                <w:color w:val="000000"/>
                <w:lang w:eastAsia="sk-SK"/>
              </w:rPr>
            </w:pPr>
          </w:p>
          <w:p w:rsidR="00433B33" w:rsidRPr="00EB46A4" w:rsidRDefault="00433B33"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99,97</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611</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Tarifný plat, osobný plat, ...</w:t>
            </w:r>
          </w:p>
        </w:tc>
        <w:tc>
          <w:tcPr>
            <w:tcW w:w="1559" w:type="dxa"/>
            <w:tcBorders>
              <w:top w:val="nil"/>
              <w:left w:val="single" w:sz="6" w:space="0" w:color="auto"/>
              <w:bottom w:val="nil"/>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6 050 455,00</w:t>
            </w:r>
          </w:p>
        </w:tc>
        <w:tc>
          <w:tcPr>
            <w:tcW w:w="1559" w:type="dxa"/>
            <w:tcBorders>
              <w:top w:val="nil"/>
              <w:left w:val="nil"/>
              <w:bottom w:val="nil"/>
              <w:right w:val="nil"/>
            </w:tcBorders>
          </w:tcPr>
          <w:p w:rsidR="00D51591"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7 507 043,52</w:t>
            </w:r>
          </w:p>
        </w:tc>
        <w:tc>
          <w:tcPr>
            <w:tcW w:w="1560" w:type="dxa"/>
            <w:tcBorders>
              <w:top w:val="nil"/>
              <w:left w:val="single" w:sz="6" w:space="0" w:color="auto"/>
              <w:bottom w:val="nil"/>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7 503 782,73</w:t>
            </w:r>
          </w:p>
        </w:tc>
        <w:tc>
          <w:tcPr>
            <w:tcW w:w="850" w:type="dxa"/>
            <w:tcBorders>
              <w:top w:val="nil"/>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99,96</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612</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Príplatky</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2 332 992,00</w:t>
            </w:r>
          </w:p>
        </w:tc>
        <w:tc>
          <w:tcPr>
            <w:tcW w:w="1559" w:type="dxa"/>
            <w:tcBorders>
              <w:top w:val="single" w:sz="6" w:space="0" w:color="auto"/>
              <w:left w:val="nil"/>
              <w:bottom w:val="single" w:sz="6"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2 674 328,99</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2 673 453,39</w:t>
            </w:r>
          </w:p>
        </w:tc>
        <w:tc>
          <w:tcPr>
            <w:tcW w:w="850" w:type="dxa"/>
            <w:tcBorders>
              <w:top w:val="single" w:sz="6" w:space="0" w:color="auto"/>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99,97</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613</w:t>
            </w:r>
          </w:p>
        </w:tc>
        <w:tc>
          <w:tcPr>
            <w:tcW w:w="3260" w:type="dxa"/>
            <w:gridSpan w:val="2"/>
            <w:tcBorders>
              <w:top w:val="nil"/>
              <w:left w:val="nil"/>
              <w:bottom w:val="nil"/>
              <w:right w:val="nil"/>
            </w:tcBorders>
          </w:tcPr>
          <w:p w:rsidR="001B3F35" w:rsidRPr="00EB46A4" w:rsidRDefault="001B3F35" w:rsidP="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Náhrada za pracovnú pohotovosť</w:t>
            </w:r>
          </w:p>
        </w:tc>
        <w:tc>
          <w:tcPr>
            <w:tcW w:w="1559" w:type="dxa"/>
            <w:tcBorders>
              <w:top w:val="nil"/>
              <w:left w:val="single" w:sz="6" w:space="0" w:color="auto"/>
              <w:bottom w:val="nil"/>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25 604,00</w:t>
            </w:r>
          </w:p>
        </w:tc>
        <w:tc>
          <w:tcPr>
            <w:tcW w:w="1559" w:type="dxa"/>
            <w:tcBorders>
              <w:top w:val="nil"/>
              <w:left w:val="nil"/>
              <w:bottom w:val="nil"/>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20 724,48</w:t>
            </w:r>
          </w:p>
        </w:tc>
        <w:tc>
          <w:tcPr>
            <w:tcW w:w="1560" w:type="dxa"/>
            <w:tcBorders>
              <w:top w:val="nil"/>
              <w:left w:val="single" w:sz="6" w:space="0" w:color="auto"/>
              <w:bottom w:val="nil"/>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20 723,79</w:t>
            </w:r>
          </w:p>
        </w:tc>
        <w:tc>
          <w:tcPr>
            <w:tcW w:w="850" w:type="dxa"/>
            <w:tcBorders>
              <w:top w:val="single" w:sz="6" w:space="0" w:color="auto"/>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614</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Odmeny</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40 000,00</w:t>
            </w:r>
          </w:p>
        </w:tc>
        <w:tc>
          <w:tcPr>
            <w:tcW w:w="1559" w:type="dxa"/>
            <w:tcBorders>
              <w:top w:val="single" w:sz="6" w:space="0" w:color="auto"/>
              <w:left w:val="nil"/>
              <w:bottom w:val="single" w:sz="4"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1 417 093,96</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1 417 093,96</w:t>
            </w:r>
          </w:p>
        </w:tc>
        <w:tc>
          <w:tcPr>
            <w:tcW w:w="850" w:type="dxa"/>
            <w:tcBorders>
              <w:top w:val="single" w:sz="6" w:space="0" w:color="auto"/>
              <w:left w:val="nil"/>
              <w:bottom w:val="single" w:sz="4" w:space="0" w:color="auto"/>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4"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615</w:t>
            </w:r>
          </w:p>
        </w:tc>
        <w:tc>
          <w:tcPr>
            <w:tcW w:w="3260" w:type="dxa"/>
            <w:gridSpan w:val="2"/>
            <w:tcBorders>
              <w:top w:val="single" w:sz="4"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Ostatné osobné vyrovnania</w:t>
            </w:r>
          </w:p>
        </w:tc>
        <w:tc>
          <w:tcPr>
            <w:tcW w:w="1559" w:type="dxa"/>
            <w:tcBorders>
              <w:top w:val="single" w:sz="4" w:space="0" w:color="auto"/>
              <w:left w:val="single" w:sz="6" w:space="0" w:color="auto"/>
              <w:bottom w:val="single" w:sz="6" w:space="0" w:color="auto"/>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51 860,00</w:t>
            </w:r>
          </w:p>
        </w:tc>
        <w:tc>
          <w:tcPr>
            <w:tcW w:w="1559" w:type="dxa"/>
            <w:tcBorders>
              <w:top w:val="single" w:sz="4" w:space="0" w:color="auto"/>
              <w:left w:val="nil"/>
              <w:bottom w:val="single" w:sz="6"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49 890,29</w:t>
            </w:r>
          </w:p>
        </w:tc>
        <w:tc>
          <w:tcPr>
            <w:tcW w:w="1560" w:type="dxa"/>
            <w:tcBorders>
              <w:top w:val="single" w:sz="4" w:space="0" w:color="auto"/>
              <w:left w:val="single" w:sz="6" w:space="0" w:color="auto"/>
              <w:bottom w:val="single" w:sz="6" w:space="0" w:color="auto"/>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49 890,29</w:t>
            </w:r>
          </w:p>
        </w:tc>
        <w:tc>
          <w:tcPr>
            <w:tcW w:w="850" w:type="dxa"/>
            <w:tcBorders>
              <w:top w:val="single" w:sz="4" w:space="0" w:color="auto"/>
              <w:left w:val="nil"/>
              <w:bottom w:val="single" w:sz="6" w:space="0" w:color="auto"/>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616</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 Doplatok k platu a ďalší plat</w:t>
            </w:r>
          </w:p>
        </w:tc>
        <w:tc>
          <w:tcPr>
            <w:tcW w:w="1559" w:type="dxa"/>
            <w:tcBorders>
              <w:top w:val="single" w:sz="6" w:space="0" w:color="auto"/>
              <w:left w:val="single" w:sz="6" w:space="0" w:color="auto"/>
              <w:bottom w:val="nil"/>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121 730,00</w:t>
            </w:r>
          </w:p>
        </w:tc>
        <w:tc>
          <w:tcPr>
            <w:tcW w:w="1559" w:type="dxa"/>
            <w:tcBorders>
              <w:top w:val="single" w:sz="6" w:space="0" w:color="auto"/>
              <w:left w:val="nil"/>
              <w:bottom w:val="nil"/>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98 182,53</w:t>
            </w:r>
          </w:p>
        </w:tc>
        <w:tc>
          <w:tcPr>
            <w:tcW w:w="1560" w:type="dxa"/>
            <w:tcBorders>
              <w:top w:val="single" w:sz="6" w:space="0" w:color="auto"/>
              <w:left w:val="single" w:sz="6" w:space="0" w:color="auto"/>
              <w:bottom w:val="nil"/>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98 181,71</w:t>
            </w:r>
          </w:p>
        </w:tc>
        <w:tc>
          <w:tcPr>
            <w:tcW w:w="850" w:type="dxa"/>
            <w:tcBorders>
              <w:top w:val="single" w:sz="6" w:space="0" w:color="auto"/>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620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Poistné a príspevok do poisťovní</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927A9F"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3 090 577,00</w:t>
            </w:r>
          </w:p>
        </w:tc>
        <w:tc>
          <w:tcPr>
            <w:tcW w:w="1559" w:type="dxa"/>
            <w:tcBorders>
              <w:top w:val="single" w:sz="6" w:space="0" w:color="auto"/>
              <w:left w:val="nil"/>
              <w:bottom w:val="single" w:sz="6"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4 342 506,78</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4 336 754,71</w:t>
            </w:r>
          </w:p>
        </w:tc>
        <w:tc>
          <w:tcPr>
            <w:tcW w:w="850" w:type="dxa"/>
            <w:tcBorders>
              <w:top w:val="single" w:sz="6" w:space="0" w:color="auto"/>
              <w:left w:val="nil"/>
              <w:bottom w:val="single" w:sz="6" w:space="0" w:color="auto"/>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99,87</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621</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Poistné do </w:t>
            </w:r>
            <w:proofErr w:type="spellStart"/>
            <w:r w:rsidRPr="00EB46A4">
              <w:rPr>
                <w:rFonts w:ascii="Times New Roman" w:hAnsi="Times New Roman" w:cs="Times New Roman"/>
                <w:color w:val="000000"/>
                <w:lang w:eastAsia="sk-SK"/>
              </w:rPr>
              <w:t>VšZP</w:t>
            </w:r>
            <w:proofErr w:type="spellEnd"/>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4D64B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656 360,00</w:t>
            </w:r>
          </w:p>
        </w:tc>
        <w:tc>
          <w:tcPr>
            <w:tcW w:w="1559" w:type="dxa"/>
            <w:tcBorders>
              <w:top w:val="single" w:sz="6" w:space="0" w:color="auto"/>
              <w:left w:val="nil"/>
              <w:bottom w:val="single" w:sz="4"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904 451,56</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903 027,76</w:t>
            </w:r>
          </w:p>
        </w:tc>
        <w:tc>
          <w:tcPr>
            <w:tcW w:w="850" w:type="dxa"/>
            <w:tcBorders>
              <w:top w:val="single" w:sz="6" w:space="0" w:color="auto"/>
              <w:left w:val="nil"/>
              <w:bottom w:val="single" w:sz="4" w:space="0" w:color="auto"/>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99,85</w:t>
            </w:r>
          </w:p>
        </w:tc>
      </w:tr>
      <w:tr w:rsidR="00C30AD7" w:rsidRPr="00EB46A4" w:rsidTr="00B96FCA">
        <w:trPr>
          <w:trHeight w:val="290"/>
        </w:trPr>
        <w:tc>
          <w:tcPr>
            <w:tcW w:w="456"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623</w:t>
            </w:r>
          </w:p>
        </w:tc>
        <w:tc>
          <w:tcPr>
            <w:tcW w:w="3260" w:type="dxa"/>
            <w:gridSpan w:val="2"/>
            <w:tcBorders>
              <w:top w:val="single" w:sz="4"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Poistné do ostatných </w:t>
            </w:r>
            <w:proofErr w:type="spellStart"/>
            <w:r w:rsidRPr="00EB46A4">
              <w:rPr>
                <w:rFonts w:ascii="Times New Roman" w:hAnsi="Times New Roman" w:cs="Times New Roman"/>
                <w:color w:val="000000"/>
                <w:lang w:eastAsia="sk-SK"/>
              </w:rPr>
              <w:t>ZP</w:t>
            </w:r>
            <w:proofErr w:type="spellEnd"/>
          </w:p>
        </w:tc>
        <w:tc>
          <w:tcPr>
            <w:tcW w:w="1559" w:type="dxa"/>
            <w:tcBorders>
              <w:top w:val="single" w:sz="4" w:space="0" w:color="auto"/>
              <w:left w:val="single" w:sz="6" w:space="0" w:color="auto"/>
              <w:bottom w:val="nil"/>
              <w:right w:val="single" w:sz="6" w:space="0" w:color="auto"/>
            </w:tcBorders>
          </w:tcPr>
          <w:p w:rsidR="001B3F35" w:rsidRPr="00EB46A4" w:rsidRDefault="004D64B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219 260,00</w:t>
            </w:r>
          </w:p>
        </w:tc>
        <w:tc>
          <w:tcPr>
            <w:tcW w:w="1559" w:type="dxa"/>
            <w:tcBorders>
              <w:top w:val="single" w:sz="4" w:space="0" w:color="auto"/>
              <w:left w:val="nil"/>
              <w:bottom w:val="nil"/>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311 484,71</w:t>
            </w:r>
          </w:p>
        </w:tc>
        <w:tc>
          <w:tcPr>
            <w:tcW w:w="1560" w:type="dxa"/>
            <w:tcBorders>
              <w:top w:val="single" w:sz="4" w:space="0" w:color="auto"/>
              <w:left w:val="single" w:sz="6" w:space="0" w:color="auto"/>
              <w:bottom w:val="nil"/>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311 319,57</w:t>
            </w:r>
          </w:p>
        </w:tc>
        <w:tc>
          <w:tcPr>
            <w:tcW w:w="850" w:type="dxa"/>
            <w:tcBorders>
              <w:top w:val="single" w:sz="4" w:space="0" w:color="auto"/>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99,95</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625</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Poistné do </w:t>
            </w:r>
            <w:proofErr w:type="spellStart"/>
            <w:r w:rsidRPr="00EB46A4">
              <w:rPr>
                <w:rFonts w:ascii="Times New Roman" w:hAnsi="Times New Roman" w:cs="Times New Roman"/>
                <w:color w:val="000000"/>
                <w:lang w:eastAsia="sk-SK"/>
              </w:rPr>
              <w:t>SP</w:t>
            </w:r>
            <w:proofErr w:type="spellEnd"/>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4D64B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2 059 187,00</w:t>
            </w:r>
          </w:p>
        </w:tc>
        <w:tc>
          <w:tcPr>
            <w:tcW w:w="1559" w:type="dxa"/>
            <w:tcBorders>
              <w:top w:val="single" w:sz="6" w:space="0" w:color="auto"/>
              <w:left w:val="nil"/>
              <w:bottom w:val="single" w:sz="6"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2 951 098,81</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2 946 939,88</w:t>
            </w:r>
          </w:p>
        </w:tc>
        <w:tc>
          <w:tcPr>
            <w:tcW w:w="850" w:type="dxa"/>
            <w:tcBorders>
              <w:top w:val="single" w:sz="6" w:space="0" w:color="auto"/>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99,86</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627</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Príspevok do </w:t>
            </w:r>
            <w:proofErr w:type="spellStart"/>
            <w:r w:rsidRPr="00EB46A4">
              <w:rPr>
                <w:rFonts w:ascii="Times New Roman" w:hAnsi="Times New Roman" w:cs="Times New Roman"/>
                <w:color w:val="000000"/>
                <w:lang w:eastAsia="sk-SK"/>
              </w:rPr>
              <w:t>DDP</w:t>
            </w:r>
            <w:proofErr w:type="spellEnd"/>
          </w:p>
        </w:tc>
        <w:tc>
          <w:tcPr>
            <w:tcW w:w="1559" w:type="dxa"/>
            <w:tcBorders>
              <w:top w:val="nil"/>
              <w:left w:val="single" w:sz="6" w:space="0" w:color="auto"/>
              <w:bottom w:val="nil"/>
              <w:right w:val="single" w:sz="6" w:space="0" w:color="auto"/>
            </w:tcBorders>
          </w:tcPr>
          <w:p w:rsidR="001B3F35" w:rsidRPr="00EB46A4" w:rsidRDefault="004D64BF"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155 770,00</w:t>
            </w:r>
          </w:p>
        </w:tc>
        <w:tc>
          <w:tcPr>
            <w:tcW w:w="1559" w:type="dxa"/>
            <w:tcBorders>
              <w:top w:val="nil"/>
              <w:left w:val="nil"/>
              <w:bottom w:val="nil"/>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175 471,70</w:t>
            </w:r>
          </w:p>
        </w:tc>
        <w:tc>
          <w:tcPr>
            <w:tcW w:w="1560" w:type="dxa"/>
            <w:tcBorders>
              <w:top w:val="nil"/>
              <w:left w:val="single" w:sz="6" w:space="0" w:color="auto"/>
              <w:bottom w:val="nil"/>
              <w:right w:val="single" w:sz="6" w:space="0" w:color="auto"/>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175 467,50</w:t>
            </w:r>
          </w:p>
        </w:tc>
        <w:tc>
          <w:tcPr>
            <w:tcW w:w="850" w:type="dxa"/>
            <w:tcBorders>
              <w:top w:val="single" w:sz="6" w:space="0" w:color="auto"/>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630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Tovary a služby</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4D64BF"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22 575 504,00</w:t>
            </w:r>
          </w:p>
        </w:tc>
        <w:tc>
          <w:tcPr>
            <w:tcW w:w="1559" w:type="dxa"/>
            <w:tcBorders>
              <w:top w:val="single" w:sz="6" w:space="0" w:color="auto"/>
              <w:left w:val="nil"/>
              <w:bottom w:val="single" w:sz="6"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12 138 945,46</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433B33" w:rsidP="00E12CA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12</w:t>
            </w:r>
            <w:r w:rsidR="00E12CA5" w:rsidRPr="00EB46A4">
              <w:rPr>
                <w:rFonts w:ascii="Times New Roman" w:hAnsi="Times New Roman" w:cs="Times New Roman"/>
                <w:b/>
                <w:i/>
                <w:lang w:eastAsia="sk-SK"/>
              </w:rPr>
              <w:t> </w:t>
            </w:r>
            <w:r w:rsidRPr="00EB46A4">
              <w:rPr>
                <w:rFonts w:ascii="Times New Roman" w:hAnsi="Times New Roman" w:cs="Times New Roman"/>
                <w:b/>
                <w:i/>
                <w:lang w:eastAsia="sk-SK"/>
              </w:rPr>
              <w:t>0</w:t>
            </w:r>
            <w:r w:rsidR="00E12CA5" w:rsidRPr="00EB46A4">
              <w:rPr>
                <w:rFonts w:ascii="Times New Roman" w:hAnsi="Times New Roman" w:cs="Times New Roman"/>
                <w:b/>
                <w:i/>
                <w:lang w:eastAsia="sk-SK"/>
              </w:rPr>
              <w:t>30 120,43</w:t>
            </w:r>
          </w:p>
        </w:tc>
        <w:tc>
          <w:tcPr>
            <w:tcW w:w="850" w:type="dxa"/>
            <w:tcBorders>
              <w:top w:val="single" w:sz="6" w:space="0" w:color="auto"/>
              <w:left w:val="nil"/>
              <w:bottom w:val="single" w:sz="6" w:space="0" w:color="auto"/>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99,10</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631</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Cestovné náhrady</w:t>
            </w:r>
          </w:p>
        </w:tc>
        <w:tc>
          <w:tcPr>
            <w:tcW w:w="1559" w:type="dxa"/>
            <w:tcBorders>
              <w:top w:val="nil"/>
              <w:left w:val="single" w:sz="6" w:space="0" w:color="auto"/>
              <w:bottom w:val="nil"/>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765 851,00</w:t>
            </w:r>
          </w:p>
        </w:tc>
        <w:tc>
          <w:tcPr>
            <w:tcW w:w="1559" w:type="dxa"/>
            <w:tcBorders>
              <w:top w:val="nil"/>
              <w:left w:val="nil"/>
              <w:bottom w:val="nil"/>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695 006,82</w:t>
            </w:r>
          </w:p>
        </w:tc>
        <w:tc>
          <w:tcPr>
            <w:tcW w:w="1560" w:type="dxa"/>
            <w:tcBorders>
              <w:top w:val="nil"/>
              <w:left w:val="single" w:sz="6" w:space="0" w:color="auto"/>
              <w:bottom w:val="nil"/>
              <w:right w:val="single" w:sz="6" w:space="0" w:color="auto"/>
            </w:tcBorders>
          </w:tcPr>
          <w:p w:rsidR="001B3F35" w:rsidRPr="00EB46A4" w:rsidRDefault="00433B33" w:rsidP="00E12CA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6</w:t>
            </w:r>
            <w:r w:rsidR="00E12CA5" w:rsidRPr="00EB46A4">
              <w:rPr>
                <w:rFonts w:ascii="Times New Roman" w:hAnsi="Times New Roman" w:cs="Times New Roman"/>
                <w:lang w:eastAsia="sk-SK"/>
              </w:rPr>
              <w:t>80 141,19</w:t>
            </w:r>
          </w:p>
        </w:tc>
        <w:tc>
          <w:tcPr>
            <w:tcW w:w="850" w:type="dxa"/>
            <w:tcBorders>
              <w:top w:val="nil"/>
              <w:left w:val="nil"/>
              <w:bottom w:val="nil"/>
              <w:right w:val="single" w:sz="6" w:space="0" w:color="auto"/>
            </w:tcBorders>
          </w:tcPr>
          <w:p w:rsidR="001B3F35" w:rsidRPr="00EB46A4" w:rsidRDefault="00433B33"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97,</w:t>
            </w:r>
            <w:r w:rsidR="00E12CA5" w:rsidRPr="00EB46A4">
              <w:rPr>
                <w:rFonts w:ascii="Times New Roman" w:hAnsi="Times New Roman" w:cs="Times New Roman"/>
                <w:color w:val="000000"/>
                <w:lang w:eastAsia="sk-SK"/>
              </w:rPr>
              <w:t>86</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632</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Energie, voda, komunikácie</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899 162,00</w:t>
            </w:r>
          </w:p>
        </w:tc>
        <w:tc>
          <w:tcPr>
            <w:tcW w:w="1559" w:type="dxa"/>
            <w:tcBorders>
              <w:top w:val="single" w:sz="6" w:space="0" w:color="auto"/>
              <w:left w:val="nil"/>
              <w:bottom w:val="single" w:sz="6" w:space="0" w:color="auto"/>
              <w:right w:val="nil"/>
            </w:tcBorders>
          </w:tcPr>
          <w:p w:rsidR="001B3F35" w:rsidRPr="00EB46A4" w:rsidRDefault="00433B33"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841 212,52</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827 248,50</w:t>
            </w:r>
          </w:p>
        </w:tc>
        <w:tc>
          <w:tcPr>
            <w:tcW w:w="850" w:type="dxa"/>
            <w:tcBorders>
              <w:top w:val="single" w:sz="6" w:space="0" w:color="auto"/>
              <w:left w:val="nil"/>
              <w:bottom w:val="nil"/>
              <w:right w:val="single" w:sz="6" w:space="0" w:color="auto"/>
            </w:tcBorders>
          </w:tcPr>
          <w:p w:rsidR="001B3F35"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98,35</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633</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Materiál</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1 006 895,00</w:t>
            </w:r>
          </w:p>
        </w:tc>
        <w:tc>
          <w:tcPr>
            <w:tcW w:w="1559" w:type="dxa"/>
            <w:tcBorders>
              <w:top w:val="single" w:sz="6" w:space="0" w:color="auto"/>
              <w:left w:val="nil"/>
              <w:bottom w:val="single" w:sz="6" w:space="0" w:color="auto"/>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865 450,18</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858 531,75</w:t>
            </w:r>
          </w:p>
        </w:tc>
        <w:tc>
          <w:tcPr>
            <w:tcW w:w="850" w:type="dxa"/>
            <w:tcBorders>
              <w:top w:val="single" w:sz="6" w:space="0" w:color="auto"/>
              <w:left w:val="nil"/>
              <w:bottom w:val="single" w:sz="6" w:space="0" w:color="auto"/>
              <w:right w:val="single" w:sz="6" w:space="0" w:color="auto"/>
            </w:tcBorders>
          </w:tcPr>
          <w:p w:rsidR="001B3F35"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99,21</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634</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Dopravné</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356 954,00</w:t>
            </w:r>
          </w:p>
        </w:tc>
        <w:tc>
          <w:tcPr>
            <w:tcW w:w="1559" w:type="dxa"/>
            <w:tcBorders>
              <w:top w:val="single" w:sz="6" w:space="0" w:color="auto"/>
              <w:left w:val="nil"/>
              <w:bottom w:val="single" w:sz="4" w:space="0" w:color="auto"/>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296 514,54</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291 154,65</w:t>
            </w:r>
          </w:p>
        </w:tc>
        <w:tc>
          <w:tcPr>
            <w:tcW w:w="850" w:type="dxa"/>
            <w:tcBorders>
              <w:top w:val="single" w:sz="6" w:space="0" w:color="auto"/>
              <w:left w:val="nil"/>
              <w:bottom w:val="single" w:sz="4" w:space="0" w:color="auto"/>
              <w:right w:val="single" w:sz="6" w:space="0" w:color="auto"/>
            </w:tcBorders>
          </w:tcPr>
          <w:p w:rsidR="001B3F35"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98,20</w:t>
            </w:r>
          </w:p>
        </w:tc>
      </w:tr>
      <w:tr w:rsidR="00C30AD7" w:rsidRPr="00EB46A4" w:rsidTr="00B96FCA">
        <w:trPr>
          <w:trHeight w:val="290"/>
        </w:trPr>
        <w:tc>
          <w:tcPr>
            <w:tcW w:w="456" w:type="dxa"/>
            <w:tcBorders>
              <w:top w:val="single" w:sz="4"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635</w:t>
            </w:r>
          </w:p>
        </w:tc>
        <w:tc>
          <w:tcPr>
            <w:tcW w:w="3260" w:type="dxa"/>
            <w:gridSpan w:val="2"/>
            <w:tcBorders>
              <w:top w:val="single" w:sz="4"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Rutinná a štandardná údržba</w:t>
            </w:r>
          </w:p>
        </w:tc>
        <w:tc>
          <w:tcPr>
            <w:tcW w:w="1559" w:type="dxa"/>
            <w:tcBorders>
              <w:top w:val="single" w:sz="4" w:space="0" w:color="auto"/>
              <w:left w:val="single" w:sz="6" w:space="0" w:color="auto"/>
              <w:bottom w:val="nil"/>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623 460,00</w:t>
            </w:r>
          </w:p>
        </w:tc>
        <w:tc>
          <w:tcPr>
            <w:tcW w:w="1559" w:type="dxa"/>
            <w:tcBorders>
              <w:top w:val="single" w:sz="4" w:space="0" w:color="auto"/>
              <w:left w:val="nil"/>
              <w:bottom w:val="nil"/>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460 184,74</w:t>
            </w:r>
          </w:p>
        </w:tc>
        <w:tc>
          <w:tcPr>
            <w:tcW w:w="1560" w:type="dxa"/>
            <w:tcBorders>
              <w:top w:val="single" w:sz="4" w:space="0" w:color="auto"/>
              <w:left w:val="single" w:sz="6" w:space="0" w:color="auto"/>
              <w:bottom w:val="nil"/>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455 314,74</w:t>
            </w:r>
          </w:p>
        </w:tc>
        <w:tc>
          <w:tcPr>
            <w:tcW w:w="850" w:type="dxa"/>
            <w:tcBorders>
              <w:top w:val="single" w:sz="4" w:space="0" w:color="auto"/>
              <w:left w:val="nil"/>
              <w:bottom w:val="nil"/>
              <w:right w:val="single" w:sz="6" w:space="0" w:color="auto"/>
            </w:tcBorders>
          </w:tcPr>
          <w:p w:rsidR="001B3F35"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98,95</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636</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Nájomné za nájom</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275 920,00</w:t>
            </w:r>
          </w:p>
        </w:tc>
        <w:tc>
          <w:tcPr>
            <w:tcW w:w="1559" w:type="dxa"/>
            <w:tcBorders>
              <w:top w:val="single" w:sz="6" w:space="0" w:color="auto"/>
              <w:left w:val="nil"/>
              <w:bottom w:val="single" w:sz="6" w:space="0" w:color="auto"/>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300 758,85</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299 548,73</w:t>
            </w:r>
          </w:p>
        </w:tc>
        <w:tc>
          <w:tcPr>
            <w:tcW w:w="850" w:type="dxa"/>
            <w:tcBorders>
              <w:top w:val="single" w:sz="6" w:space="0" w:color="auto"/>
              <w:left w:val="nil"/>
              <w:bottom w:val="single" w:sz="6" w:space="0" w:color="auto"/>
              <w:right w:val="single" w:sz="6" w:space="0" w:color="auto"/>
            </w:tcBorders>
          </w:tcPr>
          <w:p w:rsidR="001B3F35"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99,60</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637</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Služby</w:t>
            </w:r>
          </w:p>
        </w:tc>
        <w:tc>
          <w:tcPr>
            <w:tcW w:w="1559" w:type="dxa"/>
            <w:tcBorders>
              <w:top w:val="single" w:sz="6" w:space="0" w:color="auto"/>
              <w:left w:val="single" w:sz="6" w:space="0" w:color="auto"/>
              <w:bottom w:val="single" w:sz="4"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18 647 262,00</w:t>
            </w:r>
          </w:p>
        </w:tc>
        <w:tc>
          <w:tcPr>
            <w:tcW w:w="1559" w:type="dxa"/>
            <w:tcBorders>
              <w:top w:val="single" w:sz="6" w:space="0" w:color="auto"/>
              <w:left w:val="nil"/>
              <w:bottom w:val="single" w:sz="4" w:space="0" w:color="auto"/>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8 679 817,81</w:t>
            </w:r>
          </w:p>
        </w:tc>
        <w:tc>
          <w:tcPr>
            <w:tcW w:w="1560" w:type="dxa"/>
            <w:tcBorders>
              <w:top w:val="single" w:sz="6" w:space="0" w:color="auto"/>
              <w:left w:val="single" w:sz="6" w:space="0" w:color="auto"/>
              <w:bottom w:val="single" w:sz="4"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8 618 180,87</w:t>
            </w:r>
          </w:p>
        </w:tc>
        <w:tc>
          <w:tcPr>
            <w:tcW w:w="850" w:type="dxa"/>
            <w:tcBorders>
              <w:top w:val="single" w:sz="6" w:space="0" w:color="auto"/>
              <w:left w:val="nil"/>
              <w:bottom w:val="single" w:sz="4" w:space="0" w:color="auto"/>
              <w:right w:val="single" w:sz="6" w:space="0" w:color="auto"/>
            </w:tcBorders>
          </w:tcPr>
          <w:p w:rsidR="001B3F35"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99,29</w:t>
            </w:r>
          </w:p>
        </w:tc>
      </w:tr>
      <w:tr w:rsidR="00C30AD7" w:rsidRPr="00EB46A4" w:rsidTr="00B96FCA">
        <w:trPr>
          <w:trHeight w:val="290"/>
        </w:trPr>
        <w:tc>
          <w:tcPr>
            <w:tcW w:w="456" w:type="dxa"/>
            <w:tcBorders>
              <w:top w:val="single" w:sz="4"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640</w:t>
            </w:r>
          </w:p>
        </w:tc>
        <w:tc>
          <w:tcPr>
            <w:tcW w:w="3260" w:type="dxa"/>
            <w:gridSpan w:val="2"/>
            <w:tcBorders>
              <w:top w:val="single" w:sz="4"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Bežné transfery</w:t>
            </w:r>
          </w:p>
        </w:tc>
        <w:tc>
          <w:tcPr>
            <w:tcW w:w="1559" w:type="dxa"/>
            <w:tcBorders>
              <w:top w:val="single" w:sz="4"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83 766 533,00</w:t>
            </w:r>
          </w:p>
        </w:tc>
        <w:tc>
          <w:tcPr>
            <w:tcW w:w="1559" w:type="dxa"/>
            <w:tcBorders>
              <w:top w:val="single" w:sz="4" w:space="0" w:color="auto"/>
              <w:left w:val="nil"/>
              <w:bottom w:val="single" w:sz="6" w:space="0" w:color="auto"/>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204 503 131,45</w:t>
            </w:r>
          </w:p>
        </w:tc>
        <w:tc>
          <w:tcPr>
            <w:tcW w:w="1560" w:type="dxa"/>
            <w:tcBorders>
              <w:top w:val="single" w:sz="4" w:space="0" w:color="auto"/>
              <w:left w:val="single" w:sz="6" w:space="0" w:color="auto"/>
              <w:bottom w:val="single" w:sz="6"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204 482 567,33</w:t>
            </w:r>
          </w:p>
        </w:tc>
        <w:tc>
          <w:tcPr>
            <w:tcW w:w="850" w:type="dxa"/>
            <w:tcBorders>
              <w:top w:val="single" w:sz="4" w:space="0" w:color="auto"/>
              <w:left w:val="nil"/>
              <w:bottom w:val="single" w:sz="6" w:space="0" w:color="auto"/>
              <w:right w:val="single" w:sz="6" w:space="0" w:color="auto"/>
            </w:tcBorders>
          </w:tcPr>
          <w:p w:rsidR="000D5BF4" w:rsidRPr="00EB46A4" w:rsidRDefault="000D5BF4"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99,99</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641</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v rámci verejnej správy</w:t>
            </w:r>
          </w:p>
        </w:tc>
        <w:tc>
          <w:tcPr>
            <w:tcW w:w="1559" w:type="dxa"/>
            <w:tcBorders>
              <w:top w:val="nil"/>
              <w:left w:val="single" w:sz="6" w:space="0" w:color="auto"/>
              <w:bottom w:val="nil"/>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75 779 431,00</w:t>
            </w:r>
          </w:p>
        </w:tc>
        <w:tc>
          <w:tcPr>
            <w:tcW w:w="1559" w:type="dxa"/>
            <w:tcBorders>
              <w:top w:val="nil"/>
              <w:left w:val="nil"/>
              <w:bottom w:val="nil"/>
              <w:right w:val="nil"/>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143 801 420,83</w:t>
            </w:r>
          </w:p>
        </w:tc>
        <w:tc>
          <w:tcPr>
            <w:tcW w:w="1560" w:type="dxa"/>
            <w:tcBorders>
              <w:top w:val="nil"/>
              <w:left w:val="single" w:sz="6" w:space="0" w:color="auto"/>
              <w:bottom w:val="single" w:sz="6" w:space="0" w:color="auto"/>
              <w:right w:val="single" w:sz="6" w:space="0" w:color="auto"/>
            </w:tcBorders>
          </w:tcPr>
          <w:p w:rsidR="001B3F35" w:rsidRPr="00EB46A4" w:rsidRDefault="000D5BF4"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143 796 941,77</w:t>
            </w:r>
          </w:p>
        </w:tc>
        <w:tc>
          <w:tcPr>
            <w:tcW w:w="850" w:type="dxa"/>
            <w:tcBorders>
              <w:top w:val="nil"/>
              <w:left w:val="nil"/>
              <w:bottom w:val="single" w:sz="6" w:space="0" w:color="auto"/>
              <w:right w:val="single" w:sz="6" w:space="0" w:color="auto"/>
            </w:tcBorders>
          </w:tcPr>
          <w:p w:rsidR="000D5BF4" w:rsidRPr="00EB46A4" w:rsidRDefault="000D5BF4"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642</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jednotlivcom a</w:t>
            </w:r>
          </w:p>
        </w:tc>
        <w:tc>
          <w:tcPr>
            <w:tcW w:w="1559" w:type="dxa"/>
            <w:tcBorders>
              <w:top w:val="single" w:sz="6"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single" w:sz="6" w:space="0" w:color="auto"/>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nil"/>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nil"/>
              <w:left w:val="nil"/>
              <w:bottom w:val="nil"/>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C30AD7" w:rsidRPr="00EB46A4" w:rsidTr="00B96FCA">
        <w:trPr>
          <w:trHeight w:val="290"/>
        </w:trPr>
        <w:tc>
          <w:tcPr>
            <w:tcW w:w="456" w:type="dxa"/>
            <w:tcBorders>
              <w:top w:val="nil"/>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neziskovým práv. osobám</w:t>
            </w:r>
          </w:p>
        </w:tc>
        <w:tc>
          <w:tcPr>
            <w:tcW w:w="1559" w:type="dxa"/>
            <w:tcBorders>
              <w:top w:val="nil"/>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4 335 427,00</w:t>
            </w:r>
          </w:p>
        </w:tc>
        <w:tc>
          <w:tcPr>
            <w:tcW w:w="1559" w:type="dxa"/>
            <w:tcBorders>
              <w:top w:val="nil"/>
              <w:left w:val="nil"/>
              <w:bottom w:val="single" w:sz="6" w:space="0" w:color="auto"/>
              <w:right w:val="nil"/>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3 089 948,07</w:t>
            </w:r>
          </w:p>
        </w:tc>
        <w:tc>
          <w:tcPr>
            <w:tcW w:w="1560" w:type="dxa"/>
            <w:tcBorders>
              <w:top w:val="nil"/>
              <w:left w:val="single" w:sz="6" w:space="0" w:color="auto"/>
              <w:bottom w:val="single" w:sz="6" w:space="0" w:color="auto"/>
              <w:right w:val="single" w:sz="6" w:space="0" w:color="auto"/>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3 079 846,57</w:t>
            </w:r>
          </w:p>
        </w:tc>
        <w:tc>
          <w:tcPr>
            <w:tcW w:w="850" w:type="dxa"/>
            <w:tcBorders>
              <w:top w:val="nil"/>
              <w:left w:val="nil"/>
              <w:bottom w:val="nil"/>
              <w:right w:val="single" w:sz="6" w:space="0" w:color="auto"/>
            </w:tcBorders>
          </w:tcPr>
          <w:p w:rsidR="001B3F35" w:rsidRPr="00EB46A4" w:rsidRDefault="008A5D5A"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99,68</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644</w:t>
            </w:r>
          </w:p>
        </w:tc>
        <w:tc>
          <w:tcPr>
            <w:tcW w:w="3260" w:type="dxa"/>
            <w:gridSpan w:val="2"/>
            <w:tcBorders>
              <w:top w:val="nil"/>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 xml:space="preserve">Transfery </w:t>
            </w:r>
            <w:proofErr w:type="spellStart"/>
            <w:r w:rsidRPr="00EB46A4">
              <w:rPr>
                <w:rFonts w:ascii="Times New Roman" w:hAnsi="Times New Roman" w:cs="Times New Roman"/>
                <w:color w:val="000000"/>
                <w:lang w:eastAsia="sk-SK"/>
              </w:rPr>
              <w:t>nefinanč</w:t>
            </w:r>
            <w:proofErr w:type="spellEnd"/>
            <w:r w:rsidRPr="00EB46A4">
              <w:rPr>
                <w:rFonts w:ascii="Times New Roman" w:hAnsi="Times New Roman" w:cs="Times New Roman"/>
                <w:color w:val="000000"/>
                <w:lang w:eastAsia="sk-SK"/>
              </w:rPr>
              <w:t>. subjektom a PO</w:t>
            </w:r>
          </w:p>
        </w:tc>
        <w:tc>
          <w:tcPr>
            <w:tcW w:w="1559" w:type="dxa"/>
            <w:tcBorders>
              <w:top w:val="nil"/>
              <w:left w:val="single" w:sz="6" w:space="0" w:color="auto"/>
              <w:bottom w:val="nil"/>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2 391 000,00</w:t>
            </w:r>
          </w:p>
        </w:tc>
        <w:tc>
          <w:tcPr>
            <w:tcW w:w="1559" w:type="dxa"/>
            <w:tcBorders>
              <w:top w:val="nil"/>
              <w:left w:val="nil"/>
              <w:bottom w:val="nil"/>
              <w:right w:val="nil"/>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56 296 534,87</w:t>
            </w:r>
          </w:p>
        </w:tc>
        <w:tc>
          <w:tcPr>
            <w:tcW w:w="1560" w:type="dxa"/>
            <w:tcBorders>
              <w:top w:val="nil"/>
              <w:left w:val="single" w:sz="6" w:space="0" w:color="auto"/>
              <w:bottom w:val="nil"/>
              <w:right w:val="single" w:sz="6" w:space="0" w:color="auto"/>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56 294 237,88</w:t>
            </w:r>
          </w:p>
        </w:tc>
        <w:tc>
          <w:tcPr>
            <w:tcW w:w="850" w:type="dxa"/>
            <w:tcBorders>
              <w:top w:val="single" w:sz="6" w:space="0" w:color="auto"/>
              <w:left w:val="nil"/>
              <w:bottom w:val="nil"/>
              <w:right w:val="single" w:sz="6" w:space="0" w:color="auto"/>
            </w:tcBorders>
          </w:tcPr>
          <w:p w:rsidR="001B3F35" w:rsidRPr="00EB46A4" w:rsidRDefault="008A5D5A"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649</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do zahraničia</w:t>
            </w:r>
          </w:p>
        </w:tc>
        <w:tc>
          <w:tcPr>
            <w:tcW w:w="1559" w:type="dxa"/>
            <w:tcBorders>
              <w:top w:val="single" w:sz="6" w:space="0" w:color="auto"/>
              <w:left w:val="single" w:sz="6" w:space="0" w:color="auto"/>
              <w:bottom w:val="nil"/>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1 260 675,00</w:t>
            </w:r>
          </w:p>
        </w:tc>
        <w:tc>
          <w:tcPr>
            <w:tcW w:w="1559" w:type="dxa"/>
            <w:tcBorders>
              <w:top w:val="single" w:sz="6" w:space="0" w:color="auto"/>
              <w:left w:val="nil"/>
              <w:bottom w:val="nil"/>
              <w:right w:val="nil"/>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1 315 227,68</w:t>
            </w:r>
          </w:p>
        </w:tc>
        <w:tc>
          <w:tcPr>
            <w:tcW w:w="1560" w:type="dxa"/>
            <w:tcBorders>
              <w:top w:val="single" w:sz="6" w:space="0" w:color="auto"/>
              <w:left w:val="single" w:sz="6" w:space="0" w:color="auto"/>
              <w:bottom w:val="nil"/>
              <w:right w:val="single" w:sz="6" w:space="0" w:color="auto"/>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1 311 541,11</w:t>
            </w:r>
          </w:p>
        </w:tc>
        <w:tc>
          <w:tcPr>
            <w:tcW w:w="850" w:type="dxa"/>
            <w:tcBorders>
              <w:top w:val="single" w:sz="6" w:space="0" w:color="auto"/>
              <w:left w:val="nil"/>
              <w:bottom w:val="nil"/>
              <w:right w:val="single" w:sz="6" w:space="0" w:color="auto"/>
            </w:tcBorders>
          </w:tcPr>
          <w:p w:rsidR="001B3F35" w:rsidRPr="00EB46A4" w:rsidRDefault="008A5D5A"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99,72</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710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Obstarávanie kapitálových aktív</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1 594 200,00</w:t>
            </w:r>
          </w:p>
        </w:tc>
        <w:tc>
          <w:tcPr>
            <w:tcW w:w="1559" w:type="dxa"/>
            <w:tcBorders>
              <w:top w:val="single" w:sz="6" w:space="0" w:color="auto"/>
              <w:left w:val="nil"/>
              <w:bottom w:val="single" w:sz="6" w:space="0" w:color="auto"/>
              <w:right w:val="nil"/>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5 888 832,68</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8A5D5A"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5 888 238,55</w:t>
            </w:r>
          </w:p>
        </w:tc>
        <w:tc>
          <w:tcPr>
            <w:tcW w:w="850" w:type="dxa"/>
            <w:tcBorders>
              <w:top w:val="single" w:sz="6" w:space="0" w:color="auto"/>
              <w:left w:val="nil"/>
              <w:bottom w:val="single" w:sz="6" w:space="0" w:color="auto"/>
              <w:right w:val="single" w:sz="6" w:space="0" w:color="auto"/>
            </w:tcBorders>
          </w:tcPr>
          <w:p w:rsidR="001B3F35" w:rsidRPr="00EB46A4" w:rsidRDefault="008A5D5A"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99,99</w:t>
            </w:r>
          </w:p>
        </w:tc>
      </w:tr>
      <w:tr w:rsidR="00C30AD7" w:rsidRPr="00EB46A4" w:rsidTr="00B96FCA">
        <w:trPr>
          <w:trHeight w:val="29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711</w:t>
            </w:r>
          </w:p>
        </w:tc>
        <w:tc>
          <w:tcPr>
            <w:tcW w:w="3260" w:type="dxa"/>
            <w:gridSpan w:val="2"/>
            <w:tcBorders>
              <w:top w:val="nil"/>
              <w:left w:val="nil"/>
              <w:bottom w:val="nil"/>
              <w:right w:val="nil"/>
            </w:tcBorders>
          </w:tcPr>
          <w:p w:rsidR="001B3F35" w:rsidRPr="00EB46A4" w:rsidRDefault="001B3F35" w:rsidP="00B96FCA">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Nákup pozemkov a</w:t>
            </w:r>
            <w:r w:rsidR="00B96FCA">
              <w:rPr>
                <w:rFonts w:ascii="Times New Roman" w:hAnsi="Times New Roman" w:cs="Times New Roman"/>
                <w:color w:val="000000"/>
                <w:lang w:eastAsia="sk-SK"/>
              </w:rPr>
              <w:t> </w:t>
            </w:r>
            <w:r w:rsidRPr="00EB46A4">
              <w:rPr>
                <w:rFonts w:ascii="Times New Roman" w:hAnsi="Times New Roman" w:cs="Times New Roman"/>
                <w:color w:val="000000"/>
                <w:lang w:eastAsia="sk-SK"/>
              </w:rPr>
              <w:t>nehmot</w:t>
            </w:r>
            <w:r w:rsidR="00B96FCA">
              <w:rPr>
                <w:rFonts w:ascii="Times New Roman" w:hAnsi="Times New Roman" w:cs="Times New Roman"/>
                <w:color w:val="000000"/>
                <w:lang w:eastAsia="sk-SK"/>
              </w:rPr>
              <w:t>ných</w:t>
            </w:r>
          </w:p>
        </w:tc>
        <w:tc>
          <w:tcPr>
            <w:tcW w:w="1559" w:type="dxa"/>
            <w:tcBorders>
              <w:top w:val="nil"/>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nil"/>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nil"/>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nil"/>
              <w:left w:val="nil"/>
              <w:bottom w:val="nil"/>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C30AD7" w:rsidRPr="00EB46A4" w:rsidTr="00B96FCA">
        <w:trPr>
          <w:trHeight w:val="80"/>
        </w:trPr>
        <w:tc>
          <w:tcPr>
            <w:tcW w:w="456" w:type="dxa"/>
            <w:tcBorders>
              <w:top w:val="nil"/>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nil"/>
              <w:right w:val="nil"/>
            </w:tcBorders>
          </w:tcPr>
          <w:p w:rsidR="001B3F35" w:rsidRPr="00EB46A4" w:rsidRDefault="00B96FCA">
            <w:pPr>
              <w:autoSpaceDE w:val="0"/>
              <w:autoSpaceDN w:val="0"/>
              <w:adjustRightInd w:val="0"/>
              <w:spacing w:after="0" w:line="240" w:lineRule="auto"/>
              <w:rPr>
                <w:rFonts w:ascii="Times New Roman" w:hAnsi="Times New Roman" w:cs="Times New Roman"/>
                <w:color w:val="000000"/>
                <w:lang w:eastAsia="sk-SK"/>
              </w:rPr>
            </w:pPr>
            <w:r>
              <w:rPr>
                <w:rFonts w:ascii="Times New Roman" w:hAnsi="Times New Roman" w:cs="Times New Roman"/>
                <w:color w:val="000000"/>
                <w:lang w:eastAsia="sk-SK"/>
              </w:rPr>
              <w:t>aktív</w:t>
            </w:r>
          </w:p>
        </w:tc>
        <w:tc>
          <w:tcPr>
            <w:tcW w:w="1559" w:type="dxa"/>
            <w:tcBorders>
              <w:top w:val="nil"/>
              <w:left w:val="single" w:sz="6" w:space="0" w:color="auto"/>
              <w:bottom w:val="nil"/>
              <w:right w:val="single" w:sz="6" w:space="0" w:color="auto"/>
            </w:tcBorders>
          </w:tcPr>
          <w:p w:rsidR="001B3F35" w:rsidRPr="00EB46A4" w:rsidRDefault="00C16BB8" w:rsidP="00B96FCA">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202 500,00</w:t>
            </w:r>
          </w:p>
        </w:tc>
        <w:tc>
          <w:tcPr>
            <w:tcW w:w="1559" w:type="dxa"/>
            <w:tcBorders>
              <w:top w:val="nil"/>
              <w:left w:val="nil"/>
              <w:bottom w:val="nil"/>
              <w:right w:val="nil"/>
            </w:tcBorders>
          </w:tcPr>
          <w:p w:rsidR="001B3F35" w:rsidRPr="00EB46A4" w:rsidRDefault="00E902C1" w:rsidP="00B96FCA">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3 325 915,20</w:t>
            </w:r>
          </w:p>
        </w:tc>
        <w:tc>
          <w:tcPr>
            <w:tcW w:w="1560" w:type="dxa"/>
            <w:tcBorders>
              <w:top w:val="nil"/>
              <w:left w:val="single" w:sz="6" w:space="0" w:color="auto"/>
              <w:bottom w:val="nil"/>
              <w:right w:val="single" w:sz="6" w:space="0" w:color="auto"/>
            </w:tcBorders>
          </w:tcPr>
          <w:p w:rsidR="001B3F35" w:rsidRPr="00EB46A4" w:rsidRDefault="00B96FCA" w:rsidP="00B96FCA">
            <w:pPr>
              <w:autoSpaceDE w:val="0"/>
              <w:autoSpaceDN w:val="0"/>
              <w:adjustRightInd w:val="0"/>
              <w:spacing w:after="0" w:line="240" w:lineRule="auto"/>
              <w:jc w:val="right"/>
              <w:rPr>
                <w:rFonts w:ascii="Times New Roman" w:hAnsi="Times New Roman" w:cs="Times New Roman"/>
                <w:lang w:eastAsia="sk-SK"/>
              </w:rPr>
            </w:pPr>
            <w:r>
              <w:rPr>
                <w:rFonts w:ascii="Times New Roman" w:hAnsi="Times New Roman" w:cs="Times New Roman"/>
                <w:lang w:eastAsia="sk-SK"/>
              </w:rPr>
              <w:t>3 325 545,03</w:t>
            </w:r>
          </w:p>
        </w:tc>
        <w:tc>
          <w:tcPr>
            <w:tcW w:w="850" w:type="dxa"/>
            <w:tcBorders>
              <w:top w:val="nil"/>
              <w:left w:val="nil"/>
              <w:bottom w:val="nil"/>
              <w:right w:val="single" w:sz="6" w:space="0" w:color="auto"/>
            </w:tcBorders>
          </w:tcPr>
          <w:p w:rsidR="001B3F35"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nil"/>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713</w:t>
            </w:r>
          </w:p>
        </w:tc>
        <w:tc>
          <w:tcPr>
            <w:tcW w:w="3260" w:type="dxa"/>
            <w:gridSpan w:val="2"/>
            <w:tcBorders>
              <w:top w:val="single" w:sz="6" w:space="0" w:color="auto"/>
              <w:left w:val="nil"/>
              <w:bottom w:val="nil"/>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Nákup strojov, prístrojov,</w:t>
            </w:r>
          </w:p>
        </w:tc>
        <w:tc>
          <w:tcPr>
            <w:tcW w:w="1559" w:type="dxa"/>
            <w:tcBorders>
              <w:top w:val="single" w:sz="6"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single" w:sz="6" w:space="0" w:color="auto"/>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single" w:sz="6"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single" w:sz="6" w:space="0" w:color="auto"/>
              <w:left w:val="nil"/>
              <w:bottom w:val="nil"/>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C30AD7" w:rsidRPr="00EB46A4" w:rsidTr="00B96FCA">
        <w:trPr>
          <w:trHeight w:val="290"/>
        </w:trPr>
        <w:tc>
          <w:tcPr>
            <w:tcW w:w="456" w:type="dxa"/>
            <w:tcBorders>
              <w:top w:val="nil"/>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zariadení, techniky alebo náradia</w:t>
            </w:r>
          </w:p>
        </w:tc>
        <w:tc>
          <w:tcPr>
            <w:tcW w:w="1559" w:type="dxa"/>
            <w:tcBorders>
              <w:top w:val="nil"/>
              <w:left w:val="single" w:sz="6" w:space="0" w:color="auto"/>
              <w:bottom w:val="single" w:sz="4"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250 000,00</w:t>
            </w:r>
          </w:p>
        </w:tc>
        <w:tc>
          <w:tcPr>
            <w:tcW w:w="1559" w:type="dxa"/>
            <w:tcBorders>
              <w:top w:val="nil"/>
              <w:left w:val="nil"/>
              <w:bottom w:val="single" w:sz="4" w:space="0" w:color="auto"/>
              <w:right w:val="nil"/>
            </w:tcBorders>
          </w:tcPr>
          <w:p w:rsidR="001B3F35"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934 243,49</w:t>
            </w:r>
          </w:p>
        </w:tc>
        <w:tc>
          <w:tcPr>
            <w:tcW w:w="1560" w:type="dxa"/>
            <w:tcBorders>
              <w:top w:val="nil"/>
              <w:left w:val="single" w:sz="6" w:space="0" w:color="auto"/>
              <w:bottom w:val="single" w:sz="4" w:space="0" w:color="auto"/>
              <w:right w:val="single" w:sz="6" w:space="0" w:color="auto"/>
            </w:tcBorders>
          </w:tcPr>
          <w:p w:rsidR="001B3F35"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934 066,49</w:t>
            </w:r>
          </w:p>
        </w:tc>
        <w:tc>
          <w:tcPr>
            <w:tcW w:w="850" w:type="dxa"/>
            <w:tcBorders>
              <w:top w:val="nil"/>
              <w:left w:val="nil"/>
              <w:bottom w:val="single" w:sz="4" w:space="0" w:color="auto"/>
              <w:right w:val="single" w:sz="6" w:space="0" w:color="auto"/>
            </w:tcBorders>
          </w:tcPr>
          <w:p w:rsidR="001B3F35"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4"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714</w:t>
            </w:r>
          </w:p>
        </w:tc>
        <w:tc>
          <w:tcPr>
            <w:tcW w:w="3260" w:type="dxa"/>
            <w:gridSpan w:val="2"/>
            <w:tcBorders>
              <w:top w:val="single" w:sz="4"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Nákup dopravných prostriedkov</w:t>
            </w:r>
          </w:p>
        </w:tc>
        <w:tc>
          <w:tcPr>
            <w:tcW w:w="1559" w:type="dxa"/>
            <w:tcBorders>
              <w:top w:val="single" w:sz="4"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25 000,00</w:t>
            </w:r>
          </w:p>
        </w:tc>
        <w:tc>
          <w:tcPr>
            <w:tcW w:w="1559" w:type="dxa"/>
            <w:tcBorders>
              <w:top w:val="single" w:sz="4" w:space="0" w:color="auto"/>
              <w:left w:val="nil"/>
              <w:bottom w:val="single" w:sz="6" w:space="0" w:color="auto"/>
              <w:right w:val="nil"/>
            </w:tcBorders>
          </w:tcPr>
          <w:p w:rsidR="001B3F35"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162 872,60</w:t>
            </w:r>
          </w:p>
        </w:tc>
        <w:tc>
          <w:tcPr>
            <w:tcW w:w="1560" w:type="dxa"/>
            <w:tcBorders>
              <w:top w:val="single" w:sz="4" w:space="0" w:color="auto"/>
              <w:left w:val="single" w:sz="6" w:space="0" w:color="auto"/>
              <w:bottom w:val="single" w:sz="6" w:space="0" w:color="auto"/>
              <w:right w:val="single" w:sz="6" w:space="0" w:color="auto"/>
            </w:tcBorders>
          </w:tcPr>
          <w:p w:rsidR="001B3F35"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162 850,96</w:t>
            </w:r>
          </w:p>
        </w:tc>
        <w:tc>
          <w:tcPr>
            <w:tcW w:w="850" w:type="dxa"/>
            <w:tcBorders>
              <w:top w:val="single" w:sz="4" w:space="0" w:color="auto"/>
              <w:left w:val="nil"/>
              <w:bottom w:val="single" w:sz="6" w:space="0" w:color="auto"/>
              <w:right w:val="single" w:sz="6" w:space="0" w:color="auto"/>
            </w:tcBorders>
          </w:tcPr>
          <w:p w:rsidR="001B3F35"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6" w:space="0" w:color="auto"/>
              <w:left w:val="single" w:sz="6" w:space="0" w:color="auto"/>
              <w:bottom w:val="single" w:sz="4"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716</w:t>
            </w:r>
          </w:p>
        </w:tc>
        <w:tc>
          <w:tcPr>
            <w:tcW w:w="3260" w:type="dxa"/>
            <w:gridSpan w:val="2"/>
            <w:tcBorders>
              <w:top w:val="single" w:sz="6" w:space="0" w:color="auto"/>
              <w:left w:val="nil"/>
              <w:bottom w:val="single" w:sz="4"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Prípravná a projektová dokumentácia</w:t>
            </w:r>
          </w:p>
        </w:tc>
        <w:tc>
          <w:tcPr>
            <w:tcW w:w="1559" w:type="dxa"/>
            <w:tcBorders>
              <w:top w:val="single" w:sz="6" w:space="0" w:color="auto"/>
              <w:left w:val="single" w:sz="6" w:space="0" w:color="auto"/>
              <w:bottom w:val="single" w:sz="4" w:space="0" w:color="auto"/>
              <w:right w:val="single" w:sz="6" w:space="0" w:color="auto"/>
            </w:tcBorders>
          </w:tcPr>
          <w:p w:rsidR="004B0FBF" w:rsidRPr="00EB46A4" w:rsidRDefault="004B0FBF" w:rsidP="00936015">
            <w:pPr>
              <w:autoSpaceDE w:val="0"/>
              <w:autoSpaceDN w:val="0"/>
              <w:adjustRightInd w:val="0"/>
              <w:spacing w:after="0" w:line="240" w:lineRule="auto"/>
              <w:jc w:val="right"/>
              <w:rPr>
                <w:rFonts w:ascii="Times New Roman" w:hAnsi="Times New Roman" w:cs="Times New Roman"/>
                <w:color w:val="000000"/>
                <w:lang w:eastAsia="sk-SK"/>
              </w:rPr>
            </w:pPr>
          </w:p>
          <w:p w:rsidR="001B3F35" w:rsidRPr="00EB46A4" w:rsidRDefault="00C16BB8"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50 000,00</w:t>
            </w:r>
          </w:p>
        </w:tc>
        <w:tc>
          <w:tcPr>
            <w:tcW w:w="1559" w:type="dxa"/>
            <w:tcBorders>
              <w:top w:val="single" w:sz="6" w:space="0" w:color="auto"/>
              <w:left w:val="nil"/>
              <w:bottom w:val="single" w:sz="4" w:space="0" w:color="auto"/>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45 466,00</w:t>
            </w:r>
          </w:p>
        </w:tc>
        <w:tc>
          <w:tcPr>
            <w:tcW w:w="1560" w:type="dxa"/>
            <w:tcBorders>
              <w:top w:val="single" w:sz="6" w:space="0" w:color="auto"/>
              <w:left w:val="single" w:sz="6" w:space="0" w:color="auto"/>
              <w:bottom w:val="single" w:sz="4" w:space="0" w:color="auto"/>
              <w:right w:val="single" w:sz="6" w:space="0" w:color="auto"/>
            </w:tcBorders>
          </w:tcPr>
          <w:p w:rsidR="00990C41" w:rsidRPr="00EB46A4" w:rsidRDefault="00990C41"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45 466,00</w:t>
            </w:r>
          </w:p>
        </w:tc>
        <w:tc>
          <w:tcPr>
            <w:tcW w:w="850" w:type="dxa"/>
            <w:tcBorders>
              <w:top w:val="single" w:sz="6" w:space="0" w:color="auto"/>
              <w:left w:val="nil"/>
              <w:bottom w:val="single" w:sz="4" w:space="0" w:color="auto"/>
              <w:right w:val="single" w:sz="6" w:space="0" w:color="auto"/>
            </w:tcBorders>
          </w:tcPr>
          <w:p w:rsidR="00990C41" w:rsidRPr="00EB46A4" w:rsidRDefault="00990C41" w:rsidP="00B96FCA">
            <w:pPr>
              <w:autoSpaceDE w:val="0"/>
              <w:autoSpaceDN w:val="0"/>
              <w:adjustRightInd w:val="0"/>
              <w:spacing w:after="0" w:line="240" w:lineRule="auto"/>
              <w:jc w:val="center"/>
              <w:rPr>
                <w:rFonts w:ascii="Times New Roman" w:hAnsi="Times New Roman" w:cs="Times New Roman"/>
                <w:color w:val="000000"/>
                <w:lang w:eastAsia="sk-SK"/>
              </w:rPr>
            </w:pPr>
          </w:p>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100,00</w:t>
            </w:r>
          </w:p>
        </w:tc>
      </w:tr>
      <w:tr w:rsidR="00E902C1" w:rsidRPr="00EB46A4" w:rsidTr="00B96FCA">
        <w:trPr>
          <w:trHeight w:val="290"/>
        </w:trPr>
        <w:tc>
          <w:tcPr>
            <w:tcW w:w="456" w:type="dxa"/>
            <w:tcBorders>
              <w:top w:val="single" w:sz="4" w:space="0" w:color="auto"/>
              <w:left w:val="single" w:sz="6" w:space="0" w:color="auto"/>
              <w:bottom w:val="nil"/>
              <w:right w:val="single" w:sz="6" w:space="0" w:color="auto"/>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717</w:t>
            </w:r>
          </w:p>
        </w:tc>
        <w:tc>
          <w:tcPr>
            <w:tcW w:w="3260" w:type="dxa"/>
            <w:gridSpan w:val="2"/>
            <w:tcBorders>
              <w:top w:val="single" w:sz="4" w:space="0" w:color="auto"/>
              <w:left w:val="nil"/>
              <w:bottom w:val="nil"/>
              <w:right w:val="nil"/>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Realizácia stavieb a ich</w:t>
            </w:r>
          </w:p>
        </w:tc>
        <w:tc>
          <w:tcPr>
            <w:tcW w:w="1559" w:type="dxa"/>
            <w:tcBorders>
              <w:top w:val="single" w:sz="4" w:space="0" w:color="auto"/>
              <w:left w:val="single" w:sz="6" w:space="0" w:color="auto"/>
              <w:bottom w:val="nil"/>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59" w:type="dxa"/>
            <w:tcBorders>
              <w:top w:val="single" w:sz="4" w:space="0" w:color="auto"/>
              <w:left w:val="nil"/>
              <w:bottom w:val="nil"/>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1560" w:type="dxa"/>
            <w:tcBorders>
              <w:top w:val="single" w:sz="4" w:space="0" w:color="auto"/>
              <w:left w:val="single" w:sz="6" w:space="0" w:color="auto"/>
              <w:bottom w:val="nil"/>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p>
        </w:tc>
        <w:tc>
          <w:tcPr>
            <w:tcW w:w="850" w:type="dxa"/>
            <w:tcBorders>
              <w:top w:val="single" w:sz="4" w:space="0" w:color="auto"/>
              <w:left w:val="nil"/>
              <w:bottom w:val="nil"/>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p>
        </w:tc>
      </w:tr>
      <w:tr w:rsidR="00E902C1" w:rsidRPr="00EB46A4" w:rsidTr="00B96FCA">
        <w:trPr>
          <w:trHeight w:val="290"/>
        </w:trPr>
        <w:tc>
          <w:tcPr>
            <w:tcW w:w="456" w:type="dxa"/>
            <w:tcBorders>
              <w:top w:val="nil"/>
              <w:left w:val="single" w:sz="6" w:space="0" w:color="auto"/>
              <w:bottom w:val="nil"/>
              <w:right w:val="single" w:sz="6" w:space="0" w:color="auto"/>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p>
        </w:tc>
        <w:tc>
          <w:tcPr>
            <w:tcW w:w="3260" w:type="dxa"/>
            <w:gridSpan w:val="2"/>
            <w:tcBorders>
              <w:top w:val="nil"/>
              <w:left w:val="nil"/>
              <w:bottom w:val="nil"/>
              <w:right w:val="nil"/>
            </w:tcBorders>
          </w:tcPr>
          <w:p w:rsidR="00E902C1" w:rsidRPr="00EB46A4" w:rsidRDefault="00E902C1" w:rsidP="00FF1AC7">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technického zhodnotenia</w:t>
            </w:r>
          </w:p>
        </w:tc>
        <w:tc>
          <w:tcPr>
            <w:tcW w:w="1559" w:type="dxa"/>
            <w:tcBorders>
              <w:top w:val="nil"/>
              <w:left w:val="single" w:sz="6" w:space="0" w:color="auto"/>
              <w:bottom w:val="nil"/>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1 064 700,00</w:t>
            </w:r>
          </w:p>
        </w:tc>
        <w:tc>
          <w:tcPr>
            <w:tcW w:w="1559" w:type="dxa"/>
            <w:tcBorders>
              <w:top w:val="nil"/>
              <w:left w:val="nil"/>
              <w:bottom w:val="nil"/>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1 407 953,84</w:t>
            </w:r>
          </w:p>
        </w:tc>
        <w:tc>
          <w:tcPr>
            <w:tcW w:w="1560" w:type="dxa"/>
            <w:tcBorders>
              <w:top w:val="nil"/>
              <w:left w:val="single" w:sz="6" w:space="0" w:color="auto"/>
              <w:bottom w:val="nil"/>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1 407 928,52</w:t>
            </w:r>
          </w:p>
        </w:tc>
        <w:tc>
          <w:tcPr>
            <w:tcW w:w="850" w:type="dxa"/>
            <w:tcBorders>
              <w:top w:val="nil"/>
              <w:left w:val="nil"/>
              <w:bottom w:val="nil"/>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99,99</w:t>
            </w:r>
          </w:p>
        </w:tc>
      </w:tr>
      <w:tr w:rsidR="00C30AD7" w:rsidRPr="00EB46A4" w:rsidTr="00B96FCA">
        <w:trPr>
          <w:trHeight w:val="290"/>
        </w:trPr>
        <w:tc>
          <w:tcPr>
            <w:tcW w:w="456" w:type="dxa"/>
            <w:tcBorders>
              <w:top w:val="single" w:sz="4" w:space="0" w:color="auto"/>
              <w:left w:val="single" w:sz="6" w:space="0" w:color="auto"/>
              <w:bottom w:val="nil"/>
              <w:right w:val="single" w:sz="6" w:space="0" w:color="auto"/>
            </w:tcBorders>
          </w:tcPr>
          <w:p w:rsidR="001B3F35" w:rsidRPr="00EB46A4" w:rsidRDefault="001B3F35" w:rsidP="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71</w:t>
            </w:r>
            <w:r w:rsidR="00E902C1" w:rsidRPr="00EB46A4">
              <w:rPr>
                <w:rFonts w:ascii="Times New Roman" w:hAnsi="Times New Roman" w:cs="Times New Roman"/>
                <w:color w:val="000000"/>
                <w:lang w:eastAsia="sk-SK"/>
              </w:rPr>
              <w:t>8</w:t>
            </w:r>
          </w:p>
        </w:tc>
        <w:tc>
          <w:tcPr>
            <w:tcW w:w="3260" w:type="dxa"/>
            <w:gridSpan w:val="2"/>
            <w:tcBorders>
              <w:top w:val="single" w:sz="4" w:space="0" w:color="auto"/>
              <w:left w:val="nil"/>
              <w:bottom w:val="nil"/>
              <w:right w:val="nil"/>
            </w:tcBorders>
          </w:tcPr>
          <w:p w:rsidR="001B3F35" w:rsidRPr="00EB46A4" w:rsidRDefault="001B3F35" w:rsidP="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Re</w:t>
            </w:r>
            <w:r w:rsidR="00E902C1" w:rsidRPr="00EB46A4">
              <w:rPr>
                <w:rFonts w:ascii="Times New Roman" w:hAnsi="Times New Roman" w:cs="Times New Roman"/>
                <w:color w:val="000000"/>
                <w:lang w:eastAsia="sk-SK"/>
              </w:rPr>
              <w:t>konštrukcia a modernizácia strojov a zariadení</w:t>
            </w:r>
          </w:p>
        </w:tc>
        <w:tc>
          <w:tcPr>
            <w:tcW w:w="1559" w:type="dxa"/>
            <w:tcBorders>
              <w:top w:val="single" w:sz="4"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r w:rsidRPr="00EB46A4">
              <w:rPr>
                <w:rFonts w:ascii="Times New Roman" w:hAnsi="Times New Roman" w:cs="Times New Roman"/>
                <w:color w:val="000000"/>
                <w:lang w:eastAsia="sk-SK"/>
              </w:rPr>
              <w:t>2 000,00</w:t>
            </w:r>
          </w:p>
        </w:tc>
        <w:tc>
          <w:tcPr>
            <w:tcW w:w="1559" w:type="dxa"/>
            <w:tcBorders>
              <w:top w:val="single" w:sz="4" w:space="0" w:color="auto"/>
              <w:left w:val="nil"/>
              <w:bottom w:val="nil"/>
              <w:right w:val="nil"/>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r w:rsidRPr="00EB46A4">
              <w:rPr>
                <w:rFonts w:ascii="Times New Roman" w:hAnsi="Times New Roman" w:cs="Times New Roman"/>
                <w:color w:val="000000"/>
                <w:lang w:eastAsia="sk-SK"/>
              </w:rPr>
              <w:t>12 381,55</w:t>
            </w:r>
          </w:p>
        </w:tc>
        <w:tc>
          <w:tcPr>
            <w:tcW w:w="1560" w:type="dxa"/>
            <w:tcBorders>
              <w:top w:val="single" w:sz="4" w:space="0" w:color="auto"/>
              <w:left w:val="single" w:sz="6" w:space="0" w:color="auto"/>
              <w:bottom w:val="nil"/>
              <w:right w:val="single" w:sz="6" w:space="0" w:color="auto"/>
            </w:tcBorders>
          </w:tcPr>
          <w:p w:rsidR="001B3F35" w:rsidRPr="00EB46A4" w:rsidRDefault="001B3F35" w:rsidP="00936015">
            <w:pPr>
              <w:autoSpaceDE w:val="0"/>
              <w:autoSpaceDN w:val="0"/>
              <w:adjustRightInd w:val="0"/>
              <w:spacing w:after="0" w:line="240" w:lineRule="auto"/>
              <w:jc w:val="right"/>
              <w:rPr>
                <w:rFonts w:ascii="Times New Roman" w:hAnsi="Times New Roman" w:cs="Times New Roman"/>
                <w:color w:val="000000"/>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color w:val="000000"/>
                <w:lang w:eastAsia="sk-SK"/>
              </w:rPr>
            </w:pPr>
            <w:r w:rsidRPr="00EB46A4">
              <w:rPr>
                <w:rFonts w:ascii="Times New Roman" w:hAnsi="Times New Roman" w:cs="Times New Roman"/>
                <w:color w:val="000000"/>
                <w:lang w:eastAsia="sk-SK"/>
              </w:rPr>
              <w:t>12 381,55</w:t>
            </w:r>
          </w:p>
        </w:tc>
        <w:tc>
          <w:tcPr>
            <w:tcW w:w="850" w:type="dxa"/>
            <w:tcBorders>
              <w:top w:val="single" w:sz="4" w:space="0" w:color="auto"/>
              <w:left w:val="nil"/>
              <w:bottom w:val="nil"/>
              <w:right w:val="single" w:sz="6" w:space="0" w:color="auto"/>
            </w:tcBorders>
          </w:tcPr>
          <w:p w:rsidR="001B3F35" w:rsidRPr="00EB46A4" w:rsidRDefault="001B3F35" w:rsidP="00B96FCA">
            <w:pPr>
              <w:autoSpaceDE w:val="0"/>
              <w:autoSpaceDN w:val="0"/>
              <w:adjustRightInd w:val="0"/>
              <w:spacing w:after="0" w:line="240" w:lineRule="auto"/>
              <w:jc w:val="center"/>
              <w:rPr>
                <w:rFonts w:ascii="Times New Roman" w:hAnsi="Times New Roman" w:cs="Times New Roman"/>
                <w:color w:val="000000"/>
                <w:lang w:eastAsia="sk-SK"/>
              </w:rPr>
            </w:pPr>
          </w:p>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100,00</w:t>
            </w:r>
          </w:p>
        </w:tc>
      </w:tr>
      <w:tr w:rsidR="00C30AD7" w:rsidRPr="00EB46A4" w:rsidTr="00B96FCA">
        <w:trPr>
          <w:trHeight w:val="290"/>
        </w:trPr>
        <w:tc>
          <w:tcPr>
            <w:tcW w:w="456" w:type="dxa"/>
            <w:tcBorders>
              <w:top w:val="single" w:sz="6" w:space="0" w:color="auto"/>
              <w:left w:val="single" w:sz="6" w:space="0" w:color="auto"/>
              <w:bottom w:val="single" w:sz="6" w:space="0" w:color="auto"/>
              <w:right w:val="single" w:sz="6" w:space="0" w:color="auto"/>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720</w:t>
            </w:r>
          </w:p>
        </w:tc>
        <w:tc>
          <w:tcPr>
            <w:tcW w:w="3260" w:type="dxa"/>
            <w:gridSpan w:val="2"/>
            <w:tcBorders>
              <w:top w:val="single" w:sz="6" w:space="0" w:color="auto"/>
              <w:left w:val="nil"/>
              <w:bottom w:val="single" w:sz="6" w:space="0" w:color="auto"/>
              <w:right w:val="nil"/>
            </w:tcBorders>
          </w:tcPr>
          <w:p w:rsidR="001B3F35" w:rsidRPr="00EB46A4" w:rsidRDefault="001B3F35">
            <w:pPr>
              <w:autoSpaceDE w:val="0"/>
              <w:autoSpaceDN w:val="0"/>
              <w:adjustRightInd w:val="0"/>
              <w:spacing w:after="0" w:line="240" w:lineRule="auto"/>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Kapitálové transfery</w:t>
            </w:r>
          </w:p>
        </w:tc>
        <w:tc>
          <w:tcPr>
            <w:tcW w:w="1559" w:type="dxa"/>
            <w:tcBorders>
              <w:top w:val="single" w:sz="6" w:space="0" w:color="auto"/>
              <w:left w:val="single" w:sz="6" w:space="0" w:color="auto"/>
              <w:bottom w:val="single" w:sz="6" w:space="0" w:color="auto"/>
              <w:right w:val="single" w:sz="6" w:space="0" w:color="auto"/>
            </w:tcBorders>
          </w:tcPr>
          <w:p w:rsidR="001B3F35" w:rsidRPr="00EB46A4" w:rsidRDefault="00C16BB8"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178 620 683,00</w:t>
            </w:r>
          </w:p>
        </w:tc>
        <w:tc>
          <w:tcPr>
            <w:tcW w:w="1559" w:type="dxa"/>
            <w:tcBorders>
              <w:top w:val="single" w:sz="6" w:space="0" w:color="auto"/>
              <w:left w:val="nil"/>
              <w:bottom w:val="single" w:sz="6" w:space="0" w:color="auto"/>
              <w:right w:val="nil"/>
            </w:tcBorders>
          </w:tcPr>
          <w:p w:rsidR="001B3F35" w:rsidRPr="00EB46A4" w:rsidRDefault="00E902C1"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202 576 868,48</w:t>
            </w:r>
          </w:p>
        </w:tc>
        <w:tc>
          <w:tcPr>
            <w:tcW w:w="1560" w:type="dxa"/>
            <w:tcBorders>
              <w:top w:val="single" w:sz="6" w:space="0" w:color="auto"/>
              <w:left w:val="single" w:sz="6" w:space="0" w:color="auto"/>
              <w:bottom w:val="single" w:sz="6" w:space="0" w:color="auto"/>
              <w:right w:val="single" w:sz="6" w:space="0" w:color="auto"/>
            </w:tcBorders>
          </w:tcPr>
          <w:p w:rsidR="001B3F35" w:rsidRPr="00EB46A4" w:rsidRDefault="00E902C1" w:rsidP="00936015">
            <w:pPr>
              <w:autoSpaceDE w:val="0"/>
              <w:autoSpaceDN w:val="0"/>
              <w:adjustRightInd w:val="0"/>
              <w:spacing w:after="0" w:line="240" w:lineRule="auto"/>
              <w:jc w:val="right"/>
              <w:rPr>
                <w:rFonts w:ascii="Times New Roman" w:hAnsi="Times New Roman" w:cs="Times New Roman"/>
                <w:b/>
                <w:i/>
                <w:lang w:eastAsia="sk-SK"/>
              </w:rPr>
            </w:pPr>
            <w:r w:rsidRPr="00EB46A4">
              <w:rPr>
                <w:rFonts w:ascii="Times New Roman" w:hAnsi="Times New Roman" w:cs="Times New Roman"/>
                <w:b/>
                <w:i/>
                <w:lang w:eastAsia="sk-SK"/>
              </w:rPr>
              <w:t>202 576 868,48</w:t>
            </w:r>
          </w:p>
        </w:tc>
        <w:tc>
          <w:tcPr>
            <w:tcW w:w="850" w:type="dxa"/>
            <w:tcBorders>
              <w:top w:val="single" w:sz="6" w:space="0" w:color="auto"/>
              <w:left w:val="nil"/>
              <w:bottom w:val="single" w:sz="6" w:space="0" w:color="auto"/>
              <w:right w:val="single" w:sz="6" w:space="0" w:color="auto"/>
            </w:tcBorders>
          </w:tcPr>
          <w:p w:rsidR="001B3F35" w:rsidRPr="00EB46A4" w:rsidRDefault="00E902C1" w:rsidP="00B96FCA">
            <w:pPr>
              <w:autoSpaceDE w:val="0"/>
              <w:autoSpaceDN w:val="0"/>
              <w:adjustRightInd w:val="0"/>
              <w:spacing w:after="0" w:line="240" w:lineRule="auto"/>
              <w:jc w:val="center"/>
              <w:rPr>
                <w:rFonts w:ascii="Times New Roman" w:hAnsi="Times New Roman" w:cs="Times New Roman"/>
                <w:b/>
                <w:i/>
                <w:iCs/>
                <w:color w:val="000000"/>
                <w:lang w:eastAsia="sk-SK"/>
              </w:rPr>
            </w:pPr>
            <w:r w:rsidRPr="00EB46A4">
              <w:rPr>
                <w:rFonts w:ascii="Times New Roman" w:hAnsi="Times New Roman" w:cs="Times New Roman"/>
                <w:b/>
                <w:i/>
                <w:iCs/>
                <w:color w:val="000000"/>
                <w:lang w:eastAsia="sk-SK"/>
              </w:rPr>
              <w:t>100,00</w:t>
            </w:r>
          </w:p>
        </w:tc>
      </w:tr>
      <w:tr w:rsidR="00E902C1" w:rsidRPr="00EB46A4" w:rsidTr="00B96FCA">
        <w:trPr>
          <w:trHeight w:val="290"/>
        </w:trPr>
        <w:tc>
          <w:tcPr>
            <w:tcW w:w="456" w:type="dxa"/>
            <w:tcBorders>
              <w:top w:val="nil"/>
              <w:left w:val="single" w:sz="6" w:space="0" w:color="auto"/>
              <w:bottom w:val="single" w:sz="4" w:space="0" w:color="auto"/>
              <w:right w:val="single" w:sz="6" w:space="0" w:color="auto"/>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721</w:t>
            </w:r>
          </w:p>
        </w:tc>
        <w:tc>
          <w:tcPr>
            <w:tcW w:w="3260" w:type="dxa"/>
            <w:gridSpan w:val="2"/>
            <w:tcBorders>
              <w:top w:val="nil"/>
              <w:left w:val="nil"/>
              <w:bottom w:val="single" w:sz="4"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v rámci verejnej správy</w:t>
            </w:r>
          </w:p>
        </w:tc>
        <w:tc>
          <w:tcPr>
            <w:tcW w:w="1559" w:type="dxa"/>
            <w:tcBorders>
              <w:top w:val="nil"/>
              <w:left w:val="single" w:sz="6" w:space="0" w:color="auto"/>
              <w:bottom w:val="single" w:sz="4" w:space="0" w:color="auto"/>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29 333 344,00</w:t>
            </w:r>
          </w:p>
        </w:tc>
        <w:tc>
          <w:tcPr>
            <w:tcW w:w="1559" w:type="dxa"/>
            <w:tcBorders>
              <w:top w:val="nil"/>
              <w:left w:val="nil"/>
              <w:bottom w:val="single" w:sz="4" w:space="0" w:color="auto"/>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29 034 668,38</w:t>
            </w:r>
          </w:p>
        </w:tc>
        <w:tc>
          <w:tcPr>
            <w:tcW w:w="1560" w:type="dxa"/>
            <w:tcBorders>
              <w:top w:val="nil"/>
              <w:left w:val="single" w:sz="6" w:space="0" w:color="auto"/>
              <w:bottom w:val="single" w:sz="4" w:space="0" w:color="auto"/>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29 034 668,38</w:t>
            </w:r>
          </w:p>
        </w:tc>
        <w:tc>
          <w:tcPr>
            <w:tcW w:w="850" w:type="dxa"/>
            <w:tcBorders>
              <w:top w:val="nil"/>
              <w:left w:val="nil"/>
              <w:bottom w:val="single" w:sz="4" w:space="0" w:color="auto"/>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100,00</w:t>
            </w:r>
          </w:p>
        </w:tc>
      </w:tr>
      <w:tr w:rsidR="00E902C1" w:rsidRPr="00EB46A4" w:rsidTr="00B96FCA">
        <w:trPr>
          <w:trHeight w:val="506"/>
        </w:trPr>
        <w:tc>
          <w:tcPr>
            <w:tcW w:w="456" w:type="dxa"/>
            <w:tcBorders>
              <w:top w:val="single" w:sz="4" w:space="0" w:color="auto"/>
              <w:left w:val="single" w:sz="6" w:space="0" w:color="auto"/>
              <w:bottom w:val="single" w:sz="4" w:space="0" w:color="auto"/>
              <w:right w:val="single" w:sz="6" w:space="0" w:color="auto"/>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723</w:t>
            </w:r>
          </w:p>
        </w:tc>
        <w:tc>
          <w:tcPr>
            <w:tcW w:w="3260" w:type="dxa"/>
            <w:gridSpan w:val="2"/>
            <w:tcBorders>
              <w:top w:val="single" w:sz="4" w:space="0" w:color="auto"/>
              <w:left w:val="nil"/>
              <w:bottom w:val="single" w:sz="4"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color w:val="000000"/>
                <w:lang w:eastAsia="sk-SK"/>
              </w:rPr>
            </w:pPr>
            <w:r w:rsidRPr="00EB46A4">
              <w:rPr>
                <w:rFonts w:ascii="Times New Roman" w:hAnsi="Times New Roman" w:cs="Times New Roman"/>
                <w:color w:val="000000"/>
                <w:lang w:eastAsia="sk-SK"/>
              </w:rPr>
              <w:t>Transfery nefinančným subjektom a PO</w:t>
            </w:r>
          </w:p>
        </w:tc>
        <w:tc>
          <w:tcPr>
            <w:tcW w:w="1559" w:type="dxa"/>
            <w:tcBorders>
              <w:top w:val="single" w:sz="4" w:space="0" w:color="auto"/>
              <w:left w:val="single" w:sz="6" w:space="0" w:color="auto"/>
              <w:bottom w:val="single" w:sz="4" w:space="0" w:color="auto"/>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149 287 339,00</w:t>
            </w:r>
          </w:p>
        </w:tc>
        <w:tc>
          <w:tcPr>
            <w:tcW w:w="1559" w:type="dxa"/>
            <w:tcBorders>
              <w:top w:val="single" w:sz="4" w:space="0" w:color="auto"/>
              <w:left w:val="nil"/>
              <w:bottom w:val="single" w:sz="4" w:space="0" w:color="auto"/>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173 542 200,10</w:t>
            </w:r>
          </w:p>
        </w:tc>
        <w:tc>
          <w:tcPr>
            <w:tcW w:w="1560" w:type="dxa"/>
            <w:tcBorders>
              <w:top w:val="single" w:sz="4" w:space="0" w:color="auto"/>
              <w:left w:val="single" w:sz="6" w:space="0" w:color="auto"/>
              <w:bottom w:val="single" w:sz="4" w:space="0" w:color="auto"/>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p>
          <w:p w:rsidR="00E902C1" w:rsidRPr="00EB46A4" w:rsidRDefault="00E902C1" w:rsidP="00936015">
            <w:pPr>
              <w:autoSpaceDE w:val="0"/>
              <w:autoSpaceDN w:val="0"/>
              <w:adjustRightInd w:val="0"/>
              <w:spacing w:after="0" w:line="240" w:lineRule="auto"/>
              <w:jc w:val="right"/>
              <w:rPr>
                <w:rFonts w:ascii="Times New Roman" w:hAnsi="Times New Roman" w:cs="Times New Roman"/>
                <w:lang w:eastAsia="sk-SK"/>
              </w:rPr>
            </w:pPr>
            <w:r w:rsidRPr="00EB46A4">
              <w:rPr>
                <w:rFonts w:ascii="Times New Roman" w:hAnsi="Times New Roman" w:cs="Times New Roman"/>
                <w:lang w:eastAsia="sk-SK"/>
              </w:rPr>
              <w:t>173 542 200,10</w:t>
            </w:r>
          </w:p>
        </w:tc>
        <w:tc>
          <w:tcPr>
            <w:tcW w:w="850" w:type="dxa"/>
            <w:tcBorders>
              <w:top w:val="single" w:sz="4" w:space="0" w:color="auto"/>
              <w:left w:val="nil"/>
              <w:bottom w:val="single" w:sz="4" w:space="0" w:color="auto"/>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p>
          <w:p w:rsidR="00E902C1" w:rsidRPr="00EB46A4" w:rsidRDefault="00E902C1" w:rsidP="00B96FCA">
            <w:pPr>
              <w:autoSpaceDE w:val="0"/>
              <w:autoSpaceDN w:val="0"/>
              <w:adjustRightInd w:val="0"/>
              <w:spacing w:after="0" w:line="240" w:lineRule="auto"/>
              <w:jc w:val="center"/>
              <w:rPr>
                <w:rFonts w:ascii="Times New Roman" w:hAnsi="Times New Roman" w:cs="Times New Roman"/>
                <w:color w:val="000000"/>
                <w:lang w:eastAsia="sk-SK"/>
              </w:rPr>
            </w:pPr>
            <w:r w:rsidRPr="00EB46A4">
              <w:rPr>
                <w:rFonts w:ascii="Times New Roman" w:hAnsi="Times New Roman" w:cs="Times New Roman"/>
                <w:color w:val="000000"/>
                <w:lang w:eastAsia="sk-SK"/>
              </w:rPr>
              <w:t>100,00</w:t>
            </w:r>
          </w:p>
        </w:tc>
      </w:tr>
      <w:tr w:rsidR="00E902C1" w:rsidRPr="00EB46A4" w:rsidTr="00B96FCA">
        <w:trPr>
          <w:trHeight w:val="290"/>
        </w:trPr>
        <w:tc>
          <w:tcPr>
            <w:tcW w:w="3716" w:type="dxa"/>
            <w:gridSpan w:val="3"/>
            <w:tcBorders>
              <w:top w:val="single" w:sz="4" w:space="0" w:color="auto"/>
              <w:left w:val="single" w:sz="6" w:space="0" w:color="auto"/>
              <w:bottom w:val="single" w:sz="6"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b/>
                <w:bCs/>
                <w:color w:val="000000"/>
                <w:lang w:eastAsia="sk-SK"/>
              </w:rPr>
            </w:pPr>
            <w:r w:rsidRPr="00EB46A4">
              <w:rPr>
                <w:rFonts w:ascii="Times New Roman" w:hAnsi="Times New Roman" w:cs="Times New Roman"/>
                <w:b/>
                <w:bCs/>
                <w:color w:val="000000"/>
                <w:lang w:eastAsia="sk-SK"/>
              </w:rPr>
              <w:t xml:space="preserve">Výdavky  MH SR spolu </w:t>
            </w:r>
          </w:p>
        </w:tc>
        <w:tc>
          <w:tcPr>
            <w:tcW w:w="1559" w:type="dxa"/>
            <w:tcBorders>
              <w:top w:val="single" w:sz="4" w:space="0" w:color="auto"/>
              <w:left w:val="single" w:sz="6" w:space="0" w:color="auto"/>
              <w:bottom w:val="single" w:sz="6" w:space="0" w:color="auto"/>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298 270 138,00</w:t>
            </w:r>
          </w:p>
        </w:tc>
        <w:tc>
          <w:tcPr>
            <w:tcW w:w="1559" w:type="dxa"/>
            <w:tcBorders>
              <w:top w:val="single" w:sz="4" w:space="0" w:color="auto"/>
              <w:left w:val="nil"/>
              <w:bottom w:val="single" w:sz="6" w:space="0" w:color="auto"/>
              <w:right w:val="nil"/>
            </w:tcBorders>
          </w:tcPr>
          <w:p w:rsidR="00E902C1" w:rsidRPr="00EB46A4" w:rsidRDefault="00936015" w:rsidP="0093601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441 217 548,62</w:t>
            </w:r>
          </w:p>
        </w:tc>
        <w:tc>
          <w:tcPr>
            <w:tcW w:w="1560" w:type="dxa"/>
            <w:tcBorders>
              <w:top w:val="single" w:sz="4" w:space="0" w:color="auto"/>
              <w:left w:val="single" w:sz="6" w:space="0" w:color="auto"/>
              <w:bottom w:val="single" w:sz="6" w:space="0" w:color="auto"/>
              <w:right w:val="single" w:sz="6" w:space="0" w:color="auto"/>
            </w:tcBorders>
          </w:tcPr>
          <w:p w:rsidR="00E902C1" w:rsidRPr="00EB46A4" w:rsidRDefault="00936015" w:rsidP="00EB46A4">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441 077</w:t>
            </w:r>
            <w:r w:rsidR="00EB46A4">
              <w:rPr>
                <w:rFonts w:ascii="Times New Roman" w:hAnsi="Times New Roman" w:cs="Times New Roman"/>
                <w:b/>
                <w:lang w:eastAsia="sk-SK"/>
              </w:rPr>
              <w:t> 675,37</w:t>
            </w:r>
          </w:p>
        </w:tc>
        <w:tc>
          <w:tcPr>
            <w:tcW w:w="850" w:type="dxa"/>
            <w:tcBorders>
              <w:top w:val="single" w:sz="4" w:space="0" w:color="auto"/>
              <w:left w:val="nil"/>
              <w:bottom w:val="single" w:sz="6" w:space="0" w:color="auto"/>
              <w:right w:val="single" w:sz="6" w:space="0" w:color="auto"/>
            </w:tcBorders>
          </w:tcPr>
          <w:p w:rsidR="00936015" w:rsidRPr="00EB46A4" w:rsidRDefault="00936015" w:rsidP="00E6688E">
            <w:pPr>
              <w:autoSpaceDE w:val="0"/>
              <w:autoSpaceDN w:val="0"/>
              <w:adjustRightInd w:val="0"/>
              <w:spacing w:after="0" w:line="240" w:lineRule="auto"/>
              <w:jc w:val="center"/>
              <w:rPr>
                <w:rFonts w:ascii="Times New Roman" w:hAnsi="Times New Roman" w:cs="Times New Roman"/>
                <w:b/>
                <w:bCs/>
                <w:color w:val="000000"/>
                <w:lang w:eastAsia="sk-SK"/>
              </w:rPr>
            </w:pPr>
            <w:r w:rsidRPr="00EB46A4">
              <w:rPr>
                <w:rFonts w:ascii="Times New Roman" w:hAnsi="Times New Roman" w:cs="Times New Roman"/>
                <w:b/>
                <w:bCs/>
                <w:color w:val="000000"/>
                <w:lang w:eastAsia="sk-SK"/>
              </w:rPr>
              <w:t>99,9</w:t>
            </w:r>
            <w:r w:rsidR="00E6688E">
              <w:rPr>
                <w:rFonts w:ascii="Times New Roman" w:hAnsi="Times New Roman" w:cs="Times New Roman"/>
                <w:b/>
                <w:bCs/>
                <w:color w:val="000000"/>
                <w:lang w:eastAsia="sk-SK"/>
              </w:rPr>
              <w:t>7</w:t>
            </w:r>
          </w:p>
        </w:tc>
      </w:tr>
      <w:tr w:rsidR="00E902C1" w:rsidRPr="00EB46A4" w:rsidTr="00B96FCA">
        <w:trPr>
          <w:trHeight w:val="290"/>
        </w:trPr>
        <w:tc>
          <w:tcPr>
            <w:tcW w:w="581" w:type="dxa"/>
            <w:gridSpan w:val="2"/>
            <w:tcBorders>
              <w:top w:val="nil"/>
              <w:left w:val="single" w:sz="6" w:space="0" w:color="auto"/>
              <w:bottom w:val="nil"/>
              <w:right w:val="nil"/>
            </w:tcBorders>
          </w:tcPr>
          <w:p w:rsidR="00E902C1" w:rsidRPr="00EB46A4" w:rsidRDefault="00E902C1">
            <w:pPr>
              <w:autoSpaceDE w:val="0"/>
              <w:autoSpaceDN w:val="0"/>
              <w:adjustRightInd w:val="0"/>
              <w:spacing w:after="0" w:line="240" w:lineRule="auto"/>
              <w:rPr>
                <w:rFonts w:ascii="Times New Roman" w:hAnsi="Times New Roman" w:cs="Times New Roman"/>
                <w:b/>
                <w:color w:val="000000"/>
                <w:lang w:eastAsia="sk-SK"/>
              </w:rPr>
            </w:pPr>
          </w:p>
        </w:tc>
        <w:tc>
          <w:tcPr>
            <w:tcW w:w="3135" w:type="dxa"/>
            <w:tcBorders>
              <w:top w:val="nil"/>
              <w:left w:val="nil"/>
              <w:bottom w:val="nil"/>
              <w:right w:val="nil"/>
            </w:tcBorders>
          </w:tcPr>
          <w:p w:rsidR="00E902C1" w:rsidRPr="00EB46A4" w:rsidRDefault="00E902C1">
            <w:pPr>
              <w:autoSpaceDE w:val="0"/>
              <w:autoSpaceDN w:val="0"/>
              <w:adjustRightInd w:val="0"/>
              <w:spacing w:after="0" w:line="240" w:lineRule="auto"/>
              <w:rPr>
                <w:rFonts w:ascii="Times New Roman" w:hAnsi="Times New Roman" w:cs="Times New Roman"/>
                <w:b/>
                <w:color w:val="000000"/>
                <w:lang w:eastAsia="sk-SK"/>
              </w:rPr>
            </w:pPr>
            <w:r w:rsidRPr="00EB46A4">
              <w:rPr>
                <w:rFonts w:ascii="Times New Roman" w:hAnsi="Times New Roman" w:cs="Times New Roman"/>
                <w:b/>
                <w:color w:val="000000"/>
                <w:lang w:eastAsia="sk-SK"/>
              </w:rPr>
              <w:t>z toho: bežné výdavky</w:t>
            </w:r>
          </w:p>
        </w:tc>
        <w:tc>
          <w:tcPr>
            <w:tcW w:w="1559" w:type="dxa"/>
            <w:tcBorders>
              <w:top w:val="nil"/>
              <w:left w:val="single" w:sz="6" w:space="0" w:color="auto"/>
              <w:bottom w:val="nil"/>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118 055 255,00</w:t>
            </w:r>
          </w:p>
        </w:tc>
        <w:tc>
          <w:tcPr>
            <w:tcW w:w="1559" w:type="dxa"/>
            <w:tcBorders>
              <w:top w:val="nil"/>
              <w:left w:val="nil"/>
              <w:bottom w:val="nil"/>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232 751 847,46</w:t>
            </w:r>
          </w:p>
        </w:tc>
        <w:tc>
          <w:tcPr>
            <w:tcW w:w="1560" w:type="dxa"/>
            <w:tcBorders>
              <w:top w:val="nil"/>
              <w:left w:val="single" w:sz="6" w:space="0" w:color="auto"/>
              <w:bottom w:val="nil"/>
              <w:right w:val="single" w:sz="6" w:space="0" w:color="auto"/>
            </w:tcBorders>
          </w:tcPr>
          <w:p w:rsidR="00E902C1" w:rsidRPr="00EB46A4" w:rsidRDefault="00E902C1" w:rsidP="00E12CA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232 612</w:t>
            </w:r>
            <w:r w:rsidR="00E12CA5" w:rsidRPr="00EB46A4">
              <w:rPr>
                <w:rFonts w:ascii="Times New Roman" w:hAnsi="Times New Roman" w:cs="Times New Roman"/>
                <w:b/>
                <w:lang w:eastAsia="sk-SK"/>
              </w:rPr>
              <w:t> 568,34</w:t>
            </w:r>
          </w:p>
        </w:tc>
        <w:tc>
          <w:tcPr>
            <w:tcW w:w="850" w:type="dxa"/>
            <w:tcBorders>
              <w:top w:val="nil"/>
              <w:left w:val="nil"/>
              <w:bottom w:val="nil"/>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99,94</w:t>
            </w:r>
          </w:p>
        </w:tc>
      </w:tr>
      <w:tr w:rsidR="00E902C1" w:rsidRPr="00EB46A4" w:rsidTr="00B96FCA">
        <w:trPr>
          <w:trHeight w:val="290"/>
        </w:trPr>
        <w:tc>
          <w:tcPr>
            <w:tcW w:w="581" w:type="dxa"/>
            <w:gridSpan w:val="2"/>
            <w:tcBorders>
              <w:top w:val="single" w:sz="6" w:space="0" w:color="auto"/>
              <w:left w:val="single" w:sz="6" w:space="0" w:color="auto"/>
              <w:bottom w:val="single" w:sz="6" w:space="0" w:color="auto"/>
              <w:right w:val="nil"/>
            </w:tcBorders>
          </w:tcPr>
          <w:p w:rsidR="00E902C1" w:rsidRPr="00EB46A4" w:rsidRDefault="00E902C1">
            <w:pPr>
              <w:autoSpaceDE w:val="0"/>
              <w:autoSpaceDN w:val="0"/>
              <w:adjustRightInd w:val="0"/>
              <w:spacing w:after="0" w:line="240" w:lineRule="auto"/>
              <w:rPr>
                <w:rFonts w:ascii="Times New Roman" w:hAnsi="Times New Roman" w:cs="Times New Roman"/>
                <w:b/>
                <w:color w:val="000000"/>
                <w:lang w:eastAsia="sk-SK"/>
              </w:rPr>
            </w:pPr>
          </w:p>
        </w:tc>
        <w:tc>
          <w:tcPr>
            <w:tcW w:w="3135" w:type="dxa"/>
            <w:tcBorders>
              <w:top w:val="single" w:sz="6" w:space="0" w:color="auto"/>
              <w:left w:val="nil"/>
              <w:bottom w:val="single" w:sz="6" w:space="0" w:color="auto"/>
              <w:right w:val="nil"/>
            </w:tcBorders>
          </w:tcPr>
          <w:p w:rsidR="00E902C1" w:rsidRPr="00EB46A4" w:rsidRDefault="00E902C1" w:rsidP="008A5D5A">
            <w:pPr>
              <w:autoSpaceDE w:val="0"/>
              <w:autoSpaceDN w:val="0"/>
              <w:adjustRightInd w:val="0"/>
              <w:spacing w:after="0" w:line="240" w:lineRule="auto"/>
              <w:ind w:left="695"/>
              <w:rPr>
                <w:rFonts w:ascii="Times New Roman" w:hAnsi="Times New Roman" w:cs="Times New Roman"/>
                <w:b/>
                <w:color w:val="000000"/>
                <w:lang w:eastAsia="sk-SK"/>
              </w:rPr>
            </w:pPr>
            <w:r w:rsidRPr="00EB46A4">
              <w:rPr>
                <w:rFonts w:ascii="Times New Roman" w:hAnsi="Times New Roman" w:cs="Times New Roman"/>
                <w:b/>
                <w:color w:val="000000"/>
                <w:lang w:eastAsia="sk-SK"/>
              </w:rPr>
              <w:t>kapitálové výdavky</w:t>
            </w:r>
          </w:p>
        </w:tc>
        <w:tc>
          <w:tcPr>
            <w:tcW w:w="1559" w:type="dxa"/>
            <w:tcBorders>
              <w:top w:val="single" w:sz="6" w:space="0" w:color="auto"/>
              <w:left w:val="single" w:sz="6" w:space="0" w:color="auto"/>
              <w:bottom w:val="single" w:sz="6" w:space="0" w:color="auto"/>
              <w:right w:val="single" w:sz="6" w:space="0" w:color="auto"/>
            </w:tcBorders>
          </w:tcPr>
          <w:p w:rsidR="00E902C1" w:rsidRPr="00EB46A4" w:rsidRDefault="00CF20B2" w:rsidP="00CF20B2">
            <w:pPr>
              <w:autoSpaceDE w:val="0"/>
              <w:autoSpaceDN w:val="0"/>
              <w:adjustRightInd w:val="0"/>
              <w:spacing w:after="0" w:line="240" w:lineRule="auto"/>
              <w:jc w:val="right"/>
              <w:rPr>
                <w:rFonts w:ascii="Times New Roman" w:hAnsi="Times New Roman" w:cs="Times New Roman"/>
                <w:b/>
                <w:lang w:eastAsia="sk-SK"/>
              </w:rPr>
            </w:pPr>
            <w:r>
              <w:rPr>
                <w:rFonts w:ascii="Times New Roman" w:hAnsi="Times New Roman" w:cs="Times New Roman"/>
                <w:b/>
                <w:lang w:eastAsia="sk-SK"/>
              </w:rPr>
              <w:t>180 214 883,00</w:t>
            </w:r>
          </w:p>
        </w:tc>
        <w:tc>
          <w:tcPr>
            <w:tcW w:w="1559" w:type="dxa"/>
            <w:tcBorders>
              <w:top w:val="single" w:sz="6" w:space="0" w:color="auto"/>
              <w:left w:val="nil"/>
              <w:bottom w:val="single" w:sz="6" w:space="0" w:color="auto"/>
              <w:right w:val="nil"/>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208 465 701,16</w:t>
            </w:r>
          </w:p>
        </w:tc>
        <w:tc>
          <w:tcPr>
            <w:tcW w:w="1560" w:type="dxa"/>
            <w:tcBorders>
              <w:top w:val="single" w:sz="6" w:space="0" w:color="auto"/>
              <w:left w:val="single" w:sz="6" w:space="0" w:color="auto"/>
              <w:bottom w:val="single" w:sz="6" w:space="0" w:color="auto"/>
              <w:right w:val="single" w:sz="6" w:space="0" w:color="auto"/>
            </w:tcBorders>
          </w:tcPr>
          <w:p w:rsidR="00E902C1" w:rsidRPr="00EB46A4" w:rsidRDefault="00E902C1" w:rsidP="00936015">
            <w:pPr>
              <w:autoSpaceDE w:val="0"/>
              <w:autoSpaceDN w:val="0"/>
              <w:adjustRightInd w:val="0"/>
              <w:spacing w:after="0" w:line="240" w:lineRule="auto"/>
              <w:jc w:val="right"/>
              <w:rPr>
                <w:rFonts w:ascii="Times New Roman" w:hAnsi="Times New Roman" w:cs="Times New Roman"/>
                <w:b/>
                <w:lang w:eastAsia="sk-SK"/>
              </w:rPr>
            </w:pPr>
            <w:r w:rsidRPr="00EB46A4">
              <w:rPr>
                <w:rFonts w:ascii="Times New Roman" w:hAnsi="Times New Roman" w:cs="Times New Roman"/>
                <w:b/>
                <w:lang w:eastAsia="sk-SK"/>
              </w:rPr>
              <w:t>208 465 107,03</w:t>
            </w:r>
          </w:p>
        </w:tc>
        <w:tc>
          <w:tcPr>
            <w:tcW w:w="850" w:type="dxa"/>
            <w:tcBorders>
              <w:top w:val="single" w:sz="6" w:space="0" w:color="auto"/>
              <w:left w:val="nil"/>
              <w:bottom w:val="single" w:sz="6" w:space="0" w:color="auto"/>
              <w:right w:val="single" w:sz="6" w:space="0" w:color="auto"/>
            </w:tcBorders>
          </w:tcPr>
          <w:p w:rsidR="00E902C1" w:rsidRPr="00EB46A4" w:rsidRDefault="00E902C1" w:rsidP="00B96FCA">
            <w:pPr>
              <w:autoSpaceDE w:val="0"/>
              <w:autoSpaceDN w:val="0"/>
              <w:adjustRightInd w:val="0"/>
              <w:spacing w:after="0" w:line="240" w:lineRule="auto"/>
              <w:jc w:val="center"/>
              <w:rPr>
                <w:rFonts w:ascii="Times New Roman" w:hAnsi="Times New Roman" w:cs="Times New Roman"/>
                <w:b/>
                <w:color w:val="000000"/>
                <w:lang w:eastAsia="sk-SK"/>
              </w:rPr>
            </w:pPr>
            <w:r w:rsidRPr="00EB46A4">
              <w:rPr>
                <w:rFonts w:ascii="Times New Roman" w:hAnsi="Times New Roman" w:cs="Times New Roman"/>
                <w:b/>
                <w:color w:val="000000"/>
                <w:lang w:eastAsia="sk-SK"/>
              </w:rPr>
              <w:t>99,99</w:t>
            </w:r>
          </w:p>
        </w:tc>
      </w:tr>
    </w:tbl>
    <w:p w:rsidR="001B3F35" w:rsidRPr="00EB46A4" w:rsidRDefault="00227EEB" w:rsidP="001C3BF8">
      <w:pPr>
        <w:spacing w:after="0" w:line="240" w:lineRule="auto"/>
        <w:jc w:val="both"/>
        <w:rPr>
          <w:rFonts w:ascii="Times New Roman" w:hAnsi="Times New Roman" w:cs="Times New Roman"/>
          <w:sz w:val="20"/>
          <w:szCs w:val="20"/>
        </w:rPr>
      </w:pPr>
      <w:r w:rsidRPr="00EB46A4">
        <w:rPr>
          <w:rFonts w:ascii="Times New Roman" w:hAnsi="Times New Roman" w:cs="Times New Roman"/>
          <w:sz w:val="20"/>
          <w:szCs w:val="20"/>
        </w:rPr>
        <w:t xml:space="preserve">*- vrátane čerpania </w:t>
      </w:r>
      <w:r w:rsidR="00936015" w:rsidRPr="00EB46A4">
        <w:rPr>
          <w:rFonts w:ascii="Times New Roman" w:hAnsi="Times New Roman" w:cs="Times New Roman"/>
          <w:sz w:val="20"/>
          <w:szCs w:val="20"/>
        </w:rPr>
        <w:t>512,90</w:t>
      </w:r>
      <w:r w:rsidRPr="00EB46A4">
        <w:rPr>
          <w:rFonts w:ascii="Times New Roman" w:hAnsi="Times New Roman" w:cs="Times New Roman"/>
          <w:sz w:val="20"/>
          <w:szCs w:val="20"/>
        </w:rPr>
        <w:t xml:space="preserve"> eur zo zdroja 72c</w:t>
      </w:r>
    </w:p>
    <w:p w:rsidR="00227EEB" w:rsidRDefault="00227EEB" w:rsidP="00227EEB">
      <w:pPr>
        <w:spacing w:after="0" w:line="240" w:lineRule="auto"/>
        <w:ind w:left="720"/>
        <w:jc w:val="both"/>
        <w:rPr>
          <w:rFonts w:ascii="Times New Roman" w:hAnsi="Times New Roman" w:cs="Times New Roman"/>
          <w:sz w:val="20"/>
          <w:szCs w:val="20"/>
        </w:rPr>
      </w:pPr>
    </w:p>
    <w:p w:rsidR="00512209" w:rsidRPr="00227EEB" w:rsidRDefault="00512209" w:rsidP="00227EEB">
      <w:pPr>
        <w:spacing w:after="0" w:line="240" w:lineRule="auto"/>
        <w:ind w:left="720"/>
        <w:jc w:val="both"/>
        <w:rPr>
          <w:rFonts w:ascii="Times New Roman" w:hAnsi="Times New Roman" w:cs="Times New Roman"/>
          <w:sz w:val="20"/>
          <w:szCs w:val="20"/>
        </w:rPr>
      </w:pPr>
    </w:p>
    <w:p w:rsidR="00622BAC" w:rsidRPr="00A427D1" w:rsidRDefault="00D460DB" w:rsidP="001C3BF8">
      <w:pPr>
        <w:autoSpaceDE w:val="0"/>
        <w:autoSpaceDN w:val="0"/>
        <w:adjustRightInd w:val="0"/>
        <w:spacing w:after="0" w:line="240" w:lineRule="auto"/>
        <w:ind w:firstLine="709"/>
        <w:jc w:val="both"/>
        <w:rPr>
          <w:rFonts w:ascii="Times New Roman" w:hAnsi="Times New Roman" w:cs="Times New Roman"/>
          <w:b/>
          <w:sz w:val="24"/>
          <w:szCs w:val="24"/>
        </w:rPr>
      </w:pPr>
      <w:r w:rsidRPr="00A427D1">
        <w:rPr>
          <w:rFonts w:ascii="Times New Roman" w:hAnsi="Times New Roman" w:cs="Times New Roman"/>
          <w:b/>
          <w:sz w:val="24"/>
          <w:szCs w:val="24"/>
        </w:rPr>
        <w:t>Výdavky MH SR na</w:t>
      </w:r>
      <w:r w:rsidR="00FB53FA">
        <w:rPr>
          <w:rFonts w:ascii="Times New Roman" w:hAnsi="Times New Roman" w:cs="Times New Roman"/>
          <w:b/>
          <w:sz w:val="24"/>
          <w:szCs w:val="24"/>
        </w:rPr>
        <w:t xml:space="preserve"> zahraničné aktivity v roku 2015</w:t>
      </w:r>
    </w:p>
    <w:p w:rsidR="00D460DB" w:rsidRPr="00A427D1" w:rsidRDefault="00D460DB" w:rsidP="001C3BF8">
      <w:pPr>
        <w:autoSpaceDE w:val="0"/>
        <w:autoSpaceDN w:val="0"/>
        <w:adjustRightInd w:val="0"/>
        <w:spacing w:after="0" w:line="240" w:lineRule="auto"/>
        <w:ind w:firstLine="709"/>
        <w:jc w:val="both"/>
        <w:rPr>
          <w:rFonts w:ascii="Times New Roman" w:hAnsi="Times New Roman" w:cs="Times New Roman"/>
          <w:b/>
          <w:sz w:val="24"/>
          <w:szCs w:val="24"/>
        </w:rPr>
      </w:pPr>
    </w:p>
    <w:p w:rsidR="00DF3AFF" w:rsidRDefault="0012367D" w:rsidP="0049065D">
      <w:pPr>
        <w:autoSpaceDE w:val="0"/>
        <w:autoSpaceDN w:val="0"/>
        <w:adjustRightInd w:val="0"/>
        <w:spacing w:after="0" w:line="240" w:lineRule="auto"/>
        <w:ind w:firstLine="708"/>
        <w:jc w:val="both"/>
        <w:rPr>
          <w:rFonts w:ascii="Times New Roman" w:hAnsi="Times New Roman" w:cs="Times New Roman"/>
          <w:sz w:val="24"/>
          <w:szCs w:val="24"/>
        </w:rPr>
      </w:pPr>
      <w:r w:rsidRPr="0049065D">
        <w:rPr>
          <w:rFonts w:ascii="Times New Roman" w:hAnsi="Times New Roman" w:cs="Times New Roman"/>
          <w:sz w:val="24"/>
          <w:szCs w:val="24"/>
        </w:rPr>
        <w:t xml:space="preserve">Finančné prostriedky </w:t>
      </w:r>
      <w:r w:rsidR="000B30C9" w:rsidRPr="0049065D">
        <w:rPr>
          <w:rFonts w:ascii="Times New Roman" w:hAnsi="Times New Roman" w:cs="Times New Roman"/>
          <w:sz w:val="24"/>
          <w:szCs w:val="24"/>
        </w:rPr>
        <w:t>kapitoly MH SR</w:t>
      </w:r>
      <w:r w:rsidRPr="0049065D">
        <w:rPr>
          <w:rFonts w:ascii="Times New Roman" w:hAnsi="Times New Roman" w:cs="Times New Roman"/>
          <w:sz w:val="24"/>
          <w:szCs w:val="24"/>
        </w:rPr>
        <w:t xml:space="preserve"> poskytnuté </w:t>
      </w:r>
      <w:r w:rsidRPr="0049065D">
        <w:rPr>
          <w:rFonts w:ascii="Times New Roman" w:hAnsi="Times New Roman" w:cs="Times New Roman"/>
          <w:b/>
          <w:bCs/>
          <w:sz w:val="24"/>
          <w:szCs w:val="24"/>
        </w:rPr>
        <w:t>na zahraničné aktivity v roku 201</w:t>
      </w:r>
      <w:r w:rsidR="00FE6E56" w:rsidRPr="0049065D">
        <w:rPr>
          <w:rFonts w:ascii="Times New Roman" w:hAnsi="Times New Roman" w:cs="Times New Roman"/>
          <w:b/>
          <w:bCs/>
          <w:sz w:val="24"/>
          <w:szCs w:val="24"/>
        </w:rPr>
        <w:t>5</w:t>
      </w:r>
      <w:r w:rsidRPr="0049065D">
        <w:rPr>
          <w:rFonts w:ascii="Times New Roman" w:hAnsi="Times New Roman" w:cs="Times New Roman"/>
          <w:sz w:val="24"/>
          <w:szCs w:val="24"/>
        </w:rPr>
        <w:t xml:space="preserve"> boli </w:t>
      </w:r>
      <w:r w:rsidR="00C15F1C" w:rsidRPr="0049065D">
        <w:rPr>
          <w:rFonts w:ascii="Times New Roman" w:hAnsi="Times New Roman" w:cs="Times New Roman"/>
          <w:sz w:val="24"/>
          <w:szCs w:val="24"/>
        </w:rPr>
        <w:t xml:space="preserve">čerpané </w:t>
      </w:r>
      <w:r w:rsidR="00FE6E56" w:rsidRPr="0049065D">
        <w:rPr>
          <w:rFonts w:ascii="Times New Roman" w:hAnsi="Times New Roman" w:cs="Times New Roman"/>
          <w:sz w:val="24"/>
          <w:szCs w:val="24"/>
        </w:rPr>
        <w:t>v sume</w:t>
      </w:r>
      <w:r w:rsidRPr="0049065D">
        <w:rPr>
          <w:rFonts w:ascii="Times New Roman" w:hAnsi="Times New Roman" w:cs="Times New Roman"/>
          <w:sz w:val="24"/>
          <w:szCs w:val="24"/>
        </w:rPr>
        <w:t xml:space="preserve"> </w:t>
      </w:r>
      <w:r w:rsidR="0049065D" w:rsidRPr="0049065D">
        <w:rPr>
          <w:rFonts w:ascii="Times New Roman" w:hAnsi="Times New Roman" w:cs="Times New Roman"/>
          <w:sz w:val="24"/>
          <w:szCs w:val="24"/>
          <w:lang w:eastAsia="sk-SK"/>
        </w:rPr>
        <w:t>2 495 994,89</w:t>
      </w:r>
      <w:r w:rsidR="00E5029D" w:rsidRPr="0049065D">
        <w:rPr>
          <w:rFonts w:ascii="Times New Roman" w:hAnsi="Times New Roman" w:cs="Times New Roman"/>
          <w:sz w:val="24"/>
          <w:szCs w:val="24"/>
          <w:lang w:eastAsia="sk-SK"/>
        </w:rPr>
        <w:t xml:space="preserve"> </w:t>
      </w:r>
      <w:r w:rsidR="00A87D3F" w:rsidRPr="0049065D">
        <w:rPr>
          <w:rFonts w:ascii="Times New Roman" w:hAnsi="Times New Roman" w:cs="Times New Roman"/>
          <w:sz w:val="24"/>
          <w:szCs w:val="24"/>
        </w:rPr>
        <w:t>e</w:t>
      </w:r>
      <w:r w:rsidRPr="0049065D">
        <w:rPr>
          <w:rFonts w:ascii="Times New Roman" w:hAnsi="Times New Roman" w:cs="Times New Roman"/>
          <w:sz w:val="24"/>
          <w:szCs w:val="24"/>
        </w:rPr>
        <w:t xml:space="preserve">ur. </w:t>
      </w:r>
    </w:p>
    <w:p w:rsidR="00704AF0" w:rsidRDefault="0012367D" w:rsidP="0049065D">
      <w:pPr>
        <w:autoSpaceDE w:val="0"/>
        <w:autoSpaceDN w:val="0"/>
        <w:adjustRightInd w:val="0"/>
        <w:spacing w:after="0" w:line="240" w:lineRule="auto"/>
        <w:ind w:firstLine="708"/>
        <w:jc w:val="both"/>
        <w:rPr>
          <w:rFonts w:ascii="Times New Roman" w:hAnsi="Times New Roman" w:cs="Times New Roman"/>
          <w:sz w:val="24"/>
          <w:szCs w:val="24"/>
          <w:lang w:eastAsia="sk-SK"/>
        </w:rPr>
      </w:pPr>
      <w:r w:rsidRPr="0049065D">
        <w:rPr>
          <w:rFonts w:ascii="Times New Roman" w:hAnsi="Times New Roman" w:cs="Times New Roman"/>
          <w:sz w:val="24"/>
          <w:szCs w:val="24"/>
        </w:rPr>
        <w:t xml:space="preserve">Výdavky boli </w:t>
      </w:r>
      <w:r w:rsidR="00DF3683">
        <w:rPr>
          <w:rFonts w:ascii="Times New Roman" w:hAnsi="Times New Roman" w:cs="Times New Roman"/>
          <w:sz w:val="24"/>
          <w:szCs w:val="24"/>
        </w:rPr>
        <w:t>čerpané</w:t>
      </w:r>
      <w:r w:rsidRPr="0049065D">
        <w:rPr>
          <w:rFonts w:ascii="Times New Roman" w:hAnsi="Times New Roman" w:cs="Times New Roman"/>
          <w:sz w:val="24"/>
          <w:szCs w:val="24"/>
        </w:rPr>
        <w:t xml:space="preserve"> pre pracoviská mimo sídla služobného úradu MH SR v</w:t>
      </w:r>
      <w:r w:rsidR="00DA41B1" w:rsidRPr="0049065D">
        <w:rPr>
          <w:rFonts w:ascii="Times New Roman" w:hAnsi="Times New Roman" w:cs="Times New Roman"/>
          <w:sz w:val="24"/>
          <w:szCs w:val="24"/>
        </w:rPr>
        <w:t> </w:t>
      </w:r>
      <w:r w:rsidRPr="0049065D">
        <w:rPr>
          <w:rFonts w:ascii="Times New Roman" w:hAnsi="Times New Roman" w:cs="Times New Roman"/>
          <w:sz w:val="24"/>
          <w:szCs w:val="24"/>
        </w:rPr>
        <w:t>cudzine</w:t>
      </w:r>
      <w:r w:rsidR="00DA41B1" w:rsidRPr="0049065D">
        <w:rPr>
          <w:rFonts w:ascii="Times New Roman" w:hAnsi="Times New Roman" w:cs="Times New Roman"/>
          <w:sz w:val="24"/>
          <w:szCs w:val="24"/>
        </w:rPr>
        <w:t xml:space="preserve"> (</w:t>
      </w:r>
      <w:r w:rsidR="0056130C" w:rsidRPr="0049065D">
        <w:rPr>
          <w:rFonts w:ascii="Times New Roman" w:hAnsi="Times New Roman" w:cs="Times New Roman"/>
          <w:sz w:val="24"/>
          <w:szCs w:val="24"/>
          <w:lang w:eastAsia="sk-SK"/>
        </w:rPr>
        <w:t>411 103,90</w:t>
      </w:r>
      <w:r w:rsidR="00677755" w:rsidRPr="0049065D">
        <w:rPr>
          <w:rFonts w:ascii="Times New Roman" w:hAnsi="Times New Roman" w:cs="Times New Roman"/>
          <w:sz w:val="24"/>
          <w:szCs w:val="24"/>
          <w:lang w:eastAsia="sk-SK"/>
        </w:rPr>
        <w:t xml:space="preserve"> e</w:t>
      </w:r>
      <w:r w:rsidR="00DA41B1" w:rsidRPr="0049065D">
        <w:rPr>
          <w:rFonts w:ascii="Times New Roman" w:hAnsi="Times New Roman" w:cs="Times New Roman"/>
          <w:sz w:val="24"/>
          <w:szCs w:val="24"/>
        </w:rPr>
        <w:t>ur)</w:t>
      </w:r>
      <w:r w:rsidRPr="0049065D">
        <w:rPr>
          <w:rFonts w:ascii="Times New Roman" w:hAnsi="Times New Roman" w:cs="Times New Roman"/>
          <w:sz w:val="24"/>
          <w:szCs w:val="24"/>
        </w:rPr>
        <w:t>, na výstavy, veľtrhy</w:t>
      </w:r>
      <w:r w:rsidR="00240DCA" w:rsidRPr="0049065D">
        <w:rPr>
          <w:rFonts w:ascii="Times New Roman" w:hAnsi="Times New Roman" w:cs="Times New Roman"/>
          <w:sz w:val="24"/>
          <w:szCs w:val="24"/>
        </w:rPr>
        <w:t xml:space="preserve"> (</w:t>
      </w:r>
      <w:r w:rsidR="00182DE5" w:rsidRPr="0049065D">
        <w:rPr>
          <w:rFonts w:ascii="Times New Roman" w:hAnsi="Times New Roman" w:cs="Times New Roman"/>
          <w:bCs/>
          <w:sz w:val="24"/>
          <w:szCs w:val="24"/>
        </w:rPr>
        <w:t>369 806,57</w:t>
      </w:r>
      <w:r w:rsidR="00240DCA" w:rsidRPr="0049065D">
        <w:rPr>
          <w:rFonts w:ascii="Times New Roman" w:hAnsi="Times New Roman" w:cs="Times New Roman"/>
          <w:bCs/>
          <w:sz w:val="24"/>
          <w:szCs w:val="24"/>
        </w:rPr>
        <w:t xml:space="preserve"> eur)</w:t>
      </w:r>
      <w:r w:rsidRPr="0049065D">
        <w:rPr>
          <w:rFonts w:ascii="Times New Roman" w:hAnsi="Times New Roman" w:cs="Times New Roman"/>
          <w:sz w:val="24"/>
          <w:szCs w:val="24"/>
        </w:rPr>
        <w:t>, zahraničné pracov</w:t>
      </w:r>
      <w:r w:rsidR="00DA41B1" w:rsidRPr="0049065D">
        <w:rPr>
          <w:rFonts w:ascii="Times New Roman" w:hAnsi="Times New Roman" w:cs="Times New Roman"/>
          <w:sz w:val="24"/>
          <w:szCs w:val="24"/>
        </w:rPr>
        <w:t>né cesty</w:t>
      </w:r>
      <w:r w:rsidR="00D460DB" w:rsidRPr="0049065D">
        <w:rPr>
          <w:rFonts w:ascii="Times New Roman" w:hAnsi="Times New Roman" w:cs="Times New Roman"/>
          <w:sz w:val="24"/>
          <w:szCs w:val="24"/>
        </w:rPr>
        <w:t xml:space="preserve"> (</w:t>
      </w:r>
      <w:r w:rsidR="00182DE5" w:rsidRPr="0049065D">
        <w:rPr>
          <w:rFonts w:ascii="Times New Roman" w:hAnsi="Times New Roman" w:cs="Times New Roman"/>
          <w:sz w:val="24"/>
          <w:szCs w:val="24"/>
        </w:rPr>
        <w:t xml:space="preserve">537 769,35 </w:t>
      </w:r>
      <w:r w:rsidR="00A87D3F" w:rsidRPr="0049065D">
        <w:rPr>
          <w:rFonts w:ascii="Times New Roman" w:hAnsi="Times New Roman" w:cs="Times New Roman"/>
          <w:sz w:val="24"/>
          <w:szCs w:val="24"/>
        </w:rPr>
        <w:t>eu</w:t>
      </w:r>
      <w:r w:rsidR="00D460DB" w:rsidRPr="0049065D">
        <w:rPr>
          <w:rFonts w:ascii="Times New Roman" w:hAnsi="Times New Roman" w:cs="Times New Roman"/>
          <w:sz w:val="24"/>
          <w:szCs w:val="24"/>
        </w:rPr>
        <w:t>r)</w:t>
      </w:r>
      <w:r w:rsidR="00DA41B1" w:rsidRPr="0049065D">
        <w:rPr>
          <w:rFonts w:ascii="Times New Roman" w:hAnsi="Times New Roman" w:cs="Times New Roman"/>
          <w:sz w:val="24"/>
          <w:szCs w:val="24"/>
        </w:rPr>
        <w:t xml:space="preserve"> a na členské poplatky </w:t>
      </w:r>
      <w:r w:rsidRPr="0049065D">
        <w:rPr>
          <w:rFonts w:ascii="Times New Roman" w:hAnsi="Times New Roman" w:cs="Times New Roman"/>
          <w:sz w:val="24"/>
          <w:szCs w:val="24"/>
        </w:rPr>
        <w:t>medzinárodný</w:t>
      </w:r>
      <w:r w:rsidR="00704AF0" w:rsidRPr="0049065D">
        <w:rPr>
          <w:rFonts w:ascii="Times New Roman" w:hAnsi="Times New Roman" w:cs="Times New Roman"/>
          <w:sz w:val="24"/>
          <w:szCs w:val="24"/>
        </w:rPr>
        <w:t>m</w:t>
      </w:r>
      <w:r w:rsidRPr="0049065D">
        <w:rPr>
          <w:rFonts w:ascii="Times New Roman" w:hAnsi="Times New Roman" w:cs="Times New Roman"/>
          <w:sz w:val="24"/>
          <w:szCs w:val="24"/>
        </w:rPr>
        <w:t xml:space="preserve"> organizáci</w:t>
      </w:r>
      <w:r w:rsidR="00704AF0" w:rsidRPr="0049065D">
        <w:rPr>
          <w:rFonts w:ascii="Times New Roman" w:hAnsi="Times New Roman" w:cs="Times New Roman"/>
          <w:sz w:val="24"/>
          <w:szCs w:val="24"/>
        </w:rPr>
        <w:t>ám, ktorých je SR členom</w:t>
      </w:r>
      <w:r w:rsidR="00906D43" w:rsidRPr="0049065D">
        <w:rPr>
          <w:rFonts w:ascii="Times New Roman" w:hAnsi="Times New Roman" w:cs="Times New Roman"/>
          <w:sz w:val="24"/>
          <w:szCs w:val="24"/>
        </w:rPr>
        <w:t xml:space="preserve"> </w:t>
      </w:r>
      <w:r w:rsidR="00704AF0" w:rsidRPr="0049065D">
        <w:rPr>
          <w:rFonts w:ascii="Times New Roman" w:hAnsi="Times New Roman" w:cs="Times New Roman"/>
          <w:sz w:val="24"/>
          <w:szCs w:val="24"/>
        </w:rPr>
        <w:t>(</w:t>
      </w:r>
      <w:r w:rsidR="00E5029D" w:rsidRPr="0049065D">
        <w:rPr>
          <w:rFonts w:ascii="Times New Roman" w:hAnsi="Times New Roman" w:cs="Times New Roman"/>
          <w:sz w:val="24"/>
          <w:szCs w:val="24"/>
          <w:lang w:eastAsia="sk-SK"/>
        </w:rPr>
        <w:t>1</w:t>
      </w:r>
      <w:r w:rsidR="00182DE5" w:rsidRPr="0049065D">
        <w:rPr>
          <w:rFonts w:ascii="Times New Roman" w:hAnsi="Times New Roman" w:cs="Times New Roman"/>
          <w:sz w:val="24"/>
          <w:szCs w:val="24"/>
          <w:lang w:eastAsia="sk-SK"/>
        </w:rPr>
        <w:t> 177 315,07</w:t>
      </w:r>
      <w:r w:rsidR="00E5029D" w:rsidRPr="0049065D">
        <w:rPr>
          <w:rFonts w:ascii="Times New Roman" w:hAnsi="Times New Roman" w:cs="Times New Roman"/>
          <w:sz w:val="24"/>
          <w:szCs w:val="24"/>
          <w:lang w:eastAsia="sk-SK"/>
        </w:rPr>
        <w:t xml:space="preserve"> </w:t>
      </w:r>
      <w:r w:rsidR="00677755" w:rsidRPr="0049065D">
        <w:rPr>
          <w:rFonts w:ascii="Times New Roman" w:hAnsi="Times New Roman" w:cs="Times New Roman"/>
          <w:sz w:val="24"/>
          <w:szCs w:val="24"/>
          <w:lang w:eastAsia="sk-SK"/>
        </w:rPr>
        <w:t>e</w:t>
      </w:r>
      <w:r w:rsidR="00704AF0" w:rsidRPr="0049065D">
        <w:rPr>
          <w:rFonts w:ascii="Times New Roman" w:hAnsi="Times New Roman" w:cs="Times New Roman"/>
          <w:sz w:val="24"/>
          <w:szCs w:val="24"/>
          <w:lang w:eastAsia="sk-SK"/>
        </w:rPr>
        <w:t>ur).</w:t>
      </w:r>
    </w:p>
    <w:p w:rsidR="00AF013E" w:rsidRPr="00A427D1" w:rsidRDefault="00AF013E" w:rsidP="00E5029D">
      <w:pPr>
        <w:autoSpaceDE w:val="0"/>
        <w:autoSpaceDN w:val="0"/>
        <w:adjustRightInd w:val="0"/>
        <w:spacing w:after="0" w:line="240" w:lineRule="auto"/>
        <w:ind w:firstLine="709"/>
        <w:jc w:val="both"/>
        <w:rPr>
          <w:rFonts w:ascii="Times New Roman" w:hAnsi="Times New Roman" w:cs="Times New Roman"/>
          <w:sz w:val="24"/>
          <w:szCs w:val="24"/>
          <w:lang w:eastAsia="sk-SK"/>
        </w:rPr>
      </w:pPr>
    </w:p>
    <w:p w:rsidR="00D460DB" w:rsidRDefault="00AF013E" w:rsidP="00BA7D61">
      <w:pPr>
        <w:autoSpaceDE w:val="0"/>
        <w:autoSpaceDN w:val="0"/>
        <w:adjustRightInd w:val="0"/>
        <w:spacing w:after="0" w:line="240" w:lineRule="auto"/>
        <w:ind w:firstLine="708"/>
        <w:jc w:val="both"/>
        <w:rPr>
          <w:rFonts w:ascii="Times New Roman" w:hAnsi="Times New Roman" w:cs="Times New Roman"/>
          <w:sz w:val="24"/>
          <w:szCs w:val="24"/>
          <w:lang w:eastAsia="sk-SK"/>
        </w:rPr>
      </w:pPr>
      <w:r>
        <w:rPr>
          <w:rFonts w:ascii="Times New Roman" w:hAnsi="Times New Roman" w:cs="Times New Roman"/>
          <w:b/>
          <w:sz w:val="24"/>
          <w:szCs w:val="24"/>
        </w:rPr>
        <w:t xml:space="preserve">Na zahraničné pracovné cesty MH SR </w:t>
      </w:r>
      <w:r w:rsidR="00BA7D61">
        <w:rPr>
          <w:rFonts w:ascii="Times New Roman" w:hAnsi="Times New Roman" w:cs="Times New Roman"/>
          <w:sz w:val="24"/>
          <w:szCs w:val="24"/>
        </w:rPr>
        <w:t xml:space="preserve">sa v roku 2015 vyčerpalo 537 769,35 eur, pričom zo zdrojov štátneho rozpočtu sa vyčerpalo </w:t>
      </w:r>
      <w:r w:rsidR="00BA7D61">
        <w:rPr>
          <w:rFonts w:ascii="Times New Roman" w:hAnsi="Times New Roman" w:cs="Times New Roman"/>
          <w:sz w:val="24"/>
          <w:szCs w:val="24"/>
          <w:lang w:eastAsia="sk-SK"/>
        </w:rPr>
        <w:t>514 007,48 eur a 23 761,87 eur sa vyčerpalo zo zdrojov EÚ.</w:t>
      </w:r>
    </w:p>
    <w:p w:rsidR="00BA7D61" w:rsidRDefault="00BA7D61" w:rsidP="00BA7D61">
      <w:pPr>
        <w:autoSpaceDE w:val="0"/>
        <w:autoSpaceDN w:val="0"/>
        <w:adjustRightInd w:val="0"/>
        <w:spacing w:after="0" w:line="240" w:lineRule="auto"/>
        <w:ind w:firstLine="708"/>
        <w:jc w:val="both"/>
        <w:rPr>
          <w:rFonts w:ascii="Times New Roman" w:hAnsi="Times New Roman" w:cs="Times New Roman"/>
          <w:sz w:val="24"/>
          <w:szCs w:val="24"/>
          <w:lang w:eastAsia="sk-SK"/>
        </w:rPr>
      </w:pPr>
    </w:p>
    <w:p w:rsidR="00BA7D61" w:rsidRDefault="00647D5D" w:rsidP="00BA7D6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lang w:eastAsia="sk-SK"/>
        </w:rPr>
        <w:t>V</w:t>
      </w:r>
      <w:r w:rsidR="00BA7D61" w:rsidRPr="00BA7D61">
        <w:rPr>
          <w:rFonts w:ascii="Times New Roman" w:hAnsi="Times New Roman" w:cs="Times New Roman"/>
          <w:sz w:val="24"/>
          <w:szCs w:val="24"/>
          <w:lang w:eastAsia="sk-SK"/>
        </w:rPr>
        <w:t>ýdavk</w:t>
      </w:r>
      <w:r w:rsidR="00AA4A48">
        <w:rPr>
          <w:rFonts w:ascii="Times New Roman" w:hAnsi="Times New Roman" w:cs="Times New Roman"/>
          <w:sz w:val="24"/>
          <w:szCs w:val="24"/>
          <w:lang w:eastAsia="sk-SK"/>
        </w:rPr>
        <w:t>y</w:t>
      </w:r>
      <w:r w:rsidR="00BA7D61" w:rsidRPr="00BA7D61">
        <w:rPr>
          <w:rFonts w:ascii="Times New Roman" w:hAnsi="Times New Roman" w:cs="Times New Roman"/>
          <w:sz w:val="24"/>
          <w:szCs w:val="24"/>
          <w:lang w:eastAsia="sk-SK"/>
        </w:rPr>
        <w:t xml:space="preserve"> na </w:t>
      </w:r>
      <w:r w:rsidR="00BA7D61" w:rsidRPr="00BA7D61">
        <w:rPr>
          <w:rFonts w:ascii="Times New Roman" w:hAnsi="Times New Roman" w:cs="Times New Roman"/>
          <w:sz w:val="24"/>
          <w:szCs w:val="24"/>
        </w:rPr>
        <w:t>zahraničné pracovné cesty</w:t>
      </w:r>
      <w:r w:rsidR="00BA7D61">
        <w:rPr>
          <w:rFonts w:ascii="Times New Roman" w:hAnsi="Times New Roman" w:cs="Times New Roman"/>
          <w:sz w:val="24"/>
          <w:szCs w:val="24"/>
        </w:rPr>
        <w:t xml:space="preserve"> </w:t>
      </w:r>
      <w:r>
        <w:rPr>
          <w:rFonts w:ascii="Times New Roman" w:hAnsi="Times New Roman" w:cs="Times New Roman"/>
          <w:sz w:val="24"/>
          <w:szCs w:val="24"/>
        </w:rPr>
        <w:t>boli čerpané</w:t>
      </w:r>
      <w:r w:rsidR="00BA7D61">
        <w:rPr>
          <w:rFonts w:ascii="Times New Roman" w:hAnsi="Times New Roman" w:cs="Times New Roman"/>
          <w:sz w:val="24"/>
          <w:szCs w:val="24"/>
        </w:rPr>
        <w:t xml:space="preserve"> na úrade MH SR a v podriadených rozpočtových organizáciách MH SR.</w:t>
      </w:r>
    </w:p>
    <w:p w:rsidR="00BA7D61" w:rsidRPr="00BA7D61" w:rsidRDefault="00BA7D61" w:rsidP="00BA7D61">
      <w:pPr>
        <w:autoSpaceDE w:val="0"/>
        <w:autoSpaceDN w:val="0"/>
        <w:adjustRightInd w:val="0"/>
        <w:spacing w:after="0" w:line="240" w:lineRule="auto"/>
        <w:ind w:firstLine="708"/>
        <w:jc w:val="both"/>
        <w:rPr>
          <w:rFonts w:ascii="Times New Roman" w:hAnsi="Times New Roman" w:cs="Times New Roman"/>
          <w:sz w:val="24"/>
          <w:szCs w:val="24"/>
          <w:lang w:eastAsia="sk-SK"/>
        </w:rPr>
      </w:pPr>
    </w:p>
    <w:p w:rsidR="002E7D1D" w:rsidRPr="00A427D1" w:rsidRDefault="0012367D" w:rsidP="001C3BF8">
      <w:pPr>
        <w:autoSpaceDE w:val="0"/>
        <w:autoSpaceDN w:val="0"/>
        <w:adjustRightInd w:val="0"/>
        <w:spacing w:after="0" w:line="240" w:lineRule="auto"/>
        <w:ind w:firstLine="709"/>
        <w:jc w:val="both"/>
        <w:rPr>
          <w:rFonts w:ascii="Times New Roman" w:hAnsi="Times New Roman" w:cs="Times New Roman"/>
          <w:sz w:val="24"/>
          <w:szCs w:val="24"/>
          <w:lang w:eastAsia="sk-SK"/>
        </w:rPr>
      </w:pPr>
      <w:r w:rsidRPr="00A427D1">
        <w:rPr>
          <w:rFonts w:ascii="Times New Roman" w:hAnsi="Times New Roman" w:cs="Times New Roman"/>
          <w:b/>
          <w:bCs/>
          <w:sz w:val="24"/>
          <w:szCs w:val="24"/>
        </w:rPr>
        <w:t xml:space="preserve">Na zahraničné pracovné cesty </w:t>
      </w:r>
      <w:r w:rsidR="00903DE0" w:rsidRPr="00A427D1">
        <w:rPr>
          <w:rFonts w:ascii="Times New Roman" w:hAnsi="Times New Roman" w:cs="Times New Roman"/>
          <w:b/>
          <w:bCs/>
          <w:sz w:val="24"/>
          <w:szCs w:val="24"/>
        </w:rPr>
        <w:t xml:space="preserve">úradu </w:t>
      </w:r>
      <w:r w:rsidRPr="00A427D1">
        <w:rPr>
          <w:rFonts w:ascii="Times New Roman" w:hAnsi="Times New Roman" w:cs="Times New Roman"/>
          <w:b/>
          <w:bCs/>
          <w:sz w:val="24"/>
          <w:szCs w:val="24"/>
        </w:rPr>
        <w:t>ministerstva</w:t>
      </w:r>
      <w:r w:rsidR="00794C79" w:rsidRPr="00A427D1">
        <w:rPr>
          <w:rFonts w:ascii="Times New Roman" w:hAnsi="Times New Roman" w:cs="Times New Roman"/>
          <w:b/>
          <w:bCs/>
          <w:sz w:val="24"/>
          <w:szCs w:val="24"/>
        </w:rPr>
        <w:t xml:space="preserve"> </w:t>
      </w:r>
      <w:r w:rsidR="00903DE0" w:rsidRPr="00A427D1">
        <w:rPr>
          <w:rFonts w:ascii="Times New Roman" w:hAnsi="Times New Roman" w:cs="Times New Roman"/>
          <w:sz w:val="24"/>
          <w:szCs w:val="24"/>
        </w:rPr>
        <w:t xml:space="preserve">bolo </w:t>
      </w:r>
      <w:r w:rsidRPr="00A427D1">
        <w:rPr>
          <w:rFonts w:ascii="Times New Roman" w:hAnsi="Times New Roman" w:cs="Times New Roman"/>
          <w:sz w:val="24"/>
          <w:szCs w:val="24"/>
        </w:rPr>
        <w:t>v roku 201</w:t>
      </w:r>
      <w:r w:rsidR="00BA7D61">
        <w:rPr>
          <w:rFonts w:ascii="Times New Roman" w:hAnsi="Times New Roman" w:cs="Times New Roman"/>
          <w:sz w:val="24"/>
          <w:szCs w:val="24"/>
        </w:rPr>
        <w:t>5</w:t>
      </w:r>
      <w:r w:rsidR="00622BAC" w:rsidRPr="00A427D1">
        <w:rPr>
          <w:rFonts w:ascii="Times New Roman" w:hAnsi="Times New Roman" w:cs="Times New Roman"/>
          <w:sz w:val="24"/>
          <w:szCs w:val="24"/>
        </w:rPr>
        <w:t xml:space="preserve"> </w:t>
      </w:r>
      <w:r w:rsidR="00903DE0" w:rsidRPr="00A427D1">
        <w:rPr>
          <w:rFonts w:ascii="Times New Roman" w:hAnsi="Times New Roman" w:cs="Times New Roman"/>
          <w:sz w:val="24"/>
          <w:szCs w:val="24"/>
        </w:rPr>
        <w:t xml:space="preserve">vyčerpaných </w:t>
      </w:r>
      <w:r w:rsidR="00906D43" w:rsidRPr="00A427D1">
        <w:rPr>
          <w:rFonts w:ascii="Times New Roman" w:hAnsi="Times New Roman" w:cs="Times New Roman"/>
          <w:sz w:val="24"/>
          <w:szCs w:val="24"/>
        </w:rPr>
        <w:t xml:space="preserve">            </w:t>
      </w:r>
      <w:r w:rsidR="00BA7D61">
        <w:rPr>
          <w:rFonts w:ascii="Times New Roman" w:hAnsi="Times New Roman" w:cs="Times New Roman"/>
          <w:sz w:val="24"/>
          <w:szCs w:val="24"/>
          <w:lang w:eastAsia="sk-SK"/>
        </w:rPr>
        <w:t>518 345,59</w:t>
      </w:r>
      <w:r w:rsidR="00906D43" w:rsidRPr="00A427D1">
        <w:rPr>
          <w:rFonts w:ascii="Times New Roman" w:hAnsi="Times New Roman" w:cs="Times New Roman"/>
          <w:sz w:val="24"/>
          <w:szCs w:val="24"/>
          <w:lang w:eastAsia="sk-SK"/>
        </w:rPr>
        <w:t xml:space="preserve"> </w:t>
      </w:r>
      <w:r w:rsidR="001F4F01" w:rsidRPr="00A427D1">
        <w:rPr>
          <w:rFonts w:ascii="Times New Roman" w:hAnsi="Times New Roman" w:cs="Times New Roman"/>
          <w:sz w:val="24"/>
          <w:szCs w:val="24"/>
        </w:rPr>
        <w:t>e</w:t>
      </w:r>
      <w:r w:rsidR="00F13288" w:rsidRPr="00A427D1">
        <w:rPr>
          <w:rFonts w:ascii="Times New Roman" w:hAnsi="Times New Roman" w:cs="Times New Roman"/>
          <w:sz w:val="24"/>
          <w:szCs w:val="24"/>
        </w:rPr>
        <w:t>ur</w:t>
      </w:r>
      <w:r w:rsidR="00903DE0" w:rsidRPr="00A427D1">
        <w:rPr>
          <w:rFonts w:ascii="Times New Roman" w:hAnsi="Times New Roman" w:cs="Times New Roman"/>
          <w:sz w:val="24"/>
          <w:szCs w:val="24"/>
        </w:rPr>
        <w:t xml:space="preserve">. </w:t>
      </w:r>
      <w:r w:rsidR="002E7D1D" w:rsidRPr="00A427D1">
        <w:rPr>
          <w:rFonts w:ascii="Times New Roman" w:hAnsi="Times New Roman" w:cs="Times New Roman"/>
          <w:sz w:val="24"/>
          <w:szCs w:val="24"/>
        </w:rPr>
        <w:t>Išlo o čerpanie výdavkov na náhradu cestovných výdavkov, náhradu za ubytovanie, stravné, vreckové (len minister),  náhradu potrebných vedľajších výdavkov a poistné pri zahraničných pracovných cestách.</w:t>
      </w:r>
    </w:p>
    <w:p w:rsidR="002E7D1D" w:rsidRPr="00A427D1" w:rsidRDefault="002E7D1D" w:rsidP="001C3BF8">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V roku 201</w:t>
      </w:r>
      <w:r w:rsidR="007B3773">
        <w:rPr>
          <w:rFonts w:ascii="Times New Roman" w:hAnsi="Times New Roman" w:cs="Times New Roman"/>
          <w:sz w:val="24"/>
          <w:szCs w:val="24"/>
        </w:rPr>
        <w:t>5</w:t>
      </w:r>
      <w:r w:rsidRPr="00A427D1">
        <w:rPr>
          <w:rFonts w:ascii="Times New Roman" w:hAnsi="Times New Roman" w:cs="Times New Roman"/>
          <w:sz w:val="24"/>
          <w:szCs w:val="24"/>
        </w:rPr>
        <w:t xml:space="preserve"> bolo </w:t>
      </w:r>
      <w:r w:rsidR="00E662E2">
        <w:rPr>
          <w:rFonts w:ascii="Times New Roman" w:hAnsi="Times New Roman" w:cs="Times New Roman"/>
          <w:sz w:val="24"/>
          <w:szCs w:val="24"/>
        </w:rPr>
        <w:t>z</w:t>
      </w:r>
      <w:r w:rsidRPr="00A427D1">
        <w:rPr>
          <w:rFonts w:ascii="Times New Roman" w:hAnsi="Times New Roman" w:cs="Times New Roman"/>
          <w:sz w:val="24"/>
          <w:szCs w:val="24"/>
        </w:rPr>
        <w:t xml:space="preserve">realizovaných </w:t>
      </w:r>
      <w:r w:rsidR="007B3773">
        <w:rPr>
          <w:rFonts w:ascii="Times New Roman" w:hAnsi="Times New Roman" w:cs="Times New Roman"/>
          <w:sz w:val="24"/>
          <w:szCs w:val="24"/>
        </w:rPr>
        <w:t>722</w:t>
      </w:r>
      <w:r w:rsidRPr="00A427D1">
        <w:rPr>
          <w:rFonts w:ascii="Times New Roman" w:hAnsi="Times New Roman" w:cs="Times New Roman"/>
          <w:sz w:val="24"/>
          <w:szCs w:val="24"/>
        </w:rPr>
        <w:t xml:space="preserve"> zahraničných pracovných ciest, na ktorých sa zúčastnilo </w:t>
      </w:r>
      <w:r w:rsidR="007B3773">
        <w:rPr>
          <w:rFonts w:ascii="Times New Roman" w:hAnsi="Times New Roman" w:cs="Times New Roman"/>
          <w:sz w:val="24"/>
          <w:szCs w:val="24"/>
        </w:rPr>
        <w:t>895</w:t>
      </w:r>
      <w:r w:rsidRPr="00A427D1">
        <w:rPr>
          <w:rFonts w:ascii="Times New Roman" w:hAnsi="Times New Roman" w:cs="Times New Roman"/>
          <w:sz w:val="24"/>
          <w:szCs w:val="24"/>
        </w:rPr>
        <w:t xml:space="preserve"> zamestnancov Ministerstva hospodárstva SR.</w:t>
      </w:r>
    </w:p>
    <w:p w:rsidR="002E7D1D" w:rsidRPr="00A427D1" w:rsidRDefault="002E7D1D" w:rsidP="001C3BF8">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Najväčší počet predstavovali cesty zamestnancov ministerstva na zasadnutia výborov a pracovných skupín v rámci Rady Európskej únie, Európskej komisie, Energetickej charty, Medzinárodnej energetickej agentúry, WTO,  OECD, NATO, OPCW a ďalších európskych orgánov a organizácií.</w:t>
      </w:r>
    </w:p>
    <w:p w:rsidR="002E7D1D" w:rsidRDefault="002E7D1D" w:rsidP="007B3773">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 xml:space="preserve">Taktiež boli vykonané mnohé zahraničné pracovné cesty ministra a štátnych tajomníkov a to do štátov </w:t>
      </w:r>
      <w:r w:rsidR="007B3773">
        <w:rPr>
          <w:rFonts w:ascii="Times New Roman" w:hAnsi="Times New Roman" w:cs="Times New Roman"/>
          <w:sz w:val="24"/>
          <w:szCs w:val="24"/>
        </w:rPr>
        <w:t xml:space="preserve">Lotyšsko, </w:t>
      </w:r>
      <w:r w:rsidR="007B3773" w:rsidRPr="00A427D1">
        <w:rPr>
          <w:rFonts w:ascii="Times New Roman" w:hAnsi="Times New Roman" w:cs="Times New Roman"/>
          <w:sz w:val="24"/>
          <w:szCs w:val="24"/>
        </w:rPr>
        <w:t>Ukrajina,</w:t>
      </w:r>
      <w:r w:rsidR="007B3773">
        <w:rPr>
          <w:rFonts w:ascii="Times New Roman" w:hAnsi="Times New Roman" w:cs="Times New Roman"/>
          <w:sz w:val="24"/>
          <w:szCs w:val="24"/>
        </w:rPr>
        <w:t xml:space="preserve"> Bulharsko, Holandsko, </w:t>
      </w:r>
      <w:r w:rsidR="007B3773" w:rsidRPr="00A427D1">
        <w:rPr>
          <w:rFonts w:ascii="Times New Roman" w:hAnsi="Times New Roman" w:cs="Times New Roman"/>
          <w:sz w:val="24"/>
          <w:szCs w:val="24"/>
        </w:rPr>
        <w:t>Belgicko,</w:t>
      </w:r>
      <w:r w:rsidR="007B3773">
        <w:rPr>
          <w:rFonts w:ascii="Times New Roman" w:hAnsi="Times New Roman" w:cs="Times New Roman"/>
          <w:sz w:val="24"/>
          <w:szCs w:val="24"/>
        </w:rPr>
        <w:t xml:space="preserve"> USA, </w:t>
      </w:r>
      <w:r w:rsidR="007B3773" w:rsidRPr="00A427D1">
        <w:rPr>
          <w:rFonts w:ascii="Times New Roman" w:hAnsi="Times New Roman" w:cs="Times New Roman"/>
          <w:sz w:val="24"/>
          <w:szCs w:val="24"/>
        </w:rPr>
        <w:t>Taliansko,</w:t>
      </w:r>
      <w:r w:rsidR="007B3773">
        <w:rPr>
          <w:rFonts w:ascii="Times New Roman" w:hAnsi="Times New Roman" w:cs="Times New Roman"/>
          <w:sz w:val="24"/>
          <w:szCs w:val="24"/>
        </w:rPr>
        <w:t xml:space="preserve"> ČR, </w:t>
      </w:r>
      <w:r w:rsidR="007B3773" w:rsidRPr="00A427D1">
        <w:rPr>
          <w:rFonts w:ascii="Times New Roman" w:hAnsi="Times New Roman" w:cs="Times New Roman"/>
          <w:sz w:val="24"/>
          <w:szCs w:val="24"/>
        </w:rPr>
        <w:t>Rusko,  Luxembursko,</w:t>
      </w:r>
      <w:r w:rsidR="007B3773">
        <w:rPr>
          <w:rFonts w:ascii="Times New Roman" w:hAnsi="Times New Roman" w:cs="Times New Roman"/>
          <w:sz w:val="24"/>
          <w:szCs w:val="24"/>
        </w:rPr>
        <w:t xml:space="preserve"> </w:t>
      </w:r>
      <w:r w:rsidR="007B3773" w:rsidRPr="00A427D1">
        <w:rPr>
          <w:rFonts w:ascii="Times New Roman" w:hAnsi="Times New Roman" w:cs="Times New Roman"/>
          <w:sz w:val="24"/>
          <w:szCs w:val="24"/>
        </w:rPr>
        <w:t>Veľká Británia,</w:t>
      </w:r>
      <w:r w:rsidR="007B3773">
        <w:rPr>
          <w:rFonts w:ascii="Times New Roman" w:hAnsi="Times New Roman" w:cs="Times New Roman"/>
          <w:sz w:val="24"/>
          <w:szCs w:val="24"/>
        </w:rPr>
        <w:t xml:space="preserve"> </w:t>
      </w:r>
      <w:r w:rsidR="007B3773" w:rsidRPr="00A427D1">
        <w:rPr>
          <w:rFonts w:ascii="Times New Roman" w:hAnsi="Times New Roman" w:cs="Times New Roman"/>
          <w:sz w:val="24"/>
          <w:szCs w:val="24"/>
        </w:rPr>
        <w:t>Maďarsko,</w:t>
      </w:r>
      <w:r w:rsidR="007B3773">
        <w:rPr>
          <w:rFonts w:ascii="Times New Roman" w:hAnsi="Times New Roman" w:cs="Times New Roman"/>
          <w:sz w:val="24"/>
          <w:szCs w:val="24"/>
        </w:rPr>
        <w:t xml:space="preserve"> Chorvátsko, Rumunsko, Poľsko, </w:t>
      </w:r>
      <w:r w:rsidRPr="00A427D1">
        <w:rPr>
          <w:rFonts w:ascii="Times New Roman" w:hAnsi="Times New Roman" w:cs="Times New Roman"/>
          <w:sz w:val="24"/>
          <w:szCs w:val="24"/>
        </w:rPr>
        <w:t>Nemecko,</w:t>
      </w:r>
      <w:r w:rsidR="007B3773">
        <w:rPr>
          <w:rFonts w:ascii="Times New Roman" w:hAnsi="Times New Roman" w:cs="Times New Roman"/>
          <w:sz w:val="24"/>
          <w:szCs w:val="24"/>
        </w:rPr>
        <w:t xml:space="preserve"> </w:t>
      </w:r>
      <w:r w:rsidR="007B3773" w:rsidRPr="00A427D1">
        <w:rPr>
          <w:rFonts w:ascii="Times New Roman" w:hAnsi="Times New Roman" w:cs="Times New Roman"/>
          <w:sz w:val="24"/>
          <w:szCs w:val="24"/>
        </w:rPr>
        <w:t>Bielorusko,</w:t>
      </w:r>
      <w:r w:rsidR="007B3773">
        <w:rPr>
          <w:rFonts w:ascii="Times New Roman" w:hAnsi="Times New Roman" w:cs="Times New Roman"/>
          <w:sz w:val="24"/>
          <w:szCs w:val="24"/>
        </w:rPr>
        <w:t xml:space="preserve"> India, Estónsko, Francúzsko, Portugalsko, Arménsko, Kuba, Írsko, Spojené arabské emiráty, Čína, Srbsko, Keňa, </w:t>
      </w:r>
      <w:r w:rsidRPr="00A427D1">
        <w:rPr>
          <w:rFonts w:ascii="Times New Roman" w:hAnsi="Times New Roman" w:cs="Times New Roman"/>
          <w:sz w:val="24"/>
          <w:szCs w:val="24"/>
        </w:rPr>
        <w:t>nef</w:t>
      </w:r>
      <w:r w:rsidR="007B3773">
        <w:rPr>
          <w:rFonts w:ascii="Times New Roman" w:hAnsi="Times New Roman" w:cs="Times New Roman"/>
          <w:sz w:val="24"/>
          <w:szCs w:val="24"/>
        </w:rPr>
        <w:t>ormálne zasadnutia Rady EÚ a </w:t>
      </w:r>
      <w:proofErr w:type="spellStart"/>
      <w:r w:rsidR="007B3773">
        <w:rPr>
          <w:rFonts w:ascii="Times New Roman" w:hAnsi="Times New Roman" w:cs="Times New Roman"/>
          <w:sz w:val="24"/>
          <w:szCs w:val="24"/>
        </w:rPr>
        <w:t>EK</w:t>
      </w:r>
      <w:proofErr w:type="spellEnd"/>
      <w:r w:rsidR="007B3773">
        <w:rPr>
          <w:rFonts w:ascii="Times New Roman" w:hAnsi="Times New Roman" w:cs="Times New Roman"/>
          <w:sz w:val="24"/>
          <w:szCs w:val="24"/>
        </w:rPr>
        <w:t>.</w:t>
      </w:r>
    </w:p>
    <w:p w:rsidR="007B3773" w:rsidRPr="00A427D1" w:rsidRDefault="007B3773" w:rsidP="007B3773">
      <w:pPr>
        <w:spacing w:after="0" w:line="240" w:lineRule="auto"/>
        <w:ind w:firstLine="709"/>
        <w:jc w:val="both"/>
        <w:rPr>
          <w:rFonts w:ascii="Times New Roman" w:hAnsi="Times New Roman" w:cs="Times New Roman"/>
          <w:sz w:val="24"/>
          <w:szCs w:val="24"/>
        </w:rPr>
      </w:pPr>
    </w:p>
    <w:p w:rsidR="002E7D1D" w:rsidRPr="00A427D1" w:rsidRDefault="002E7D1D" w:rsidP="001C3BF8">
      <w:pPr>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 xml:space="preserve">Hlavným prínosom </w:t>
      </w:r>
      <w:r w:rsidR="009C2FFF" w:rsidRPr="00A427D1">
        <w:rPr>
          <w:rFonts w:ascii="Times New Roman" w:hAnsi="Times New Roman" w:cs="Times New Roman"/>
          <w:sz w:val="24"/>
          <w:szCs w:val="24"/>
        </w:rPr>
        <w:t>zahraničných pracovných ciest bola</w:t>
      </w:r>
      <w:r w:rsidRPr="00A427D1">
        <w:rPr>
          <w:rFonts w:ascii="Times New Roman" w:hAnsi="Times New Roman" w:cs="Times New Roman"/>
          <w:sz w:val="24"/>
          <w:szCs w:val="24"/>
        </w:rPr>
        <w:t xml:space="preserve"> práca v  európskych štruktúrach, začlenenie do medzinárodných orgánov a organizácií, príprava a</w:t>
      </w:r>
      <w:r w:rsidR="005B47E2" w:rsidRPr="00A427D1">
        <w:rPr>
          <w:rFonts w:ascii="Times New Roman" w:hAnsi="Times New Roman" w:cs="Times New Roman"/>
          <w:sz w:val="24"/>
          <w:szCs w:val="24"/>
        </w:rPr>
        <w:t xml:space="preserve"> </w:t>
      </w:r>
      <w:r w:rsidRPr="00A427D1">
        <w:rPr>
          <w:rFonts w:ascii="Times New Roman" w:hAnsi="Times New Roman" w:cs="Times New Roman"/>
          <w:sz w:val="24"/>
          <w:szCs w:val="24"/>
        </w:rPr>
        <w:t> podpis bilaterálnych medzivládnych a medzirezortných dohôd, rozvoj spolupráce v oblasti podnikania, energetiky, hospodárskej stratégie</w:t>
      </w:r>
      <w:r w:rsidR="007B3773">
        <w:rPr>
          <w:rFonts w:ascii="Times New Roman" w:hAnsi="Times New Roman" w:cs="Times New Roman"/>
          <w:sz w:val="24"/>
          <w:szCs w:val="24"/>
        </w:rPr>
        <w:t>, príprava na predsedníctvo SR v Európskej únii v roku 2016</w:t>
      </w:r>
      <w:r w:rsidRPr="00A427D1">
        <w:rPr>
          <w:rFonts w:ascii="Times New Roman" w:hAnsi="Times New Roman" w:cs="Times New Roman"/>
          <w:sz w:val="24"/>
          <w:szCs w:val="24"/>
        </w:rPr>
        <w:t>.</w:t>
      </w:r>
    </w:p>
    <w:p w:rsidR="002E7D1D" w:rsidRPr="00A427D1" w:rsidRDefault="002E7D1D" w:rsidP="001C3BF8">
      <w:pPr>
        <w:spacing w:after="0" w:line="240" w:lineRule="auto"/>
        <w:ind w:firstLine="709"/>
        <w:jc w:val="both"/>
        <w:rPr>
          <w:rFonts w:ascii="Times New Roman" w:hAnsi="Times New Roman" w:cs="Times New Roman"/>
          <w:sz w:val="24"/>
          <w:szCs w:val="24"/>
        </w:rPr>
      </w:pPr>
    </w:p>
    <w:p w:rsidR="007936F8" w:rsidRDefault="0012367D" w:rsidP="001C3BF8">
      <w:pPr>
        <w:autoSpaceDE w:val="0"/>
        <w:autoSpaceDN w:val="0"/>
        <w:adjustRightInd w:val="0"/>
        <w:spacing w:after="0" w:line="240" w:lineRule="auto"/>
        <w:ind w:firstLine="709"/>
        <w:jc w:val="both"/>
        <w:rPr>
          <w:rFonts w:ascii="Times New Roman" w:hAnsi="Times New Roman" w:cs="Times New Roman"/>
          <w:sz w:val="24"/>
          <w:szCs w:val="24"/>
        </w:rPr>
      </w:pPr>
      <w:r w:rsidRPr="00F3379B">
        <w:rPr>
          <w:rFonts w:ascii="Times New Roman" w:hAnsi="Times New Roman" w:cs="Times New Roman"/>
          <w:b/>
          <w:bCs/>
          <w:sz w:val="24"/>
          <w:szCs w:val="24"/>
        </w:rPr>
        <w:t xml:space="preserve">Za </w:t>
      </w:r>
      <w:r w:rsidR="00903DE0" w:rsidRPr="00F3379B">
        <w:rPr>
          <w:rFonts w:ascii="Times New Roman" w:hAnsi="Times New Roman" w:cs="Times New Roman"/>
          <w:b/>
          <w:bCs/>
          <w:sz w:val="24"/>
          <w:szCs w:val="24"/>
        </w:rPr>
        <w:t xml:space="preserve">podriadené </w:t>
      </w:r>
      <w:r w:rsidRPr="00F3379B">
        <w:rPr>
          <w:rFonts w:ascii="Times New Roman" w:hAnsi="Times New Roman" w:cs="Times New Roman"/>
          <w:b/>
          <w:bCs/>
          <w:sz w:val="24"/>
          <w:szCs w:val="24"/>
        </w:rPr>
        <w:t>rozpočtové organizácie</w:t>
      </w:r>
      <w:r w:rsidR="00046C37" w:rsidRPr="00F3379B">
        <w:rPr>
          <w:rFonts w:ascii="Times New Roman" w:hAnsi="Times New Roman" w:cs="Times New Roman"/>
          <w:b/>
          <w:bCs/>
          <w:sz w:val="24"/>
          <w:szCs w:val="24"/>
        </w:rPr>
        <w:t xml:space="preserve"> </w:t>
      </w:r>
      <w:r w:rsidRPr="00F3379B">
        <w:rPr>
          <w:rFonts w:ascii="Times New Roman" w:hAnsi="Times New Roman" w:cs="Times New Roman"/>
          <w:sz w:val="24"/>
          <w:szCs w:val="24"/>
        </w:rPr>
        <w:t>bolo uskutočnených</w:t>
      </w:r>
      <w:r w:rsidR="00D460DB" w:rsidRPr="00F3379B">
        <w:rPr>
          <w:rFonts w:ascii="Times New Roman" w:hAnsi="Times New Roman" w:cs="Times New Roman"/>
          <w:sz w:val="24"/>
          <w:szCs w:val="24"/>
        </w:rPr>
        <w:t xml:space="preserve"> </w:t>
      </w:r>
      <w:r w:rsidR="008D5867" w:rsidRPr="00F3379B">
        <w:rPr>
          <w:rFonts w:ascii="Times New Roman" w:hAnsi="Times New Roman" w:cs="Times New Roman"/>
          <w:sz w:val="24"/>
          <w:szCs w:val="24"/>
        </w:rPr>
        <w:t>69</w:t>
      </w:r>
      <w:r w:rsidR="00F1126B" w:rsidRPr="00F3379B">
        <w:rPr>
          <w:rFonts w:ascii="Times New Roman" w:hAnsi="Times New Roman" w:cs="Times New Roman"/>
          <w:sz w:val="24"/>
          <w:szCs w:val="24"/>
        </w:rPr>
        <w:t xml:space="preserve"> </w:t>
      </w:r>
      <w:r w:rsidRPr="00F3379B">
        <w:rPr>
          <w:rFonts w:ascii="Times New Roman" w:hAnsi="Times New Roman" w:cs="Times New Roman"/>
          <w:sz w:val="24"/>
          <w:szCs w:val="24"/>
        </w:rPr>
        <w:t>zahraničných pracovných ciest, ktorých sa zúčastnilo</w:t>
      </w:r>
      <w:r w:rsidR="00D460DB" w:rsidRPr="00F3379B">
        <w:rPr>
          <w:rFonts w:ascii="Times New Roman" w:hAnsi="Times New Roman" w:cs="Times New Roman"/>
          <w:sz w:val="24"/>
          <w:szCs w:val="24"/>
        </w:rPr>
        <w:t xml:space="preserve"> </w:t>
      </w:r>
      <w:r w:rsidR="008D5867" w:rsidRPr="00F3379B">
        <w:rPr>
          <w:rFonts w:ascii="Times New Roman" w:hAnsi="Times New Roman" w:cs="Times New Roman"/>
          <w:sz w:val="24"/>
          <w:szCs w:val="24"/>
        </w:rPr>
        <w:t>72</w:t>
      </w:r>
      <w:r w:rsidR="007936F8" w:rsidRPr="00F3379B">
        <w:rPr>
          <w:rFonts w:ascii="Times New Roman" w:hAnsi="Times New Roman" w:cs="Times New Roman"/>
          <w:sz w:val="24"/>
          <w:szCs w:val="24"/>
        </w:rPr>
        <w:t xml:space="preserve"> </w:t>
      </w:r>
      <w:r w:rsidRPr="00F3379B">
        <w:rPr>
          <w:rFonts w:ascii="Times New Roman" w:hAnsi="Times New Roman" w:cs="Times New Roman"/>
          <w:sz w:val="24"/>
          <w:szCs w:val="24"/>
        </w:rPr>
        <w:t xml:space="preserve">zamestnancov. Výdavky na zahraničné pracovné cesty predstavovali </w:t>
      </w:r>
      <w:r w:rsidR="007936F8" w:rsidRPr="00F3379B">
        <w:rPr>
          <w:rFonts w:ascii="Times New Roman" w:hAnsi="Times New Roman" w:cs="Times New Roman"/>
          <w:sz w:val="24"/>
          <w:szCs w:val="24"/>
        </w:rPr>
        <w:t xml:space="preserve">sumu 19 423,76 </w:t>
      </w:r>
      <w:r w:rsidR="002E7D1D" w:rsidRPr="00F3379B">
        <w:rPr>
          <w:rFonts w:ascii="Times New Roman" w:hAnsi="Times New Roman" w:cs="Times New Roman"/>
          <w:sz w:val="24"/>
          <w:szCs w:val="24"/>
        </w:rPr>
        <w:t>e</w:t>
      </w:r>
      <w:r w:rsidRPr="00F3379B">
        <w:rPr>
          <w:rFonts w:ascii="Times New Roman" w:hAnsi="Times New Roman" w:cs="Times New Roman"/>
          <w:sz w:val="24"/>
          <w:szCs w:val="24"/>
        </w:rPr>
        <w:t>ur.</w:t>
      </w:r>
    </w:p>
    <w:p w:rsidR="00EB1769" w:rsidRDefault="00EB1769" w:rsidP="001C3BF8">
      <w:pPr>
        <w:autoSpaceDE w:val="0"/>
        <w:autoSpaceDN w:val="0"/>
        <w:adjustRightInd w:val="0"/>
        <w:spacing w:after="0" w:line="240" w:lineRule="auto"/>
        <w:ind w:firstLine="709"/>
        <w:jc w:val="both"/>
        <w:rPr>
          <w:rFonts w:ascii="Times New Roman" w:hAnsi="Times New Roman" w:cs="Times New Roman"/>
          <w:sz w:val="24"/>
          <w:szCs w:val="24"/>
        </w:rPr>
      </w:pPr>
    </w:p>
    <w:p w:rsidR="00EB1769" w:rsidRPr="00F3379B" w:rsidRDefault="00EB1769" w:rsidP="00EB1769">
      <w:pPr>
        <w:spacing w:after="0" w:line="240" w:lineRule="auto"/>
        <w:ind w:firstLine="708"/>
        <w:jc w:val="both"/>
        <w:rPr>
          <w:rFonts w:ascii="Times New Roman" w:hAnsi="Times New Roman" w:cs="Times New Roman"/>
          <w:sz w:val="24"/>
          <w:szCs w:val="24"/>
        </w:rPr>
      </w:pPr>
      <w:r w:rsidRPr="00F3379B">
        <w:rPr>
          <w:rFonts w:ascii="Times New Roman" w:hAnsi="Times New Roman" w:cs="Times New Roman"/>
          <w:sz w:val="24"/>
          <w:szCs w:val="24"/>
        </w:rPr>
        <w:t xml:space="preserve">Zahraničné pracovné cesty boli zrealizované v Izraeli, Českej republike, Anglicku, Fínsku, Belgicku, Estónsku, Rakúsku, Nemecku, Maďarsku, Portugalsku, Švédsku </w:t>
      </w:r>
      <w:r w:rsidR="008D5867" w:rsidRPr="00F3379B">
        <w:rPr>
          <w:rFonts w:ascii="Times New Roman" w:hAnsi="Times New Roman" w:cs="Times New Roman"/>
          <w:sz w:val="24"/>
          <w:szCs w:val="24"/>
        </w:rPr>
        <w:t xml:space="preserve">, </w:t>
      </w:r>
      <w:r w:rsidR="00F3379B" w:rsidRPr="00F3379B">
        <w:rPr>
          <w:rFonts w:ascii="Times New Roman" w:hAnsi="Times New Roman" w:cs="Times New Roman"/>
          <w:sz w:val="24"/>
          <w:szCs w:val="24"/>
        </w:rPr>
        <w:t xml:space="preserve">Nórsku, Taliansku </w:t>
      </w:r>
      <w:r w:rsidRPr="00F3379B">
        <w:rPr>
          <w:rFonts w:ascii="Times New Roman" w:hAnsi="Times New Roman" w:cs="Times New Roman"/>
          <w:sz w:val="24"/>
          <w:szCs w:val="24"/>
        </w:rPr>
        <w:t xml:space="preserve">a Švajčiarsku. </w:t>
      </w:r>
    </w:p>
    <w:p w:rsidR="00EB1769" w:rsidRPr="00F3379B" w:rsidRDefault="00EB1769" w:rsidP="001C3BF8">
      <w:pPr>
        <w:autoSpaceDE w:val="0"/>
        <w:autoSpaceDN w:val="0"/>
        <w:adjustRightInd w:val="0"/>
        <w:spacing w:after="0" w:line="240" w:lineRule="auto"/>
        <w:ind w:firstLine="709"/>
        <w:jc w:val="both"/>
        <w:rPr>
          <w:rFonts w:ascii="Times New Roman" w:hAnsi="Times New Roman" w:cs="Times New Roman"/>
          <w:color w:val="FF0000"/>
          <w:sz w:val="24"/>
          <w:szCs w:val="24"/>
        </w:rPr>
      </w:pPr>
    </w:p>
    <w:p w:rsidR="00F1126B" w:rsidRDefault="00622BAC" w:rsidP="00EB176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sidRPr="00A427D1">
        <w:rPr>
          <w:rFonts w:ascii="Times New Roman" w:hAnsi="Times New Roman" w:cs="Times New Roman"/>
          <w:sz w:val="24"/>
          <w:szCs w:val="24"/>
        </w:rPr>
        <w:t xml:space="preserve"> Zahraničné </w:t>
      </w:r>
      <w:r w:rsidR="00647D5D">
        <w:rPr>
          <w:rFonts w:ascii="Times New Roman" w:hAnsi="Times New Roman" w:cs="Times New Roman"/>
          <w:sz w:val="24"/>
          <w:szCs w:val="24"/>
        </w:rPr>
        <w:t xml:space="preserve"> </w:t>
      </w:r>
      <w:r w:rsidRPr="00A427D1">
        <w:rPr>
          <w:rFonts w:ascii="Times New Roman" w:hAnsi="Times New Roman" w:cs="Times New Roman"/>
          <w:sz w:val="24"/>
          <w:szCs w:val="24"/>
        </w:rPr>
        <w:t>pracovné</w:t>
      </w:r>
      <w:r w:rsidR="0012367D" w:rsidRPr="00A427D1">
        <w:rPr>
          <w:rFonts w:ascii="Times New Roman" w:hAnsi="Times New Roman" w:cs="Times New Roman"/>
          <w:sz w:val="24"/>
          <w:szCs w:val="24"/>
        </w:rPr>
        <w:t xml:space="preserve"> </w:t>
      </w:r>
      <w:r w:rsidR="00647D5D">
        <w:rPr>
          <w:rFonts w:ascii="Times New Roman" w:hAnsi="Times New Roman" w:cs="Times New Roman"/>
          <w:sz w:val="24"/>
          <w:szCs w:val="24"/>
        </w:rPr>
        <w:t xml:space="preserve"> </w:t>
      </w:r>
      <w:r w:rsidR="0012367D" w:rsidRPr="00A427D1">
        <w:rPr>
          <w:rFonts w:ascii="Times New Roman" w:hAnsi="Times New Roman" w:cs="Times New Roman"/>
          <w:sz w:val="24"/>
          <w:szCs w:val="24"/>
        </w:rPr>
        <w:t xml:space="preserve">cesty </w:t>
      </w:r>
      <w:r w:rsidR="00647D5D">
        <w:rPr>
          <w:rFonts w:ascii="Times New Roman" w:hAnsi="Times New Roman" w:cs="Times New Roman"/>
          <w:sz w:val="24"/>
          <w:szCs w:val="24"/>
        </w:rPr>
        <w:t xml:space="preserve"> </w:t>
      </w:r>
      <w:r w:rsidR="0012367D" w:rsidRPr="00A427D1">
        <w:rPr>
          <w:rFonts w:ascii="Times New Roman" w:hAnsi="Times New Roman" w:cs="Times New Roman"/>
          <w:sz w:val="24"/>
          <w:szCs w:val="24"/>
        </w:rPr>
        <w:t xml:space="preserve">súviseli  s </w:t>
      </w:r>
      <w:r w:rsidR="00647D5D">
        <w:rPr>
          <w:rFonts w:ascii="Times New Roman" w:hAnsi="Times New Roman" w:cs="Times New Roman"/>
          <w:sz w:val="24"/>
          <w:szCs w:val="24"/>
        </w:rPr>
        <w:t xml:space="preserve"> </w:t>
      </w:r>
      <w:r w:rsidR="0012367D" w:rsidRPr="00A427D1">
        <w:rPr>
          <w:rFonts w:ascii="Times New Roman" w:hAnsi="Times New Roman" w:cs="Times New Roman"/>
          <w:sz w:val="24"/>
          <w:szCs w:val="24"/>
        </w:rPr>
        <w:t xml:space="preserve">členstvom </w:t>
      </w:r>
      <w:r w:rsidR="00647D5D">
        <w:rPr>
          <w:rFonts w:ascii="Times New Roman" w:hAnsi="Times New Roman" w:cs="Times New Roman"/>
          <w:sz w:val="24"/>
          <w:szCs w:val="24"/>
        </w:rPr>
        <w:t xml:space="preserve"> </w:t>
      </w:r>
      <w:r w:rsidR="00F1126B" w:rsidRPr="00647D5D">
        <w:rPr>
          <w:rFonts w:ascii="Times New Roman" w:eastAsia="Times New Roman" w:hAnsi="Times New Roman" w:cs="Times New Roman"/>
          <w:i/>
          <w:color w:val="000000"/>
          <w:sz w:val="24"/>
          <w:szCs w:val="24"/>
          <w:lang w:eastAsia="sk-SK"/>
        </w:rPr>
        <w:t>Puncového úradu</w:t>
      </w:r>
      <w:r w:rsidR="00647D5D" w:rsidRPr="00647D5D">
        <w:rPr>
          <w:rFonts w:ascii="Times New Roman" w:eastAsia="Times New Roman" w:hAnsi="Times New Roman" w:cs="Times New Roman"/>
          <w:i/>
          <w:color w:val="000000"/>
          <w:sz w:val="24"/>
          <w:szCs w:val="24"/>
          <w:lang w:eastAsia="sk-SK"/>
        </w:rPr>
        <w:t xml:space="preserve"> </w:t>
      </w:r>
      <w:r w:rsidR="00F1126B" w:rsidRPr="00647D5D">
        <w:rPr>
          <w:rFonts w:ascii="Times New Roman" w:eastAsia="Times New Roman" w:hAnsi="Times New Roman" w:cs="Times New Roman"/>
          <w:i/>
          <w:color w:val="000000"/>
          <w:sz w:val="24"/>
          <w:szCs w:val="24"/>
          <w:lang w:eastAsia="sk-SK"/>
        </w:rPr>
        <w:t xml:space="preserve"> </w:t>
      </w:r>
      <w:r w:rsidR="00F1126B" w:rsidRPr="00A427D1">
        <w:rPr>
          <w:rFonts w:ascii="Times New Roman" w:eastAsia="Times New Roman" w:hAnsi="Times New Roman" w:cs="Times New Roman"/>
          <w:color w:val="000000"/>
          <w:sz w:val="24"/>
          <w:szCs w:val="24"/>
          <w:lang w:eastAsia="sk-SK"/>
        </w:rPr>
        <w:t>v medzinárodn</w:t>
      </w:r>
      <w:r w:rsidR="00647D5D">
        <w:rPr>
          <w:rFonts w:ascii="Times New Roman" w:eastAsia="Times New Roman" w:hAnsi="Times New Roman" w:cs="Times New Roman"/>
          <w:color w:val="000000"/>
          <w:sz w:val="24"/>
          <w:szCs w:val="24"/>
          <w:lang w:eastAsia="sk-SK"/>
        </w:rPr>
        <w:t>ej</w:t>
      </w:r>
      <w:r w:rsidR="00F1126B" w:rsidRPr="00A427D1">
        <w:rPr>
          <w:rFonts w:ascii="Times New Roman" w:eastAsia="Times New Roman" w:hAnsi="Times New Roman" w:cs="Times New Roman"/>
          <w:color w:val="000000"/>
          <w:sz w:val="24"/>
          <w:szCs w:val="24"/>
          <w:lang w:eastAsia="sk-SK"/>
        </w:rPr>
        <w:t xml:space="preserve"> organizáci</w:t>
      </w:r>
      <w:r w:rsidR="00647D5D">
        <w:rPr>
          <w:rFonts w:ascii="Times New Roman" w:eastAsia="Times New Roman" w:hAnsi="Times New Roman" w:cs="Times New Roman"/>
          <w:color w:val="000000"/>
          <w:sz w:val="24"/>
          <w:szCs w:val="24"/>
          <w:lang w:eastAsia="sk-SK"/>
        </w:rPr>
        <w:t>i Dohovor</w:t>
      </w:r>
      <w:r w:rsidR="00F1126B" w:rsidRPr="00A427D1">
        <w:rPr>
          <w:rFonts w:ascii="Times New Roman" w:eastAsia="Times New Roman" w:hAnsi="Times New Roman" w:cs="Times New Roman"/>
          <w:color w:val="000000"/>
          <w:sz w:val="24"/>
          <w:szCs w:val="24"/>
          <w:lang w:eastAsia="sk-SK"/>
        </w:rPr>
        <w:t xml:space="preserve"> o kontrole a označovaní výrobkov z drahých kovov a v Medzinárodnej asociácii puncových úradov (</w:t>
      </w:r>
      <w:proofErr w:type="spellStart"/>
      <w:r w:rsidR="00F1126B" w:rsidRPr="00A427D1">
        <w:rPr>
          <w:rFonts w:ascii="Times New Roman" w:eastAsia="Times New Roman" w:hAnsi="Times New Roman" w:cs="Times New Roman"/>
          <w:color w:val="000000"/>
          <w:sz w:val="24"/>
          <w:szCs w:val="24"/>
          <w:lang w:eastAsia="sk-SK"/>
        </w:rPr>
        <w:t>IAAO</w:t>
      </w:r>
      <w:proofErr w:type="spellEnd"/>
      <w:r w:rsidR="00F1126B" w:rsidRPr="00A427D1">
        <w:rPr>
          <w:rFonts w:ascii="Times New Roman" w:eastAsia="Times New Roman" w:hAnsi="Times New Roman" w:cs="Times New Roman"/>
          <w:color w:val="000000"/>
          <w:sz w:val="24"/>
          <w:szCs w:val="24"/>
          <w:lang w:eastAsia="sk-SK"/>
        </w:rPr>
        <w:t xml:space="preserve">) ako aj rokovania o aktuálnych otázkach a problémoch z oblasti výkonu puncovej kontroly a puncovej inšpekcie </w:t>
      </w:r>
      <w:r w:rsidR="000B7E41" w:rsidRPr="00A427D1">
        <w:rPr>
          <w:rFonts w:ascii="Times New Roman" w:eastAsia="Times New Roman" w:hAnsi="Times New Roman" w:cs="Times New Roman"/>
          <w:color w:val="000000"/>
          <w:sz w:val="24"/>
          <w:szCs w:val="24"/>
          <w:lang w:eastAsia="sk-SK"/>
        </w:rPr>
        <w:t xml:space="preserve">v </w:t>
      </w:r>
      <w:r w:rsidR="00F1126B" w:rsidRPr="00A427D1">
        <w:rPr>
          <w:rFonts w:ascii="Times New Roman" w:eastAsia="Times New Roman" w:hAnsi="Times New Roman" w:cs="Times New Roman"/>
          <w:color w:val="000000"/>
          <w:sz w:val="24"/>
          <w:szCs w:val="24"/>
          <w:lang w:eastAsia="sk-SK"/>
        </w:rPr>
        <w:t xml:space="preserve">rámci </w:t>
      </w:r>
      <w:proofErr w:type="spellStart"/>
      <w:r w:rsidR="00F1126B" w:rsidRPr="00A427D1">
        <w:rPr>
          <w:rFonts w:ascii="Times New Roman" w:eastAsia="Times New Roman" w:hAnsi="Times New Roman" w:cs="Times New Roman"/>
          <w:color w:val="000000"/>
          <w:sz w:val="24"/>
          <w:szCs w:val="24"/>
          <w:lang w:eastAsia="sk-SK"/>
        </w:rPr>
        <w:t>VG4</w:t>
      </w:r>
      <w:proofErr w:type="spellEnd"/>
      <w:r w:rsidR="00F1126B" w:rsidRPr="00A427D1">
        <w:rPr>
          <w:rFonts w:ascii="Times New Roman" w:eastAsia="Times New Roman" w:hAnsi="Times New Roman" w:cs="Times New Roman"/>
          <w:color w:val="000000"/>
          <w:sz w:val="24"/>
          <w:szCs w:val="24"/>
          <w:lang w:eastAsia="sk-SK"/>
        </w:rPr>
        <w:t xml:space="preserve">. </w:t>
      </w:r>
    </w:p>
    <w:p w:rsidR="00EB1769" w:rsidRPr="00A427D1" w:rsidRDefault="00EB1769" w:rsidP="00EB1769">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 xml:space="preserve">Zamestnanci </w:t>
      </w:r>
      <w:r w:rsidRPr="00647D5D">
        <w:rPr>
          <w:rFonts w:ascii="Times New Roman" w:eastAsia="Times New Roman" w:hAnsi="Times New Roman" w:cs="Times New Roman"/>
          <w:i/>
          <w:color w:val="000000"/>
          <w:sz w:val="24"/>
          <w:szCs w:val="24"/>
          <w:lang w:eastAsia="sk-SK"/>
        </w:rPr>
        <w:t>Hlavného banského úradu</w:t>
      </w:r>
      <w:r>
        <w:rPr>
          <w:rFonts w:ascii="Times New Roman" w:eastAsia="Times New Roman" w:hAnsi="Times New Roman" w:cs="Times New Roman"/>
          <w:color w:val="000000"/>
          <w:sz w:val="24"/>
          <w:szCs w:val="24"/>
          <w:lang w:eastAsia="sk-SK"/>
        </w:rPr>
        <w:t xml:space="preserve"> sa zú</w:t>
      </w:r>
      <w:r w:rsidRPr="00EB1769">
        <w:rPr>
          <w:rFonts w:ascii="Times New Roman" w:eastAsia="Times New Roman" w:hAnsi="Times New Roman" w:cs="Times New Roman"/>
          <w:color w:val="000000"/>
          <w:sz w:val="24"/>
          <w:szCs w:val="24"/>
          <w:lang w:eastAsia="sk-SK"/>
        </w:rPr>
        <w:t>čas</w:t>
      </w:r>
      <w:r>
        <w:rPr>
          <w:rFonts w:ascii="Times New Roman" w:eastAsia="Times New Roman" w:hAnsi="Times New Roman" w:cs="Times New Roman"/>
          <w:color w:val="000000"/>
          <w:sz w:val="24"/>
          <w:szCs w:val="24"/>
          <w:lang w:eastAsia="sk-SK"/>
        </w:rPr>
        <w:t>tnili</w:t>
      </w:r>
      <w:r w:rsidRPr="00EB1769">
        <w:rPr>
          <w:rFonts w:ascii="Times New Roman" w:eastAsia="Times New Roman" w:hAnsi="Times New Roman" w:cs="Times New Roman"/>
          <w:color w:val="000000"/>
          <w:sz w:val="24"/>
          <w:szCs w:val="24"/>
          <w:lang w:eastAsia="sk-SK"/>
        </w:rPr>
        <w:t xml:space="preserve"> na seminári pre strelmajstrov, </w:t>
      </w:r>
      <w:proofErr w:type="spellStart"/>
      <w:r w:rsidRPr="00EB1769">
        <w:rPr>
          <w:rFonts w:ascii="Times New Roman" w:eastAsia="Times New Roman" w:hAnsi="Times New Roman" w:cs="Times New Roman"/>
          <w:color w:val="000000"/>
          <w:sz w:val="24"/>
          <w:szCs w:val="24"/>
          <w:lang w:eastAsia="sk-SK"/>
        </w:rPr>
        <w:t>TVO</w:t>
      </w:r>
      <w:proofErr w:type="spellEnd"/>
      <w:r w:rsidRPr="00EB1769">
        <w:rPr>
          <w:rFonts w:ascii="Times New Roman" w:eastAsia="Times New Roman" w:hAnsi="Times New Roman" w:cs="Times New Roman"/>
          <w:color w:val="000000"/>
          <w:sz w:val="24"/>
          <w:szCs w:val="24"/>
          <w:lang w:eastAsia="sk-SK"/>
        </w:rPr>
        <w:t xml:space="preserve"> </w:t>
      </w:r>
      <w:r>
        <w:rPr>
          <w:rFonts w:ascii="Times New Roman" w:eastAsia="Times New Roman" w:hAnsi="Times New Roman" w:cs="Times New Roman"/>
          <w:color w:val="000000"/>
          <w:sz w:val="24"/>
          <w:szCs w:val="24"/>
          <w:lang w:eastAsia="sk-SK"/>
        </w:rPr>
        <w:t xml:space="preserve">so zameraním na </w:t>
      </w:r>
      <w:r w:rsidRPr="00EB1769">
        <w:rPr>
          <w:rFonts w:ascii="Times New Roman" w:eastAsia="Times New Roman" w:hAnsi="Times New Roman" w:cs="Times New Roman"/>
          <w:color w:val="000000"/>
          <w:sz w:val="24"/>
          <w:szCs w:val="24"/>
          <w:lang w:eastAsia="sk-SK"/>
        </w:rPr>
        <w:t>rozšírenie znalostí o najnovšej skúsenosti odborníkov v danej problematike</w:t>
      </w:r>
      <w:r>
        <w:rPr>
          <w:rFonts w:ascii="Times New Roman" w:eastAsia="Times New Roman" w:hAnsi="Times New Roman" w:cs="Times New Roman"/>
          <w:color w:val="000000"/>
          <w:sz w:val="24"/>
          <w:szCs w:val="24"/>
          <w:lang w:eastAsia="sk-SK"/>
        </w:rPr>
        <w:t xml:space="preserve"> a na s</w:t>
      </w:r>
      <w:r w:rsidRPr="00EB1769">
        <w:rPr>
          <w:rFonts w:ascii="Times New Roman" w:eastAsia="Times New Roman" w:hAnsi="Times New Roman" w:cs="Times New Roman"/>
          <w:color w:val="000000"/>
          <w:sz w:val="24"/>
          <w:szCs w:val="24"/>
          <w:lang w:eastAsia="sk-SK"/>
        </w:rPr>
        <w:t>tretnut</w:t>
      </w:r>
      <w:r>
        <w:rPr>
          <w:rFonts w:ascii="Times New Roman" w:eastAsia="Times New Roman" w:hAnsi="Times New Roman" w:cs="Times New Roman"/>
          <w:color w:val="000000"/>
          <w:sz w:val="24"/>
          <w:szCs w:val="24"/>
          <w:lang w:eastAsia="sk-SK"/>
        </w:rPr>
        <w:t>í</w:t>
      </w:r>
      <w:r w:rsidRPr="00EB1769">
        <w:rPr>
          <w:rFonts w:ascii="Times New Roman" w:eastAsia="Times New Roman" w:hAnsi="Times New Roman" w:cs="Times New Roman"/>
          <w:color w:val="000000"/>
          <w:sz w:val="24"/>
          <w:szCs w:val="24"/>
          <w:lang w:eastAsia="sk-SK"/>
        </w:rPr>
        <w:t xml:space="preserve"> predstaviteľov štátnych banských správ EÚ – Fínsko, Helsink</w:t>
      </w:r>
      <w:r w:rsidR="005C3A3D">
        <w:rPr>
          <w:rFonts w:ascii="Times New Roman" w:eastAsia="Times New Roman" w:hAnsi="Times New Roman" w:cs="Times New Roman"/>
          <w:color w:val="000000"/>
          <w:sz w:val="24"/>
          <w:szCs w:val="24"/>
          <w:lang w:eastAsia="sk-SK"/>
        </w:rPr>
        <w:t>i</w:t>
      </w:r>
      <w:r>
        <w:rPr>
          <w:rFonts w:ascii="Times New Roman" w:eastAsia="Times New Roman" w:hAnsi="Times New Roman" w:cs="Times New Roman"/>
          <w:color w:val="000000"/>
          <w:sz w:val="24"/>
          <w:szCs w:val="24"/>
          <w:lang w:eastAsia="sk-SK"/>
        </w:rPr>
        <w:t xml:space="preserve"> so zameraním na riešenie a</w:t>
      </w:r>
      <w:r w:rsidRPr="00EB1769">
        <w:rPr>
          <w:rFonts w:ascii="Times New Roman" w:eastAsia="Times New Roman" w:hAnsi="Times New Roman" w:cs="Times New Roman"/>
          <w:color w:val="000000"/>
          <w:sz w:val="24"/>
          <w:szCs w:val="24"/>
          <w:lang w:eastAsia="sk-SK"/>
        </w:rPr>
        <w:t>ktuáln</w:t>
      </w:r>
      <w:r>
        <w:rPr>
          <w:rFonts w:ascii="Times New Roman" w:eastAsia="Times New Roman" w:hAnsi="Times New Roman" w:cs="Times New Roman"/>
          <w:color w:val="000000"/>
          <w:sz w:val="24"/>
          <w:szCs w:val="24"/>
          <w:lang w:eastAsia="sk-SK"/>
        </w:rPr>
        <w:t>ych</w:t>
      </w:r>
      <w:r w:rsidRPr="00EB1769">
        <w:rPr>
          <w:rFonts w:ascii="Times New Roman" w:eastAsia="Times New Roman" w:hAnsi="Times New Roman" w:cs="Times New Roman"/>
          <w:color w:val="000000"/>
          <w:sz w:val="24"/>
          <w:szCs w:val="24"/>
          <w:lang w:eastAsia="sk-SK"/>
        </w:rPr>
        <w:t xml:space="preserve"> problém</w:t>
      </w:r>
      <w:r>
        <w:rPr>
          <w:rFonts w:ascii="Times New Roman" w:eastAsia="Times New Roman" w:hAnsi="Times New Roman" w:cs="Times New Roman"/>
          <w:color w:val="000000"/>
          <w:sz w:val="24"/>
          <w:szCs w:val="24"/>
          <w:lang w:eastAsia="sk-SK"/>
        </w:rPr>
        <w:t>ov</w:t>
      </w:r>
      <w:r w:rsidRPr="00EB1769">
        <w:rPr>
          <w:rFonts w:ascii="Times New Roman" w:eastAsia="Times New Roman" w:hAnsi="Times New Roman" w:cs="Times New Roman"/>
          <w:color w:val="000000"/>
          <w:sz w:val="24"/>
          <w:szCs w:val="24"/>
          <w:lang w:eastAsia="sk-SK"/>
        </w:rPr>
        <w:t xml:space="preserve"> ťažby nerastných surovín v</w:t>
      </w:r>
      <w:r>
        <w:rPr>
          <w:rFonts w:ascii="Times New Roman" w:eastAsia="Times New Roman" w:hAnsi="Times New Roman" w:cs="Times New Roman"/>
          <w:color w:val="000000"/>
          <w:sz w:val="24"/>
          <w:szCs w:val="24"/>
          <w:lang w:eastAsia="sk-SK"/>
        </w:rPr>
        <w:t> </w:t>
      </w:r>
      <w:r w:rsidRPr="00EB1769">
        <w:rPr>
          <w:rFonts w:ascii="Times New Roman" w:eastAsia="Times New Roman" w:hAnsi="Times New Roman" w:cs="Times New Roman"/>
          <w:color w:val="000000"/>
          <w:sz w:val="24"/>
          <w:szCs w:val="24"/>
          <w:lang w:eastAsia="sk-SK"/>
        </w:rPr>
        <w:t>EÚ</w:t>
      </w:r>
      <w:r>
        <w:rPr>
          <w:rFonts w:ascii="Times New Roman" w:eastAsia="Times New Roman" w:hAnsi="Times New Roman" w:cs="Times New Roman"/>
          <w:color w:val="000000"/>
          <w:sz w:val="24"/>
          <w:szCs w:val="24"/>
          <w:lang w:eastAsia="sk-SK"/>
        </w:rPr>
        <w:t>.</w:t>
      </w:r>
    </w:p>
    <w:p w:rsidR="0012367D" w:rsidRDefault="000B7E41" w:rsidP="00EB1769">
      <w:pPr>
        <w:spacing w:after="0" w:line="240" w:lineRule="auto"/>
        <w:ind w:firstLine="709"/>
        <w:jc w:val="both"/>
        <w:rPr>
          <w:rFonts w:ascii="Times New Roman" w:eastAsia="Times New Roman" w:hAnsi="Times New Roman" w:cs="Times New Roman"/>
          <w:color w:val="000000"/>
          <w:sz w:val="24"/>
          <w:szCs w:val="24"/>
          <w:lang w:eastAsia="sk-SK"/>
        </w:rPr>
      </w:pPr>
      <w:r w:rsidRPr="00A427D1">
        <w:rPr>
          <w:rFonts w:ascii="Times New Roman" w:eastAsia="Times New Roman" w:hAnsi="Times New Roman" w:cs="Times New Roman"/>
          <w:color w:val="000000"/>
          <w:sz w:val="24"/>
          <w:szCs w:val="24"/>
          <w:lang w:eastAsia="sk-SK"/>
        </w:rPr>
        <w:t xml:space="preserve">Hlavným prínosom zahraničných pracovných ciest zrealizovaných zamestnancami </w:t>
      </w:r>
      <w:r w:rsidRPr="00647D5D">
        <w:rPr>
          <w:rFonts w:ascii="Times New Roman" w:eastAsia="Times New Roman" w:hAnsi="Times New Roman" w:cs="Times New Roman"/>
          <w:i/>
          <w:color w:val="000000"/>
          <w:sz w:val="24"/>
          <w:szCs w:val="24"/>
          <w:lang w:eastAsia="sk-SK"/>
        </w:rPr>
        <w:t>Slovenskej obchodnej inšpekcie</w:t>
      </w:r>
      <w:r w:rsidRPr="00A427D1">
        <w:rPr>
          <w:rFonts w:ascii="Times New Roman" w:eastAsia="Times New Roman" w:hAnsi="Times New Roman" w:cs="Times New Roman"/>
          <w:color w:val="000000"/>
          <w:sz w:val="24"/>
          <w:szCs w:val="24"/>
          <w:lang w:eastAsia="sk-SK"/>
        </w:rPr>
        <w:t xml:space="preserve"> bolo získavanie skúseností v oblasti ochrany spotrebiteľa v rámci členských krajín EÚ, prezentácia činnosti </w:t>
      </w:r>
      <w:proofErr w:type="spellStart"/>
      <w:r w:rsidRPr="00A427D1">
        <w:rPr>
          <w:rFonts w:ascii="Times New Roman" w:eastAsia="Times New Roman" w:hAnsi="Times New Roman" w:cs="Times New Roman"/>
          <w:color w:val="000000"/>
          <w:sz w:val="24"/>
          <w:szCs w:val="24"/>
          <w:lang w:eastAsia="sk-SK"/>
        </w:rPr>
        <w:t>SOI</w:t>
      </w:r>
      <w:proofErr w:type="spellEnd"/>
      <w:r w:rsidRPr="00A427D1">
        <w:rPr>
          <w:rFonts w:ascii="Times New Roman" w:eastAsia="Times New Roman" w:hAnsi="Times New Roman" w:cs="Times New Roman"/>
          <w:color w:val="000000"/>
          <w:sz w:val="24"/>
          <w:szCs w:val="24"/>
          <w:lang w:eastAsia="sk-SK"/>
        </w:rPr>
        <w:t xml:space="preserve"> ako orgánu štátnej kontroly vnútorného trhu a účasť zamestnancov </w:t>
      </w:r>
      <w:proofErr w:type="spellStart"/>
      <w:r w:rsidRPr="00A427D1">
        <w:rPr>
          <w:rFonts w:ascii="Times New Roman" w:eastAsia="Times New Roman" w:hAnsi="Times New Roman" w:cs="Times New Roman"/>
          <w:color w:val="000000"/>
          <w:sz w:val="24"/>
          <w:szCs w:val="24"/>
          <w:lang w:eastAsia="sk-SK"/>
        </w:rPr>
        <w:t>SOI</w:t>
      </w:r>
      <w:proofErr w:type="spellEnd"/>
      <w:r w:rsidRPr="00A427D1">
        <w:rPr>
          <w:rFonts w:ascii="Times New Roman" w:eastAsia="Times New Roman" w:hAnsi="Times New Roman" w:cs="Times New Roman"/>
          <w:color w:val="000000"/>
          <w:sz w:val="24"/>
          <w:szCs w:val="24"/>
          <w:lang w:eastAsia="sk-SK"/>
        </w:rPr>
        <w:t xml:space="preserve"> na rokovaniach pracovných skupín v rôznych oblastiach ochrany spotrebiteľa v Bruseli. </w:t>
      </w:r>
    </w:p>
    <w:p w:rsidR="008F796C" w:rsidRPr="007C1022" w:rsidRDefault="008F796C" w:rsidP="008F796C">
      <w:pPr>
        <w:pStyle w:val="Zkladntext3"/>
        <w:spacing w:after="0" w:line="20" w:lineRule="atLeast"/>
        <w:ind w:right="141"/>
        <w:jc w:val="both"/>
        <w:rPr>
          <w:rFonts w:ascii="Times New Roman" w:hAnsi="Times New Roman" w:cs="Times New Roman"/>
          <w:b/>
          <w:bCs/>
          <w:sz w:val="24"/>
          <w:szCs w:val="24"/>
        </w:rPr>
      </w:pPr>
      <w:r w:rsidRPr="007C1022">
        <w:rPr>
          <w:rFonts w:ascii="Times New Roman" w:hAnsi="Times New Roman" w:cs="Times New Roman"/>
          <w:b/>
          <w:bCs/>
          <w:sz w:val="24"/>
          <w:szCs w:val="24"/>
        </w:rPr>
        <w:t xml:space="preserve">             </w:t>
      </w:r>
    </w:p>
    <w:p w:rsidR="008F796C" w:rsidRDefault="008F796C" w:rsidP="008F796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sidRPr="008F796C">
        <w:rPr>
          <w:rFonts w:ascii="Times New Roman" w:eastAsia="Times New Roman" w:hAnsi="Times New Roman" w:cs="Times New Roman"/>
          <w:b/>
          <w:color w:val="000000"/>
          <w:sz w:val="24"/>
          <w:szCs w:val="24"/>
          <w:lang w:eastAsia="sk-SK"/>
        </w:rPr>
        <w:t>Príspevkové organizácie</w:t>
      </w:r>
      <w:r w:rsidRPr="008F796C">
        <w:rPr>
          <w:rFonts w:ascii="Times New Roman" w:eastAsia="Times New Roman" w:hAnsi="Times New Roman" w:cs="Times New Roman"/>
          <w:color w:val="000000"/>
          <w:sz w:val="24"/>
          <w:szCs w:val="24"/>
          <w:lang w:eastAsia="sk-SK"/>
        </w:rPr>
        <w:t xml:space="preserve"> použili na zahraničné pracovné cesty finančné prostriedky z prostriedkov poskytnutých z rozpočtu kapitoly Ministerstva hospodárstva SR </w:t>
      </w:r>
      <w:r>
        <w:rPr>
          <w:rFonts w:ascii="Times New Roman" w:eastAsia="Times New Roman" w:hAnsi="Times New Roman" w:cs="Times New Roman"/>
          <w:color w:val="000000"/>
          <w:sz w:val="24"/>
          <w:szCs w:val="24"/>
          <w:lang w:eastAsia="sk-SK"/>
        </w:rPr>
        <w:t>v sume</w:t>
      </w:r>
      <w:r w:rsidRPr="008F796C">
        <w:rPr>
          <w:rFonts w:ascii="Times New Roman" w:eastAsia="Times New Roman" w:hAnsi="Times New Roman" w:cs="Times New Roman"/>
          <w:color w:val="000000"/>
          <w:sz w:val="24"/>
          <w:szCs w:val="24"/>
          <w:lang w:eastAsia="sk-SK"/>
        </w:rPr>
        <w:t xml:space="preserve"> 102 961,08 </w:t>
      </w:r>
      <w:r>
        <w:rPr>
          <w:rFonts w:ascii="Times New Roman" w:eastAsia="Times New Roman" w:hAnsi="Times New Roman" w:cs="Times New Roman"/>
          <w:color w:val="000000"/>
          <w:sz w:val="24"/>
          <w:szCs w:val="24"/>
          <w:lang w:eastAsia="sk-SK"/>
        </w:rPr>
        <w:t>e</w:t>
      </w:r>
      <w:r w:rsidRPr="008F796C">
        <w:rPr>
          <w:rFonts w:ascii="Times New Roman" w:eastAsia="Times New Roman" w:hAnsi="Times New Roman" w:cs="Times New Roman"/>
          <w:color w:val="000000"/>
          <w:sz w:val="24"/>
          <w:szCs w:val="24"/>
          <w:lang w:eastAsia="sk-SK"/>
        </w:rPr>
        <w:t>ur (SARIO 54 194,69 </w:t>
      </w:r>
      <w:r>
        <w:rPr>
          <w:rFonts w:ascii="Times New Roman" w:eastAsia="Times New Roman" w:hAnsi="Times New Roman" w:cs="Times New Roman"/>
          <w:color w:val="000000"/>
          <w:sz w:val="24"/>
          <w:szCs w:val="24"/>
          <w:lang w:eastAsia="sk-SK"/>
        </w:rPr>
        <w:t>e</w:t>
      </w:r>
      <w:r w:rsidRPr="008F796C">
        <w:rPr>
          <w:rFonts w:ascii="Times New Roman" w:eastAsia="Times New Roman" w:hAnsi="Times New Roman" w:cs="Times New Roman"/>
          <w:color w:val="000000"/>
          <w:sz w:val="24"/>
          <w:szCs w:val="24"/>
          <w:lang w:eastAsia="sk-SK"/>
        </w:rPr>
        <w:t xml:space="preserve">ur, </w:t>
      </w:r>
      <w:proofErr w:type="spellStart"/>
      <w:r w:rsidRPr="008F796C">
        <w:rPr>
          <w:rFonts w:ascii="Times New Roman" w:eastAsia="Times New Roman" w:hAnsi="Times New Roman" w:cs="Times New Roman"/>
          <w:color w:val="000000"/>
          <w:sz w:val="24"/>
          <w:szCs w:val="24"/>
          <w:lang w:eastAsia="sk-SK"/>
        </w:rPr>
        <w:t>SIEA</w:t>
      </w:r>
      <w:proofErr w:type="spellEnd"/>
      <w:r w:rsidRPr="008F796C">
        <w:rPr>
          <w:rFonts w:ascii="Times New Roman" w:eastAsia="Times New Roman" w:hAnsi="Times New Roman" w:cs="Times New Roman"/>
          <w:color w:val="000000"/>
          <w:sz w:val="24"/>
          <w:szCs w:val="24"/>
          <w:lang w:eastAsia="sk-SK"/>
        </w:rPr>
        <w:t xml:space="preserve"> 43 457,51 </w:t>
      </w:r>
      <w:r>
        <w:rPr>
          <w:rFonts w:ascii="Times New Roman" w:eastAsia="Times New Roman" w:hAnsi="Times New Roman" w:cs="Times New Roman"/>
          <w:color w:val="000000"/>
          <w:sz w:val="24"/>
          <w:szCs w:val="24"/>
          <w:lang w:eastAsia="sk-SK"/>
        </w:rPr>
        <w:t>e</w:t>
      </w:r>
      <w:r w:rsidRPr="008F796C">
        <w:rPr>
          <w:rFonts w:ascii="Times New Roman" w:eastAsia="Times New Roman" w:hAnsi="Times New Roman" w:cs="Times New Roman"/>
          <w:color w:val="000000"/>
          <w:sz w:val="24"/>
          <w:szCs w:val="24"/>
          <w:lang w:eastAsia="sk-SK"/>
        </w:rPr>
        <w:t>ur, MO 5 308,88 </w:t>
      </w:r>
      <w:r>
        <w:rPr>
          <w:rFonts w:ascii="Times New Roman" w:eastAsia="Times New Roman" w:hAnsi="Times New Roman" w:cs="Times New Roman"/>
          <w:color w:val="000000"/>
          <w:sz w:val="24"/>
          <w:szCs w:val="24"/>
          <w:lang w:eastAsia="sk-SK"/>
        </w:rPr>
        <w:t>e</w:t>
      </w:r>
      <w:r w:rsidRPr="008F796C">
        <w:rPr>
          <w:rFonts w:ascii="Times New Roman" w:eastAsia="Times New Roman" w:hAnsi="Times New Roman" w:cs="Times New Roman"/>
          <w:color w:val="000000"/>
          <w:sz w:val="24"/>
          <w:szCs w:val="24"/>
          <w:lang w:eastAsia="sk-SK"/>
        </w:rPr>
        <w:t xml:space="preserve">ur) na 199 zahraničných pracovných ciest (z toho na SARIO pripadá 58 ciest, na </w:t>
      </w:r>
      <w:proofErr w:type="spellStart"/>
      <w:r w:rsidRPr="008F796C">
        <w:rPr>
          <w:rFonts w:ascii="Times New Roman" w:eastAsia="Times New Roman" w:hAnsi="Times New Roman" w:cs="Times New Roman"/>
          <w:color w:val="000000"/>
          <w:sz w:val="24"/>
          <w:szCs w:val="24"/>
          <w:lang w:eastAsia="sk-SK"/>
        </w:rPr>
        <w:t>SIEA</w:t>
      </w:r>
      <w:proofErr w:type="spellEnd"/>
      <w:r w:rsidRPr="008F796C">
        <w:rPr>
          <w:rFonts w:ascii="Times New Roman" w:eastAsia="Times New Roman" w:hAnsi="Times New Roman" w:cs="Times New Roman"/>
          <w:color w:val="000000"/>
          <w:sz w:val="24"/>
          <w:szCs w:val="24"/>
          <w:lang w:eastAsia="sk-SK"/>
        </w:rPr>
        <w:t xml:space="preserve"> 117 ciest a na MO 24 ciest). Časť prostriedkov na zahraničné pracovné cesty bola hradená z vlastných zdrojov príspevkových organizácií. </w:t>
      </w:r>
    </w:p>
    <w:p w:rsidR="008F796C" w:rsidRDefault="008F796C" w:rsidP="008F796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sidRPr="008F796C">
        <w:rPr>
          <w:rFonts w:ascii="Times New Roman" w:eastAsia="Times New Roman" w:hAnsi="Times New Roman" w:cs="Times New Roman"/>
          <w:color w:val="000000"/>
          <w:sz w:val="24"/>
          <w:szCs w:val="24"/>
          <w:lang w:eastAsia="sk-SK"/>
        </w:rPr>
        <w:t xml:space="preserve">Prostriedky sa v organizácii SARIO použili na zahraničné pracovné cesty  súvisiace s prezentovaním Slovenska ako top investičného a podnikateľského prostredia, ako aj s cieľom nadviazať bližší kontakt s budúcimi partnermi pri organizovaní podujatí o investičných možnostiach na Slovensku a prezentovaní Slovenska ako atraktívneho investičného a obchodného partnera. </w:t>
      </w:r>
    </w:p>
    <w:p w:rsidR="008F796C" w:rsidRDefault="008F796C" w:rsidP="008F796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sidRPr="008F796C">
        <w:rPr>
          <w:rFonts w:ascii="Times New Roman" w:eastAsia="Times New Roman" w:hAnsi="Times New Roman" w:cs="Times New Roman"/>
          <w:color w:val="000000"/>
          <w:sz w:val="24"/>
          <w:szCs w:val="24"/>
          <w:lang w:eastAsia="sk-SK"/>
        </w:rPr>
        <w:t xml:space="preserve">Zahraničné pracovné cesty v organizácii </w:t>
      </w:r>
      <w:proofErr w:type="spellStart"/>
      <w:r w:rsidRPr="008F796C">
        <w:rPr>
          <w:rFonts w:ascii="Times New Roman" w:eastAsia="Times New Roman" w:hAnsi="Times New Roman" w:cs="Times New Roman"/>
          <w:color w:val="000000"/>
          <w:sz w:val="24"/>
          <w:szCs w:val="24"/>
          <w:lang w:eastAsia="sk-SK"/>
        </w:rPr>
        <w:t>SIEA</w:t>
      </w:r>
      <w:proofErr w:type="spellEnd"/>
      <w:r w:rsidRPr="008F796C">
        <w:rPr>
          <w:rFonts w:ascii="Times New Roman" w:eastAsia="Times New Roman" w:hAnsi="Times New Roman" w:cs="Times New Roman"/>
          <w:color w:val="000000"/>
          <w:sz w:val="24"/>
          <w:szCs w:val="24"/>
          <w:lang w:eastAsia="sk-SK"/>
        </w:rPr>
        <w:t xml:space="preserve"> boli zamerané na účasť na medzinárodných konferenciách, seminároch a na zasadnutiach. Značná časť zahraničných pracovných ciest bola uskutočnená na pozvanie zahraničného partnera, pričom výdavky na tieto cesty boli plne refundované z pozývajúcej strany. </w:t>
      </w:r>
    </w:p>
    <w:p w:rsidR="008F796C" w:rsidRPr="008F796C" w:rsidRDefault="008F796C" w:rsidP="008F796C">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sk-SK"/>
        </w:rPr>
      </w:pPr>
      <w:r w:rsidRPr="008F796C">
        <w:rPr>
          <w:rFonts w:ascii="Times New Roman" w:eastAsia="Times New Roman" w:hAnsi="Times New Roman" w:cs="Times New Roman"/>
          <w:color w:val="000000"/>
          <w:sz w:val="24"/>
          <w:szCs w:val="24"/>
          <w:lang w:eastAsia="sk-SK"/>
        </w:rPr>
        <w:t xml:space="preserve">V rámci Múzea obchodu zahraničné pracovné cesty boli vykonané za účelom akvizície zbierkových predmetov, prezentácie putovných výstav a so zameraním na rokovania o ďalšej možnej spolupráci s múzeami na území Českej republiky a Poľska. </w:t>
      </w:r>
    </w:p>
    <w:p w:rsidR="00DE5C7B" w:rsidRDefault="00DE5C7B" w:rsidP="001C3BF8">
      <w:pPr>
        <w:spacing w:after="0" w:line="240" w:lineRule="auto"/>
        <w:ind w:firstLine="709"/>
        <w:jc w:val="both"/>
        <w:rPr>
          <w:rFonts w:ascii="Times New Roman" w:hAnsi="Times New Roman" w:cs="Times New Roman"/>
          <w:b/>
          <w:sz w:val="24"/>
          <w:szCs w:val="24"/>
        </w:rPr>
      </w:pPr>
    </w:p>
    <w:p w:rsidR="00E558E5" w:rsidRPr="00F531BC" w:rsidRDefault="00E558E5" w:rsidP="00E558E5">
      <w:pPr>
        <w:pStyle w:val="Odsekzoznamu"/>
        <w:spacing w:after="0" w:line="240" w:lineRule="auto"/>
        <w:ind w:left="0"/>
        <w:jc w:val="both"/>
        <w:rPr>
          <w:rFonts w:ascii="Times New Roman" w:eastAsia="Times New Roman" w:hAnsi="Times New Roman"/>
          <w:b/>
          <w:sz w:val="24"/>
          <w:szCs w:val="24"/>
          <w:lang w:eastAsia="sk-SK"/>
        </w:rPr>
      </w:pPr>
      <w:r>
        <w:rPr>
          <w:rFonts w:ascii="Times New Roman" w:eastAsia="Times New Roman" w:hAnsi="Times New Roman"/>
          <w:b/>
          <w:sz w:val="24"/>
          <w:szCs w:val="24"/>
          <w:lang w:eastAsia="sk-SK"/>
        </w:rPr>
        <w:t xml:space="preserve">Financovanie oficiálnej </w:t>
      </w:r>
      <w:r w:rsidRPr="00F531BC">
        <w:rPr>
          <w:rFonts w:ascii="Times New Roman" w:eastAsia="Times New Roman" w:hAnsi="Times New Roman"/>
          <w:b/>
          <w:sz w:val="24"/>
          <w:szCs w:val="24"/>
          <w:lang w:eastAsia="sk-SK"/>
        </w:rPr>
        <w:t>účasti Ministerstva hospodárstva SR na výstavách</w:t>
      </w:r>
      <w:r>
        <w:rPr>
          <w:rFonts w:ascii="Times New Roman" w:eastAsia="Times New Roman" w:hAnsi="Times New Roman"/>
          <w:b/>
          <w:sz w:val="24"/>
          <w:szCs w:val="24"/>
          <w:lang w:eastAsia="sk-SK"/>
        </w:rPr>
        <w:t xml:space="preserve"> v roku 2015</w:t>
      </w:r>
    </w:p>
    <w:p w:rsidR="00E558E5" w:rsidRDefault="00E558E5" w:rsidP="00E558E5">
      <w:pPr>
        <w:spacing w:after="0" w:line="240" w:lineRule="auto"/>
        <w:ind w:firstLine="360"/>
        <w:jc w:val="both"/>
        <w:rPr>
          <w:rFonts w:ascii="Times New Roman" w:eastAsia="Times New Roman" w:hAnsi="Times New Roman"/>
          <w:sz w:val="24"/>
          <w:szCs w:val="24"/>
          <w:lang w:eastAsia="sk-SK"/>
        </w:rPr>
      </w:pPr>
      <w:r>
        <w:rPr>
          <w:rFonts w:ascii="Times New Roman" w:hAnsi="Times New Roman"/>
          <w:sz w:val="24"/>
          <w:szCs w:val="24"/>
        </w:rPr>
        <w:tab/>
      </w:r>
    </w:p>
    <w:p w:rsidR="00E558E5" w:rsidRPr="00857DED" w:rsidRDefault="00735A6D" w:rsidP="00D25AE5">
      <w:pPr>
        <w:spacing w:after="0" w:line="240" w:lineRule="auto"/>
        <w:ind w:firstLine="708"/>
        <w:jc w:val="both"/>
        <w:rPr>
          <w:rFonts w:ascii="Times New Roman" w:eastAsia="Times New Roman" w:hAnsi="Times New Roman"/>
          <w:i/>
          <w:sz w:val="24"/>
          <w:szCs w:val="24"/>
          <w:lang w:eastAsia="sk-SK"/>
        </w:rPr>
      </w:pPr>
      <w:r>
        <w:rPr>
          <w:rFonts w:ascii="Times New Roman" w:hAnsi="Times New Roman"/>
          <w:sz w:val="24"/>
          <w:szCs w:val="24"/>
        </w:rPr>
        <w:t>Výdavky na o</w:t>
      </w:r>
      <w:r w:rsidR="00E558E5" w:rsidRPr="00857DED">
        <w:rPr>
          <w:rFonts w:ascii="Times New Roman" w:hAnsi="Times New Roman"/>
          <w:sz w:val="24"/>
          <w:szCs w:val="24"/>
        </w:rPr>
        <w:t xml:space="preserve">ficiálne účasti </w:t>
      </w:r>
      <w:r>
        <w:rPr>
          <w:rFonts w:ascii="Times New Roman" w:hAnsi="Times New Roman"/>
          <w:sz w:val="24"/>
          <w:szCs w:val="24"/>
        </w:rPr>
        <w:t xml:space="preserve">MH SR na výstavách v roku 2015 </w:t>
      </w:r>
      <w:r w:rsidR="00E558E5" w:rsidRPr="00857DED">
        <w:rPr>
          <w:rFonts w:ascii="Times New Roman" w:hAnsi="Times New Roman"/>
          <w:sz w:val="24"/>
          <w:szCs w:val="24"/>
        </w:rPr>
        <w:t>mali byť financované z</w:t>
      </w:r>
      <w:r>
        <w:rPr>
          <w:rFonts w:ascii="Times New Roman" w:hAnsi="Times New Roman"/>
          <w:sz w:val="24"/>
          <w:szCs w:val="24"/>
        </w:rPr>
        <w:t> </w:t>
      </w:r>
      <w:r w:rsidR="00E558E5" w:rsidRPr="00857DED">
        <w:rPr>
          <w:rFonts w:ascii="Times New Roman" w:hAnsi="Times New Roman"/>
          <w:sz w:val="24"/>
          <w:szCs w:val="24"/>
        </w:rPr>
        <w:t>prostriedkov</w:t>
      </w:r>
      <w:r>
        <w:rPr>
          <w:rFonts w:ascii="Times New Roman" w:hAnsi="Times New Roman"/>
          <w:sz w:val="24"/>
          <w:szCs w:val="24"/>
        </w:rPr>
        <w:t xml:space="preserve"> </w:t>
      </w:r>
      <w:r w:rsidR="00E558E5" w:rsidRPr="00857DED">
        <w:rPr>
          <w:rFonts w:ascii="Times New Roman" w:hAnsi="Times New Roman"/>
          <w:sz w:val="24"/>
          <w:szCs w:val="24"/>
        </w:rPr>
        <w:t>štrukturálnych</w:t>
      </w:r>
      <w:r>
        <w:rPr>
          <w:rFonts w:ascii="Times New Roman" w:hAnsi="Times New Roman"/>
          <w:sz w:val="24"/>
          <w:szCs w:val="24"/>
        </w:rPr>
        <w:t xml:space="preserve"> fondov </w:t>
      </w:r>
      <w:r w:rsidR="00E558E5" w:rsidRPr="00857DED">
        <w:rPr>
          <w:rFonts w:ascii="Times New Roman" w:hAnsi="Times New Roman"/>
          <w:sz w:val="24"/>
          <w:szCs w:val="24"/>
        </w:rPr>
        <w:t>na základe zálohových a priebežných platieb v súlade s národným projektom</w:t>
      </w:r>
      <w:r w:rsidR="00E558E5" w:rsidRPr="00857DED">
        <w:rPr>
          <w:rFonts w:ascii="Times New Roman" w:hAnsi="Times New Roman"/>
          <w:b/>
          <w:sz w:val="24"/>
          <w:szCs w:val="24"/>
        </w:rPr>
        <w:t xml:space="preserve"> </w:t>
      </w:r>
      <w:r w:rsidR="00E558E5">
        <w:rPr>
          <w:rFonts w:ascii="Times New Roman" w:eastAsia="Times New Roman" w:hAnsi="Times New Roman"/>
          <w:sz w:val="24"/>
          <w:szCs w:val="24"/>
          <w:lang w:eastAsia="sk-SK"/>
        </w:rPr>
        <w:t>„Podpora propagácie slovenského priemyselného potenciálu a účasti slovenských MSP z oblasti priemyselnej výroby na výstavách/veľtrhoch v zahraničí v roku 2015“.</w:t>
      </w:r>
    </w:p>
    <w:p w:rsidR="00E558E5" w:rsidRDefault="00E558E5" w:rsidP="00D25AE5">
      <w:pPr>
        <w:spacing w:after="0" w:line="240" w:lineRule="auto"/>
        <w:jc w:val="both"/>
        <w:rPr>
          <w:rFonts w:ascii="Times New Roman" w:eastAsia="Times New Roman" w:hAnsi="Times New Roman"/>
          <w:i/>
          <w:color w:val="FF0000"/>
          <w:sz w:val="24"/>
          <w:szCs w:val="24"/>
          <w:lang w:eastAsia="sk-SK"/>
        </w:rPr>
      </w:pPr>
    </w:p>
    <w:p w:rsidR="00E558E5" w:rsidRPr="00857DED" w:rsidRDefault="00E558E5" w:rsidP="00D25AE5">
      <w:pPr>
        <w:spacing w:after="0" w:line="240" w:lineRule="auto"/>
        <w:ind w:firstLine="708"/>
        <w:jc w:val="both"/>
        <w:rPr>
          <w:rFonts w:ascii="Times New Roman" w:hAnsi="Times New Roman"/>
          <w:sz w:val="24"/>
          <w:szCs w:val="24"/>
        </w:rPr>
      </w:pPr>
      <w:r w:rsidRPr="00857DED">
        <w:rPr>
          <w:rFonts w:ascii="Times New Roman" w:hAnsi="Times New Roman"/>
          <w:sz w:val="24"/>
          <w:szCs w:val="24"/>
        </w:rPr>
        <w:t>Vzhľadom na to, že národný projekt bol predložený a schválený k 30. 7. 2015, nebolo možné využiť žiadne zálohové platby na úhradu faktúr spojených s realizáciou oficiálnych účastí na výstavách a faktúry bolo nevyhnutné financovať z rozpočtových prostriedkov MH SR s následnou žiadosťou o refundáciu týchto prostriedkov z prostriedkov štrukturálnych fondov.</w:t>
      </w:r>
    </w:p>
    <w:p w:rsidR="00E558E5" w:rsidRDefault="00E558E5" w:rsidP="00D25AE5">
      <w:pPr>
        <w:spacing w:after="0" w:line="240" w:lineRule="auto"/>
        <w:jc w:val="both"/>
        <w:rPr>
          <w:rFonts w:ascii="Times New Roman" w:eastAsia="Times New Roman" w:hAnsi="Times New Roman"/>
          <w:color w:val="FF0000"/>
          <w:sz w:val="24"/>
          <w:szCs w:val="24"/>
          <w:lang w:eastAsia="sk-SK"/>
        </w:rPr>
      </w:pPr>
    </w:p>
    <w:p w:rsidR="00735A6D" w:rsidRDefault="00E558E5" w:rsidP="00D25AE5">
      <w:pPr>
        <w:spacing w:after="0" w:line="240" w:lineRule="auto"/>
        <w:ind w:firstLine="708"/>
        <w:jc w:val="both"/>
        <w:rPr>
          <w:rFonts w:ascii="Times New Roman" w:hAnsi="Times New Roman"/>
          <w:sz w:val="24"/>
          <w:szCs w:val="24"/>
        </w:rPr>
      </w:pPr>
      <w:r>
        <w:rPr>
          <w:rFonts w:ascii="Times New Roman" w:hAnsi="Times New Roman"/>
          <w:sz w:val="24"/>
          <w:szCs w:val="24"/>
        </w:rPr>
        <w:t xml:space="preserve">Rozpočtové prostriedky MH SR, uvoľnené na realizáciu výstav v roku 2015, boli použité na </w:t>
      </w:r>
      <w:r w:rsidRPr="004C1A08">
        <w:rPr>
          <w:rFonts w:ascii="Times New Roman" w:hAnsi="Times New Roman"/>
          <w:sz w:val="24"/>
          <w:szCs w:val="24"/>
        </w:rPr>
        <w:t xml:space="preserve">úhradu faktúr súvisiacich </w:t>
      </w:r>
      <w:r w:rsidR="00735A6D">
        <w:rPr>
          <w:rFonts w:ascii="Times New Roman" w:hAnsi="Times New Roman"/>
          <w:sz w:val="24"/>
          <w:szCs w:val="24"/>
        </w:rPr>
        <w:t>s:</w:t>
      </w:r>
    </w:p>
    <w:p w:rsidR="00735A6D" w:rsidRDefault="00E558E5" w:rsidP="00D25AE5">
      <w:pPr>
        <w:numPr>
          <w:ilvl w:val="0"/>
          <w:numId w:val="30"/>
        </w:numPr>
        <w:spacing w:after="0" w:line="240" w:lineRule="auto"/>
        <w:ind w:left="426" w:hanging="426"/>
        <w:jc w:val="both"/>
        <w:rPr>
          <w:rFonts w:ascii="Times New Roman" w:hAnsi="Times New Roman"/>
          <w:sz w:val="24"/>
          <w:szCs w:val="24"/>
        </w:rPr>
      </w:pPr>
      <w:r w:rsidRPr="00735A6D">
        <w:rPr>
          <w:rFonts w:ascii="Times New Roman" w:hAnsi="Times New Roman"/>
          <w:sz w:val="24"/>
          <w:szCs w:val="24"/>
        </w:rPr>
        <w:t>prenájmom plôch</w:t>
      </w:r>
      <w:r>
        <w:rPr>
          <w:rFonts w:ascii="Times New Roman" w:hAnsi="Times New Roman"/>
          <w:b/>
          <w:sz w:val="24"/>
          <w:szCs w:val="24"/>
        </w:rPr>
        <w:t xml:space="preserve"> (</w:t>
      </w:r>
      <w:proofErr w:type="spellStart"/>
      <w:r w:rsidRPr="00857DED">
        <w:rPr>
          <w:rFonts w:ascii="Times New Roman" w:hAnsi="Times New Roman"/>
          <w:sz w:val="24"/>
          <w:szCs w:val="24"/>
        </w:rPr>
        <w:t>Hannov</w:t>
      </w:r>
      <w:r w:rsidRPr="004C1A08">
        <w:rPr>
          <w:rFonts w:ascii="Times New Roman" w:hAnsi="Times New Roman"/>
          <w:sz w:val="24"/>
          <w:szCs w:val="24"/>
        </w:rPr>
        <w:t>er</w:t>
      </w:r>
      <w:proofErr w:type="spellEnd"/>
      <w:r w:rsidRPr="004C1A08">
        <w:rPr>
          <w:rFonts w:ascii="Times New Roman" w:hAnsi="Times New Roman"/>
          <w:sz w:val="24"/>
          <w:szCs w:val="24"/>
        </w:rPr>
        <w:t xml:space="preserve"> </w:t>
      </w:r>
      <w:proofErr w:type="spellStart"/>
      <w:r w:rsidRPr="004C1A08">
        <w:rPr>
          <w:rFonts w:ascii="Times New Roman" w:hAnsi="Times New Roman"/>
          <w:sz w:val="24"/>
          <w:szCs w:val="24"/>
        </w:rPr>
        <w:t>Messe</w:t>
      </w:r>
      <w:proofErr w:type="spellEnd"/>
      <w:r w:rsidRPr="004C1A08">
        <w:rPr>
          <w:rFonts w:ascii="Times New Roman" w:hAnsi="Times New Roman"/>
          <w:sz w:val="24"/>
          <w:szCs w:val="24"/>
        </w:rPr>
        <w:t>, Mosbuild</w:t>
      </w:r>
      <w:r>
        <w:rPr>
          <w:rFonts w:ascii="Times New Roman" w:hAnsi="Times New Roman"/>
          <w:sz w:val="24"/>
          <w:szCs w:val="24"/>
        </w:rPr>
        <w:t xml:space="preserve">, </w:t>
      </w:r>
      <w:proofErr w:type="spellStart"/>
      <w:r w:rsidRPr="004C1A08">
        <w:rPr>
          <w:rFonts w:ascii="Times New Roman" w:hAnsi="Times New Roman"/>
          <w:sz w:val="24"/>
          <w:szCs w:val="24"/>
        </w:rPr>
        <w:t>Metalworking</w:t>
      </w:r>
      <w:proofErr w:type="spellEnd"/>
      <w:r>
        <w:rPr>
          <w:rFonts w:ascii="Times New Roman" w:hAnsi="Times New Roman"/>
          <w:sz w:val="24"/>
          <w:szCs w:val="24"/>
        </w:rPr>
        <w:t xml:space="preserve">, </w:t>
      </w:r>
      <w:proofErr w:type="spellStart"/>
      <w:r w:rsidRPr="004C1A08">
        <w:rPr>
          <w:rFonts w:ascii="Times New Roman" w:hAnsi="Times New Roman"/>
          <w:sz w:val="24"/>
          <w:szCs w:val="24"/>
        </w:rPr>
        <w:t>Metaloobrabotka</w:t>
      </w:r>
      <w:proofErr w:type="spellEnd"/>
      <w:r>
        <w:rPr>
          <w:rFonts w:ascii="Times New Roman" w:hAnsi="Times New Roman"/>
          <w:sz w:val="24"/>
          <w:szCs w:val="24"/>
        </w:rPr>
        <w:t xml:space="preserve">, </w:t>
      </w:r>
      <w:proofErr w:type="spellStart"/>
      <w:r>
        <w:rPr>
          <w:rFonts w:ascii="Times New Roman" w:hAnsi="Times New Roman"/>
          <w:sz w:val="24"/>
          <w:szCs w:val="24"/>
        </w:rPr>
        <w:t>Beogradski</w:t>
      </w:r>
      <w:proofErr w:type="spellEnd"/>
      <w:r>
        <w:rPr>
          <w:rFonts w:ascii="Times New Roman" w:hAnsi="Times New Roman"/>
          <w:sz w:val="24"/>
          <w:szCs w:val="24"/>
        </w:rPr>
        <w:t xml:space="preserve"> </w:t>
      </w:r>
      <w:proofErr w:type="spellStart"/>
      <w:r>
        <w:rPr>
          <w:rFonts w:ascii="Times New Roman" w:hAnsi="Times New Roman"/>
          <w:sz w:val="24"/>
          <w:szCs w:val="24"/>
        </w:rPr>
        <w:t>Sajam</w:t>
      </w:r>
      <w:proofErr w:type="spellEnd"/>
      <w:r>
        <w:rPr>
          <w:rFonts w:ascii="Times New Roman" w:hAnsi="Times New Roman"/>
          <w:sz w:val="24"/>
          <w:szCs w:val="24"/>
        </w:rPr>
        <w:t xml:space="preserve"> </w:t>
      </w:r>
      <w:proofErr w:type="spellStart"/>
      <w:r>
        <w:rPr>
          <w:rFonts w:ascii="Times New Roman" w:hAnsi="Times New Roman"/>
          <w:sz w:val="24"/>
          <w:szCs w:val="24"/>
        </w:rPr>
        <w:t>Tehnike</w:t>
      </w:r>
      <w:proofErr w:type="spellEnd"/>
      <w:r>
        <w:rPr>
          <w:rFonts w:ascii="Times New Roman" w:hAnsi="Times New Roman"/>
          <w:sz w:val="24"/>
          <w:szCs w:val="24"/>
        </w:rPr>
        <w:t xml:space="preserve">, Elektro Moskva, </w:t>
      </w:r>
      <w:proofErr w:type="spellStart"/>
      <w:r>
        <w:rPr>
          <w:rFonts w:ascii="Times New Roman" w:hAnsi="Times New Roman"/>
          <w:sz w:val="24"/>
          <w:szCs w:val="24"/>
        </w:rPr>
        <w:t>MSV</w:t>
      </w:r>
      <w:proofErr w:type="spellEnd"/>
      <w:r>
        <w:rPr>
          <w:rFonts w:ascii="Times New Roman" w:hAnsi="Times New Roman"/>
          <w:sz w:val="24"/>
          <w:szCs w:val="24"/>
        </w:rPr>
        <w:t xml:space="preserve"> Brno),</w:t>
      </w:r>
    </w:p>
    <w:p w:rsidR="00735A6D" w:rsidRPr="00735A6D" w:rsidRDefault="00E558E5" w:rsidP="00D25AE5">
      <w:pPr>
        <w:numPr>
          <w:ilvl w:val="0"/>
          <w:numId w:val="30"/>
        </w:numPr>
        <w:spacing w:after="0" w:line="240" w:lineRule="auto"/>
        <w:ind w:left="426" w:hanging="426"/>
        <w:jc w:val="both"/>
        <w:rPr>
          <w:rFonts w:ascii="Times New Roman" w:hAnsi="Times New Roman"/>
          <w:sz w:val="24"/>
          <w:szCs w:val="24"/>
        </w:rPr>
      </w:pPr>
      <w:r w:rsidRPr="00735A6D">
        <w:rPr>
          <w:rFonts w:ascii="Times New Roman" w:hAnsi="Times New Roman"/>
          <w:sz w:val="24"/>
          <w:szCs w:val="24"/>
        </w:rPr>
        <w:t>technickými prípojkami spoločného stánku (</w:t>
      </w:r>
      <w:proofErr w:type="spellStart"/>
      <w:r w:rsidRPr="00735A6D">
        <w:rPr>
          <w:rFonts w:ascii="Times New Roman" w:hAnsi="Times New Roman"/>
          <w:sz w:val="24"/>
          <w:szCs w:val="24"/>
        </w:rPr>
        <w:t>IDEX</w:t>
      </w:r>
      <w:proofErr w:type="spellEnd"/>
      <w:r w:rsidRPr="00735A6D">
        <w:rPr>
          <w:rFonts w:ascii="Times New Roman" w:hAnsi="Times New Roman"/>
          <w:sz w:val="24"/>
          <w:szCs w:val="24"/>
        </w:rPr>
        <w:t xml:space="preserve"> 2015, </w:t>
      </w:r>
      <w:proofErr w:type="spellStart"/>
      <w:r w:rsidRPr="00735A6D">
        <w:rPr>
          <w:rFonts w:ascii="Times New Roman" w:hAnsi="Times New Roman"/>
          <w:sz w:val="24"/>
          <w:szCs w:val="24"/>
        </w:rPr>
        <w:t>Hannover</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Messe</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Metalworking</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Metaloobrabotka</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Beogradski</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Sajam</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Tehnike</w:t>
      </w:r>
      <w:proofErr w:type="spellEnd"/>
      <w:r w:rsidRPr="00735A6D">
        <w:rPr>
          <w:rFonts w:ascii="Times New Roman" w:hAnsi="Times New Roman"/>
          <w:sz w:val="24"/>
          <w:szCs w:val="24"/>
        </w:rPr>
        <w:t>, Elektro Moskva a </w:t>
      </w:r>
      <w:proofErr w:type="spellStart"/>
      <w:r w:rsidRPr="00735A6D">
        <w:rPr>
          <w:rFonts w:ascii="Times New Roman" w:hAnsi="Times New Roman"/>
          <w:sz w:val="24"/>
          <w:szCs w:val="24"/>
        </w:rPr>
        <w:t>MSV</w:t>
      </w:r>
      <w:proofErr w:type="spellEnd"/>
      <w:r w:rsidRPr="00735A6D">
        <w:rPr>
          <w:rFonts w:ascii="Times New Roman" w:hAnsi="Times New Roman"/>
          <w:sz w:val="24"/>
          <w:szCs w:val="24"/>
        </w:rPr>
        <w:t xml:space="preserve"> Brno)</w:t>
      </w:r>
      <w:r w:rsidR="00735A6D" w:rsidRPr="00735A6D">
        <w:rPr>
          <w:rFonts w:ascii="Times New Roman" w:hAnsi="Times New Roman"/>
          <w:sz w:val="24"/>
          <w:szCs w:val="24"/>
        </w:rPr>
        <w:t>,</w:t>
      </w:r>
    </w:p>
    <w:p w:rsidR="00E558E5" w:rsidRDefault="00E558E5" w:rsidP="00D25AE5">
      <w:pPr>
        <w:numPr>
          <w:ilvl w:val="0"/>
          <w:numId w:val="30"/>
        </w:numPr>
        <w:spacing w:after="0" w:line="240" w:lineRule="auto"/>
        <w:ind w:left="426" w:hanging="426"/>
        <w:jc w:val="both"/>
        <w:rPr>
          <w:rFonts w:ascii="Times New Roman" w:hAnsi="Times New Roman"/>
          <w:sz w:val="24"/>
          <w:szCs w:val="24"/>
        </w:rPr>
      </w:pPr>
      <w:r w:rsidRPr="00735A6D">
        <w:rPr>
          <w:rFonts w:ascii="Times New Roman" w:hAnsi="Times New Roman"/>
          <w:sz w:val="24"/>
          <w:szCs w:val="24"/>
        </w:rPr>
        <w:t>registračnými poplatkami (</w:t>
      </w:r>
      <w:proofErr w:type="spellStart"/>
      <w:r w:rsidRPr="00735A6D">
        <w:rPr>
          <w:rFonts w:ascii="Times New Roman" w:hAnsi="Times New Roman"/>
          <w:sz w:val="24"/>
          <w:szCs w:val="24"/>
        </w:rPr>
        <w:t>IDEX</w:t>
      </w:r>
      <w:proofErr w:type="spellEnd"/>
      <w:r w:rsidRPr="00735A6D">
        <w:rPr>
          <w:rFonts w:ascii="Times New Roman" w:hAnsi="Times New Roman"/>
          <w:sz w:val="24"/>
          <w:szCs w:val="24"/>
        </w:rPr>
        <w:t xml:space="preserve"> 2015, </w:t>
      </w:r>
      <w:proofErr w:type="spellStart"/>
      <w:r w:rsidRPr="00735A6D">
        <w:rPr>
          <w:rFonts w:ascii="Times New Roman" w:hAnsi="Times New Roman"/>
          <w:sz w:val="24"/>
          <w:szCs w:val="24"/>
        </w:rPr>
        <w:t>Hannover</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Messe</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Metalworking</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Metaloobrabotka</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Beogradski</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Sajam</w:t>
      </w:r>
      <w:proofErr w:type="spellEnd"/>
      <w:r w:rsidRPr="00735A6D">
        <w:rPr>
          <w:rFonts w:ascii="Times New Roman" w:hAnsi="Times New Roman"/>
          <w:sz w:val="24"/>
          <w:szCs w:val="24"/>
        </w:rPr>
        <w:t xml:space="preserve"> </w:t>
      </w:r>
      <w:proofErr w:type="spellStart"/>
      <w:r w:rsidRPr="00735A6D">
        <w:rPr>
          <w:rFonts w:ascii="Times New Roman" w:hAnsi="Times New Roman"/>
          <w:sz w:val="24"/>
          <w:szCs w:val="24"/>
        </w:rPr>
        <w:t>Tehnike</w:t>
      </w:r>
      <w:proofErr w:type="spellEnd"/>
      <w:r w:rsidRPr="00735A6D">
        <w:rPr>
          <w:rFonts w:ascii="Times New Roman" w:hAnsi="Times New Roman"/>
          <w:sz w:val="24"/>
          <w:szCs w:val="24"/>
        </w:rPr>
        <w:t xml:space="preserve">, Elektro Moskva, </w:t>
      </w:r>
      <w:proofErr w:type="spellStart"/>
      <w:r w:rsidRPr="00735A6D">
        <w:rPr>
          <w:rFonts w:ascii="Times New Roman" w:hAnsi="Times New Roman"/>
          <w:sz w:val="24"/>
          <w:szCs w:val="24"/>
        </w:rPr>
        <w:t>MSV</w:t>
      </w:r>
      <w:proofErr w:type="spellEnd"/>
      <w:r w:rsidRPr="00735A6D">
        <w:rPr>
          <w:rFonts w:ascii="Times New Roman" w:hAnsi="Times New Roman"/>
          <w:sz w:val="24"/>
          <w:szCs w:val="24"/>
        </w:rPr>
        <w:t xml:space="preserve"> Brno).</w:t>
      </w:r>
    </w:p>
    <w:p w:rsidR="00735A6D" w:rsidRPr="00735A6D" w:rsidRDefault="00735A6D" w:rsidP="00D25AE5">
      <w:pPr>
        <w:spacing w:after="0" w:line="240" w:lineRule="auto"/>
        <w:ind w:left="426"/>
        <w:jc w:val="both"/>
        <w:rPr>
          <w:rFonts w:ascii="Times New Roman" w:hAnsi="Times New Roman"/>
          <w:sz w:val="24"/>
          <w:szCs w:val="24"/>
        </w:rPr>
      </w:pPr>
    </w:p>
    <w:p w:rsidR="00E558E5" w:rsidRPr="00735A6D" w:rsidRDefault="00E558E5" w:rsidP="00D25AE5">
      <w:pPr>
        <w:spacing w:after="0" w:line="240" w:lineRule="auto"/>
        <w:ind w:firstLine="708"/>
        <w:jc w:val="both"/>
        <w:rPr>
          <w:rFonts w:ascii="Times New Roman" w:hAnsi="Times New Roman"/>
          <w:sz w:val="24"/>
          <w:szCs w:val="24"/>
        </w:rPr>
      </w:pPr>
      <w:r w:rsidRPr="00735A6D">
        <w:rPr>
          <w:rFonts w:ascii="Times New Roman" w:hAnsi="Times New Roman"/>
          <w:sz w:val="24"/>
          <w:szCs w:val="24"/>
        </w:rPr>
        <w:t xml:space="preserve">Z rozpočtových prostriedkov ministerstva bola mimo schváleného plánu oficiálnych účastí na výstavách v roku 2015 na základe </w:t>
      </w:r>
      <w:proofErr w:type="spellStart"/>
      <w:r w:rsidRPr="00735A6D">
        <w:rPr>
          <w:rFonts w:ascii="Times New Roman" w:hAnsi="Times New Roman"/>
          <w:sz w:val="24"/>
          <w:szCs w:val="24"/>
        </w:rPr>
        <w:t>vnútroministerského</w:t>
      </w:r>
      <w:proofErr w:type="spellEnd"/>
      <w:r w:rsidRPr="00735A6D">
        <w:rPr>
          <w:rFonts w:ascii="Times New Roman" w:hAnsi="Times New Roman"/>
          <w:sz w:val="24"/>
          <w:szCs w:val="24"/>
        </w:rPr>
        <w:t xml:space="preserve"> schvaľovacieho procesu podporená účasť slovenských firiem na:</w:t>
      </w:r>
    </w:p>
    <w:p w:rsidR="00E558E5" w:rsidRDefault="00E558E5" w:rsidP="00E558E5">
      <w:pPr>
        <w:spacing w:after="0" w:line="240" w:lineRule="auto"/>
        <w:ind w:firstLine="360"/>
        <w:jc w:val="both"/>
        <w:rPr>
          <w:rFonts w:ascii="Times New Roman" w:eastAsia="Times New Roman" w:hAnsi="Times New Roman"/>
          <w:color w:val="FF0000"/>
          <w:sz w:val="24"/>
          <w:szCs w:val="24"/>
          <w:lang w:eastAsia="sk-S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349"/>
      </w:tblGrid>
      <w:tr w:rsidR="00E558E5" w:rsidRPr="00021592" w:rsidTr="005E23EF">
        <w:trPr>
          <w:jc w:val="center"/>
        </w:trPr>
        <w:tc>
          <w:tcPr>
            <w:tcW w:w="3369" w:type="dxa"/>
            <w:shd w:val="clear" w:color="auto" w:fill="auto"/>
          </w:tcPr>
          <w:p w:rsidR="00E558E5" w:rsidRPr="00021592" w:rsidRDefault="00E558E5" w:rsidP="008D5867">
            <w:pPr>
              <w:spacing w:after="0" w:line="240" w:lineRule="auto"/>
              <w:jc w:val="center"/>
              <w:rPr>
                <w:rFonts w:ascii="Times New Roman" w:eastAsia="Times New Roman" w:hAnsi="Times New Roman"/>
                <w:b/>
                <w:sz w:val="24"/>
                <w:szCs w:val="24"/>
                <w:lang w:eastAsia="sk-SK"/>
              </w:rPr>
            </w:pPr>
            <w:r w:rsidRPr="00021592">
              <w:rPr>
                <w:rFonts w:ascii="Times New Roman" w:eastAsia="Times New Roman" w:hAnsi="Times New Roman"/>
                <w:b/>
                <w:sz w:val="24"/>
                <w:szCs w:val="24"/>
                <w:lang w:eastAsia="sk-SK"/>
              </w:rPr>
              <w:t>Výstava</w:t>
            </w:r>
          </w:p>
        </w:tc>
        <w:tc>
          <w:tcPr>
            <w:tcW w:w="3349" w:type="dxa"/>
            <w:shd w:val="clear" w:color="auto" w:fill="auto"/>
          </w:tcPr>
          <w:p w:rsidR="00E558E5" w:rsidRPr="00021592" w:rsidRDefault="00E558E5" w:rsidP="00735A6D">
            <w:pPr>
              <w:spacing w:after="0" w:line="240" w:lineRule="auto"/>
              <w:jc w:val="center"/>
              <w:rPr>
                <w:rFonts w:ascii="Times New Roman" w:eastAsia="Times New Roman" w:hAnsi="Times New Roman"/>
                <w:b/>
                <w:sz w:val="24"/>
                <w:szCs w:val="24"/>
                <w:lang w:eastAsia="sk-SK"/>
              </w:rPr>
            </w:pPr>
            <w:r w:rsidRPr="00021592">
              <w:rPr>
                <w:rFonts w:ascii="Times New Roman" w:eastAsia="Times New Roman" w:hAnsi="Times New Roman"/>
                <w:b/>
                <w:sz w:val="24"/>
                <w:szCs w:val="24"/>
                <w:lang w:eastAsia="sk-SK"/>
              </w:rPr>
              <w:t xml:space="preserve">Podporená sumou v </w:t>
            </w:r>
            <w:r w:rsidR="00735A6D">
              <w:rPr>
                <w:rFonts w:ascii="Times New Roman" w:eastAsia="Times New Roman" w:hAnsi="Times New Roman"/>
                <w:b/>
                <w:sz w:val="24"/>
                <w:szCs w:val="24"/>
                <w:lang w:eastAsia="sk-SK"/>
              </w:rPr>
              <w:t>e</w:t>
            </w:r>
            <w:r w:rsidRPr="00021592">
              <w:rPr>
                <w:rFonts w:ascii="Times New Roman" w:eastAsia="Times New Roman" w:hAnsi="Times New Roman"/>
                <w:b/>
                <w:sz w:val="24"/>
                <w:szCs w:val="24"/>
                <w:lang w:eastAsia="sk-SK"/>
              </w:rPr>
              <w:t>ur</w:t>
            </w:r>
            <w:r w:rsidR="005E23EF">
              <w:rPr>
                <w:rFonts w:ascii="Times New Roman" w:eastAsia="Times New Roman" w:hAnsi="Times New Roman"/>
                <w:b/>
                <w:sz w:val="24"/>
                <w:szCs w:val="24"/>
                <w:lang w:eastAsia="sk-SK"/>
              </w:rPr>
              <w:t>ách</w:t>
            </w:r>
          </w:p>
        </w:tc>
      </w:tr>
      <w:tr w:rsidR="00E558E5" w:rsidRPr="00021592" w:rsidTr="005E23EF">
        <w:trPr>
          <w:jc w:val="center"/>
        </w:trPr>
        <w:tc>
          <w:tcPr>
            <w:tcW w:w="3369" w:type="dxa"/>
            <w:shd w:val="clear" w:color="auto" w:fill="auto"/>
          </w:tcPr>
          <w:p w:rsidR="00E558E5" w:rsidRPr="00021592" w:rsidRDefault="00E558E5" w:rsidP="008D5867">
            <w:pPr>
              <w:spacing w:after="0" w:line="240" w:lineRule="auto"/>
              <w:rPr>
                <w:rFonts w:ascii="Times New Roman" w:eastAsia="Times New Roman" w:hAnsi="Times New Roman"/>
                <w:sz w:val="24"/>
                <w:szCs w:val="24"/>
                <w:lang w:eastAsia="sk-SK"/>
              </w:rPr>
            </w:pPr>
            <w:proofErr w:type="spellStart"/>
            <w:r w:rsidRPr="00021592">
              <w:rPr>
                <w:rFonts w:ascii="Times New Roman" w:eastAsia="Times New Roman" w:hAnsi="Times New Roman"/>
                <w:sz w:val="24"/>
                <w:szCs w:val="24"/>
                <w:lang w:eastAsia="sk-SK"/>
              </w:rPr>
              <w:t>MSV</w:t>
            </w:r>
            <w:proofErr w:type="spellEnd"/>
            <w:r w:rsidRPr="00021592">
              <w:rPr>
                <w:rFonts w:ascii="Times New Roman" w:eastAsia="Times New Roman" w:hAnsi="Times New Roman"/>
                <w:sz w:val="24"/>
                <w:szCs w:val="24"/>
                <w:lang w:eastAsia="sk-SK"/>
              </w:rPr>
              <w:t xml:space="preserve"> Nitra</w:t>
            </w:r>
          </w:p>
        </w:tc>
        <w:tc>
          <w:tcPr>
            <w:tcW w:w="3349" w:type="dxa"/>
            <w:shd w:val="clear" w:color="auto" w:fill="auto"/>
          </w:tcPr>
          <w:p w:rsidR="00E558E5" w:rsidRPr="00021592" w:rsidRDefault="00E558E5" w:rsidP="008D5867">
            <w:pPr>
              <w:spacing w:after="0" w:line="240" w:lineRule="auto"/>
              <w:jc w:val="center"/>
              <w:rPr>
                <w:rFonts w:ascii="Times New Roman" w:eastAsia="Times New Roman" w:hAnsi="Times New Roman"/>
                <w:sz w:val="24"/>
                <w:szCs w:val="24"/>
                <w:lang w:eastAsia="sk-SK"/>
              </w:rPr>
            </w:pPr>
            <w:r w:rsidRPr="00021592">
              <w:rPr>
                <w:rFonts w:ascii="Times New Roman" w:eastAsia="Times New Roman" w:hAnsi="Times New Roman"/>
                <w:sz w:val="24"/>
                <w:szCs w:val="24"/>
                <w:lang w:eastAsia="sk-SK"/>
              </w:rPr>
              <w:t>18 900,00</w:t>
            </w:r>
          </w:p>
        </w:tc>
      </w:tr>
      <w:tr w:rsidR="00E558E5" w:rsidRPr="00021592" w:rsidTr="005E23EF">
        <w:trPr>
          <w:jc w:val="center"/>
        </w:trPr>
        <w:tc>
          <w:tcPr>
            <w:tcW w:w="3369" w:type="dxa"/>
            <w:shd w:val="clear" w:color="auto" w:fill="auto"/>
          </w:tcPr>
          <w:p w:rsidR="00E558E5" w:rsidRPr="00021592" w:rsidRDefault="00E558E5" w:rsidP="008D5867">
            <w:pPr>
              <w:spacing w:after="0" w:line="240" w:lineRule="auto"/>
              <w:rPr>
                <w:rFonts w:ascii="Times New Roman" w:eastAsia="Times New Roman" w:hAnsi="Times New Roman"/>
                <w:sz w:val="24"/>
                <w:szCs w:val="24"/>
                <w:lang w:eastAsia="sk-SK"/>
              </w:rPr>
            </w:pPr>
            <w:r w:rsidRPr="00021592">
              <w:rPr>
                <w:rFonts w:ascii="Times New Roman" w:eastAsia="Times New Roman" w:hAnsi="Times New Roman"/>
                <w:sz w:val="24"/>
                <w:szCs w:val="24"/>
                <w:lang w:eastAsia="sk-SK"/>
              </w:rPr>
              <w:t>Autosalón Nitra</w:t>
            </w:r>
          </w:p>
        </w:tc>
        <w:tc>
          <w:tcPr>
            <w:tcW w:w="3349" w:type="dxa"/>
            <w:shd w:val="clear" w:color="auto" w:fill="auto"/>
          </w:tcPr>
          <w:p w:rsidR="00E558E5" w:rsidRPr="00021592" w:rsidRDefault="00E558E5" w:rsidP="008D5867">
            <w:pPr>
              <w:spacing w:after="0" w:line="240" w:lineRule="auto"/>
              <w:jc w:val="center"/>
              <w:rPr>
                <w:rFonts w:ascii="Times New Roman" w:eastAsia="Times New Roman" w:hAnsi="Times New Roman"/>
                <w:sz w:val="24"/>
                <w:szCs w:val="24"/>
                <w:lang w:eastAsia="sk-SK"/>
              </w:rPr>
            </w:pPr>
            <w:r w:rsidRPr="00021592">
              <w:rPr>
                <w:rFonts w:ascii="Times New Roman" w:eastAsia="Times New Roman" w:hAnsi="Times New Roman"/>
                <w:sz w:val="24"/>
                <w:szCs w:val="24"/>
                <w:lang w:eastAsia="sk-SK"/>
              </w:rPr>
              <w:t>9 386,20</w:t>
            </w:r>
          </w:p>
        </w:tc>
      </w:tr>
      <w:tr w:rsidR="00E558E5" w:rsidRPr="00021592" w:rsidTr="005E23EF">
        <w:trPr>
          <w:jc w:val="center"/>
        </w:trPr>
        <w:tc>
          <w:tcPr>
            <w:tcW w:w="3369" w:type="dxa"/>
            <w:shd w:val="clear" w:color="auto" w:fill="auto"/>
          </w:tcPr>
          <w:p w:rsidR="00E558E5" w:rsidRPr="00021592" w:rsidRDefault="00E558E5" w:rsidP="008D5867">
            <w:pPr>
              <w:spacing w:after="0" w:line="240" w:lineRule="auto"/>
              <w:rPr>
                <w:rFonts w:ascii="Times New Roman" w:eastAsia="Times New Roman" w:hAnsi="Times New Roman"/>
                <w:sz w:val="24"/>
                <w:szCs w:val="24"/>
                <w:lang w:eastAsia="sk-SK"/>
              </w:rPr>
            </w:pPr>
            <w:r w:rsidRPr="00021592">
              <w:rPr>
                <w:rFonts w:ascii="Times New Roman" w:eastAsia="Times New Roman" w:hAnsi="Times New Roman"/>
                <w:sz w:val="24"/>
                <w:szCs w:val="24"/>
                <w:lang w:eastAsia="sk-SK"/>
              </w:rPr>
              <w:t>Web Summit Dublin (</w:t>
            </w:r>
            <w:proofErr w:type="spellStart"/>
            <w:r w:rsidRPr="00021592">
              <w:rPr>
                <w:rFonts w:ascii="Times New Roman" w:eastAsia="Times New Roman" w:hAnsi="Times New Roman"/>
                <w:sz w:val="24"/>
                <w:szCs w:val="24"/>
                <w:lang w:eastAsia="sk-SK"/>
              </w:rPr>
              <w:t>startupy</w:t>
            </w:r>
            <w:proofErr w:type="spellEnd"/>
            <w:r w:rsidRPr="00021592">
              <w:rPr>
                <w:rFonts w:ascii="Times New Roman" w:eastAsia="Times New Roman" w:hAnsi="Times New Roman"/>
                <w:sz w:val="24"/>
                <w:szCs w:val="24"/>
                <w:lang w:eastAsia="sk-SK"/>
              </w:rPr>
              <w:t>)</w:t>
            </w:r>
          </w:p>
        </w:tc>
        <w:tc>
          <w:tcPr>
            <w:tcW w:w="3349" w:type="dxa"/>
            <w:shd w:val="clear" w:color="auto" w:fill="auto"/>
          </w:tcPr>
          <w:p w:rsidR="00E558E5" w:rsidRPr="00021592" w:rsidRDefault="00E558E5" w:rsidP="008D5867">
            <w:pPr>
              <w:spacing w:after="0" w:line="240" w:lineRule="auto"/>
              <w:jc w:val="center"/>
              <w:rPr>
                <w:rFonts w:ascii="Times New Roman" w:eastAsia="Times New Roman" w:hAnsi="Times New Roman"/>
                <w:sz w:val="24"/>
                <w:szCs w:val="24"/>
                <w:lang w:eastAsia="sk-SK"/>
              </w:rPr>
            </w:pPr>
            <w:r w:rsidRPr="00021592">
              <w:rPr>
                <w:rFonts w:ascii="Times New Roman" w:eastAsia="Times New Roman" w:hAnsi="Times New Roman"/>
                <w:sz w:val="24"/>
                <w:szCs w:val="24"/>
                <w:lang w:eastAsia="sk-SK"/>
              </w:rPr>
              <w:t>20 000,00</w:t>
            </w:r>
          </w:p>
        </w:tc>
      </w:tr>
      <w:tr w:rsidR="00E558E5" w:rsidRPr="00021592" w:rsidTr="005E23EF">
        <w:trPr>
          <w:jc w:val="center"/>
        </w:trPr>
        <w:tc>
          <w:tcPr>
            <w:tcW w:w="3369" w:type="dxa"/>
            <w:shd w:val="clear" w:color="auto" w:fill="auto"/>
          </w:tcPr>
          <w:p w:rsidR="00E558E5" w:rsidRPr="00021592" w:rsidRDefault="00E558E5" w:rsidP="008D5867">
            <w:pPr>
              <w:spacing w:after="0" w:line="240" w:lineRule="auto"/>
              <w:rPr>
                <w:rFonts w:ascii="Times New Roman" w:eastAsia="Times New Roman" w:hAnsi="Times New Roman"/>
                <w:sz w:val="24"/>
                <w:szCs w:val="24"/>
                <w:lang w:eastAsia="sk-SK"/>
              </w:rPr>
            </w:pPr>
            <w:proofErr w:type="spellStart"/>
            <w:r>
              <w:rPr>
                <w:rFonts w:ascii="Times New Roman" w:eastAsia="Times New Roman" w:hAnsi="Times New Roman"/>
                <w:sz w:val="24"/>
                <w:szCs w:val="24"/>
                <w:lang w:eastAsia="sk-SK"/>
              </w:rPr>
              <w:t>FIHAV</w:t>
            </w:r>
            <w:proofErr w:type="spellEnd"/>
            <w:r>
              <w:rPr>
                <w:rFonts w:ascii="Times New Roman" w:eastAsia="Times New Roman" w:hAnsi="Times New Roman"/>
                <w:sz w:val="24"/>
                <w:szCs w:val="24"/>
                <w:lang w:eastAsia="sk-SK"/>
              </w:rPr>
              <w:t xml:space="preserve"> Havana</w:t>
            </w:r>
          </w:p>
        </w:tc>
        <w:tc>
          <w:tcPr>
            <w:tcW w:w="3349" w:type="dxa"/>
            <w:shd w:val="clear" w:color="auto" w:fill="auto"/>
          </w:tcPr>
          <w:p w:rsidR="00E558E5" w:rsidRPr="00021592" w:rsidRDefault="00E558E5" w:rsidP="008D5867">
            <w:pPr>
              <w:spacing w:after="0" w:line="240" w:lineRule="auto"/>
              <w:jc w:val="center"/>
              <w:rPr>
                <w:rFonts w:ascii="Times New Roman" w:eastAsia="Times New Roman" w:hAnsi="Times New Roman"/>
                <w:sz w:val="24"/>
                <w:szCs w:val="24"/>
                <w:lang w:eastAsia="sk-SK"/>
              </w:rPr>
            </w:pPr>
            <w:r>
              <w:rPr>
                <w:rFonts w:ascii="Times New Roman" w:eastAsia="Times New Roman" w:hAnsi="Times New Roman"/>
                <w:sz w:val="24"/>
                <w:szCs w:val="24"/>
                <w:lang w:eastAsia="sk-SK"/>
              </w:rPr>
              <w:t>16 500,00</w:t>
            </w:r>
          </w:p>
        </w:tc>
      </w:tr>
      <w:tr w:rsidR="00E558E5" w:rsidRPr="00021592" w:rsidTr="005E23EF">
        <w:trPr>
          <w:jc w:val="center"/>
        </w:trPr>
        <w:tc>
          <w:tcPr>
            <w:tcW w:w="3369" w:type="dxa"/>
            <w:shd w:val="clear" w:color="auto" w:fill="auto"/>
          </w:tcPr>
          <w:p w:rsidR="00E558E5" w:rsidRPr="00021592" w:rsidRDefault="00E558E5" w:rsidP="008D5867">
            <w:pPr>
              <w:spacing w:after="0" w:line="240" w:lineRule="auto"/>
              <w:rPr>
                <w:rFonts w:ascii="Times New Roman" w:eastAsia="Times New Roman" w:hAnsi="Times New Roman"/>
                <w:b/>
                <w:sz w:val="24"/>
                <w:szCs w:val="24"/>
                <w:lang w:eastAsia="sk-SK"/>
              </w:rPr>
            </w:pPr>
            <w:r w:rsidRPr="00021592">
              <w:rPr>
                <w:rFonts w:ascii="Times New Roman" w:eastAsia="Times New Roman" w:hAnsi="Times New Roman"/>
                <w:b/>
                <w:sz w:val="24"/>
                <w:szCs w:val="24"/>
                <w:lang w:eastAsia="sk-SK"/>
              </w:rPr>
              <w:t>Spolu</w:t>
            </w:r>
          </w:p>
        </w:tc>
        <w:tc>
          <w:tcPr>
            <w:tcW w:w="3349" w:type="dxa"/>
            <w:shd w:val="clear" w:color="auto" w:fill="auto"/>
          </w:tcPr>
          <w:p w:rsidR="00E558E5" w:rsidRPr="00021592" w:rsidRDefault="00E558E5" w:rsidP="008D5867">
            <w:pPr>
              <w:spacing w:after="0" w:line="240" w:lineRule="auto"/>
              <w:jc w:val="center"/>
              <w:rPr>
                <w:rFonts w:ascii="Times New Roman" w:eastAsia="Times New Roman" w:hAnsi="Times New Roman"/>
                <w:b/>
                <w:sz w:val="24"/>
                <w:szCs w:val="24"/>
                <w:lang w:eastAsia="sk-SK"/>
              </w:rPr>
            </w:pPr>
            <w:r>
              <w:rPr>
                <w:rFonts w:ascii="Times New Roman" w:eastAsia="Times New Roman" w:hAnsi="Times New Roman"/>
                <w:b/>
                <w:sz w:val="24"/>
                <w:szCs w:val="24"/>
                <w:lang w:eastAsia="sk-SK"/>
              </w:rPr>
              <w:t>64</w:t>
            </w:r>
            <w:r w:rsidRPr="00021592">
              <w:rPr>
                <w:rFonts w:ascii="Times New Roman" w:eastAsia="Times New Roman" w:hAnsi="Times New Roman"/>
                <w:b/>
                <w:sz w:val="24"/>
                <w:szCs w:val="24"/>
                <w:lang w:eastAsia="sk-SK"/>
              </w:rPr>
              <w:t xml:space="preserve"> </w:t>
            </w:r>
            <w:r>
              <w:rPr>
                <w:rFonts w:ascii="Times New Roman" w:eastAsia="Times New Roman" w:hAnsi="Times New Roman"/>
                <w:b/>
                <w:sz w:val="24"/>
                <w:szCs w:val="24"/>
                <w:lang w:eastAsia="sk-SK"/>
              </w:rPr>
              <w:t>7</w:t>
            </w:r>
            <w:r w:rsidRPr="00021592">
              <w:rPr>
                <w:rFonts w:ascii="Times New Roman" w:eastAsia="Times New Roman" w:hAnsi="Times New Roman"/>
                <w:b/>
                <w:sz w:val="24"/>
                <w:szCs w:val="24"/>
                <w:lang w:eastAsia="sk-SK"/>
              </w:rPr>
              <w:t>86,20</w:t>
            </w:r>
          </w:p>
        </w:tc>
      </w:tr>
    </w:tbl>
    <w:p w:rsidR="00E558E5" w:rsidRPr="00942F3D" w:rsidRDefault="00735A6D" w:rsidP="00CB1741">
      <w:pPr>
        <w:spacing w:before="240" w:after="0" w:line="240" w:lineRule="auto"/>
        <w:ind w:firstLine="708"/>
        <w:jc w:val="both"/>
        <w:rPr>
          <w:rFonts w:ascii="Times New Roman" w:eastAsia="Times New Roman" w:hAnsi="Times New Roman"/>
          <w:sz w:val="24"/>
          <w:szCs w:val="24"/>
          <w:lang w:eastAsia="sk-SK"/>
        </w:rPr>
      </w:pPr>
      <w:r>
        <w:rPr>
          <w:rFonts w:ascii="Times New Roman" w:eastAsia="Times New Roman" w:hAnsi="Times New Roman"/>
          <w:sz w:val="24"/>
          <w:szCs w:val="24"/>
          <w:lang w:eastAsia="sk-SK"/>
        </w:rPr>
        <w:t>Výdavky na v</w:t>
      </w:r>
      <w:r w:rsidR="00E558E5" w:rsidRPr="0080276F">
        <w:rPr>
          <w:rFonts w:ascii="Times New Roman" w:eastAsia="Times New Roman" w:hAnsi="Times New Roman"/>
          <w:sz w:val="24"/>
          <w:szCs w:val="24"/>
          <w:lang w:eastAsia="sk-SK"/>
        </w:rPr>
        <w:t xml:space="preserve">ýstavy v roku 2015 neboli  z prostriedkov štrukturálnych fondov EÚ </w:t>
      </w:r>
      <w:r>
        <w:rPr>
          <w:rFonts w:ascii="Times New Roman" w:eastAsia="Times New Roman" w:hAnsi="Times New Roman"/>
          <w:sz w:val="24"/>
          <w:szCs w:val="24"/>
          <w:lang w:eastAsia="sk-SK"/>
        </w:rPr>
        <w:t>k marcu 2016</w:t>
      </w:r>
      <w:r w:rsidR="00E558E5">
        <w:rPr>
          <w:rFonts w:ascii="Times New Roman" w:eastAsia="Times New Roman" w:hAnsi="Times New Roman"/>
          <w:sz w:val="24"/>
          <w:szCs w:val="24"/>
          <w:lang w:eastAsia="sk-SK"/>
        </w:rPr>
        <w:t xml:space="preserve"> z</w:t>
      </w:r>
      <w:r w:rsidR="00E558E5" w:rsidRPr="0080276F">
        <w:rPr>
          <w:rFonts w:ascii="Times New Roman" w:eastAsia="Times New Roman" w:hAnsi="Times New Roman"/>
          <w:sz w:val="24"/>
          <w:szCs w:val="24"/>
          <w:lang w:eastAsia="sk-SK"/>
        </w:rPr>
        <w:t xml:space="preserve">refundované. Záverečná žiadosť o platbu za výstavy a veľtrhy uskutočnené v roku 2015 predstavuje </w:t>
      </w:r>
      <w:r>
        <w:rPr>
          <w:rFonts w:ascii="Times New Roman" w:eastAsia="Times New Roman" w:hAnsi="Times New Roman"/>
          <w:sz w:val="24"/>
          <w:szCs w:val="24"/>
          <w:lang w:eastAsia="sk-SK"/>
        </w:rPr>
        <w:t>sumu</w:t>
      </w:r>
      <w:r w:rsidR="00E558E5">
        <w:rPr>
          <w:rFonts w:ascii="Times New Roman" w:eastAsia="Times New Roman" w:hAnsi="Times New Roman"/>
          <w:sz w:val="24"/>
          <w:szCs w:val="24"/>
          <w:lang w:eastAsia="sk-SK"/>
        </w:rPr>
        <w:t xml:space="preserve"> </w:t>
      </w:r>
      <w:r w:rsidR="00E558E5" w:rsidRPr="0080276F">
        <w:rPr>
          <w:rFonts w:ascii="Times New Roman" w:eastAsia="Times New Roman" w:hAnsi="Times New Roman"/>
          <w:sz w:val="24"/>
          <w:szCs w:val="24"/>
          <w:lang w:eastAsia="sk-SK"/>
        </w:rPr>
        <w:t xml:space="preserve">231 588,81 </w:t>
      </w:r>
      <w:r>
        <w:rPr>
          <w:rFonts w:ascii="Times New Roman" w:eastAsia="Times New Roman" w:hAnsi="Times New Roman"/>
          <w:sz w:val="24"/>
          <w:szCs w:val="24"/>
          <w:lang w:eastAsia="sk-SK"/>
        </w:rPr>
        <w:t>e</w:t>
      </w:r>
      <w:r w:rsidR="00E558E5">
        <w:rPr>
          <w:rFonts w:ascii="Times New Roman" w:eastAsia="Times New Roman" w:hAnsi="Times New Roman"/>
          <w:sz w:val="24"/>
          <w:szCs w:val="24"/>
          <w:lang w:eastAsia="sk-SK"/>
        </w:rPr>
        <w:t>ur</w:t>
      </w:r>
      <w:r w:rsidR="00E558E5" w:rsidRPr="0080276F">
        <w:rPr>
          <w:rFonts w:ascii="Times New Roman" w:eastAsia="Times New Roman" w:hAnsi="Times New Roman"/>
          <w:sz w:val="24"/>
          <w:szCs w:val="24"/>
          <w:lang w:eastAsia="sk-SK"/>
        </w:rPr>
        <w:t xml:space="preserve"> a v</w:t>
      </w:r>
      <w:r>
        <w:rPr>
          <w:rFonts w:ascii="Times New Roman" w:eastAsia="Times New Roman" w:hAnsi="Times New Roman"/>
          <w:sz w:val="24"/>
          <w:szCs w:val="24"/>
          <w:lang w:eastAsia="sk-SK"/>
        </w:rPr>
        <w:t xml:space="preserve"> aktuálnom období </w:t>
      </w:r>
      <w:r w:rsidR="00E558E5" w:rsidRPr="0080276F">
        <w:rPr>
          <w:rFonts w:ascii="Times New Roman" w:eastAsia="Times New Roman" w:hAnsi="Times New Roman"/>
          <w:sz w:val="24"/>
          <w:szCs w:val="24"/>
          <w:lang w:eastAsia="sk-SK"/>
        </w:rPr>
        <w:t xml:space="preserve"> sa čaká na výkon administratívnej kontroly a</w:t>
      </w:r>
      <w:r w:rsidR="00E558E5">
        <w:rPr>
          <w:rFonts w:ascii="Times New Roman" w:eastAsia="Times New Roman" w:hAnsi="Times New Roman"/>
          <w:sz w:val="24"/>
          <w:szCs w:val="24"/>
          <w:lang w:eastAsia="sk-SK"/>
        </w:rPr>
        <w:t xml:space="preserve"> následnú </w:t>
      </w:r>
      <w:r w:rsidR="00E558E5" w:rsidRPr="0080276F">
        <w:rPr>
          <w:rFonts w:ascii="Times New Roman" w:eastAsia="Times New Roman" w:hAnsi="Times New Roman"/>
          <w:sz w:val="24"/>
          <w:szCs w:val="24"/>
          <w:lang w:eastAsia="sk-SK"/>
        </w:rPr>
        <w:t>refundáciu prostriedkov zo strany sekcie štrukturálnych fondov</w:t>
      </w:r>
      <w:r w:rsidR="00DF3AFF">
        <w:rPr>
          <w:rFonts w:ascii="Times New Roman" w:eastAsia="Times New Roman" w:hAnsi="Times New Roman"/>
          <w:sz w:val="24"/>
          <w:szCs w:val="24"/>
          <w:lang w:eastAsia="sk-SK"/>
        </w:rPr>
        <w:t xml:space="preserve"> </w:t>
      </w:r>
      <w:r w:rsidR="00E558E5" w:rsidRPr="0080276F">
        <w:rPr>
          <w:rFonts w:ascii="Times New Roman" w:eastAsia="Times New Roman" w:hAnsi="Times New Roman"/>
          <w:sz w:val="24"/>
          <w:szCs w:val="24"/>
          <w:lang w:eastAsia="sk-SK"/>
        </w:rPr>
        <w:t xml:space="preserve">EÚ. </w:t>
      </w:r>
    </w:p>
    <w:p w:rsidR="009B6D10" w:rsidRDefault="009B6D10" w:rsidP="00570FAE">
      <w:pPr>
        <w:tabs>
          <w:tab w:val="left" w:pos="709"/>
        </w:tabs>
        <w:spacing w:after="0" w:line="240" w:lineRule="auto"/>
        <w:ind w:left="709"/>
        <w:jc w:val="both"/>
        <w:rPr>
          <w:rFonts w:ascii="Times New Roman" w:hAnsi="Times New Roman" w:cs="Times New Roman"/>
          <w:b/>
          <w:bCs/>
          <w:sz w:val="24"/>
          <w:szCs w:val="24"/>
        </w:rPr>
      </w:pPr>
    </w:p>
    <w:p w:rsidR="0012367D" w:rsidRPr="00A427D1" w:rsidRDefault="00A427D1" w:rsidP="00570FAE">
      <w:pPr>
        <w:tabs>
          <w:tab w:val="left" w:pos="709"/>
        </w:tabs>
        <w:spacing w:after="0" w:line="240" w:lineRule="auto"/>
        <w:ind w:left="709"/>
        <w:jc w:val="both"/>
        <w:rPr>
          <w:rFonts w:ascii="Times New Roman" w:hAnsi="Times New Roman" w:cs="Times New Roman"/>
          <w:b/>
          <w:bCs/>
          <w:sz w:val="24"/>
          <w:szCs w:val="24"/>
        </w:rPr>
      </w:pPr>
      <w:r>
        <w:rPr>
          <w:rFonts w:ascii="Times New Roman" w:hAnsi="Times New Roman" w:cs="Times New Roman"/>
          <w:b/>
          <w:bCs/>
          <w:sz w:val="24"/>
          <w:szCs w:val="24"/>
        </w:rPr>
        <w:t xml:space="preserve">Použitie prostriedkov, o ktoré bola kapitola oprávnená prekročiť limit výdavkov podľa </w:t>
      </w:r>
      <w:r w:rsidR="0012367D" w:rsidRPr="00A427D1">
        <w:rPr>
          <w:rFonts w:ascii="Times New Roman" w:hAnsi="Times New Roman" w:cs="Times New Roman"/>
          <w:b/>
          <w:bCs/>
          <w:sz w:val="24"/>
          <w:szCs w:val="24"/>
        </w:rPr>
        <w:t xml:space="preserve"> § 23 zákona o rozpočtových pravidlách</w:t>
      </w:r>
    </w:p>
    <w:p w:rsidR="00E60BD1" w:rsidRDefault="00E60BD1" w:rsidP="00570FAE">
      <w:pPr>
        <w:tabs>
          <w:tab w:val="left" w:pos="709"/>
        </w:tabs>
        <w:spacing w:after="0" w:line="240" w:lineRule="auto"/>
        <w:ind w:left="709"/>
        <w:jc w:val="both"/>
        <w:rPr>
          <w:rFonts w:ascii="Times New Roman" w:hAnsi="Times New Roman" w:cs="Times New Roman"/>
          <w:b/>
          <w:bCs/>
          <w:sz w:val="24"/>
          <w:szCs w:val="24"/>
        </w:rPr>
      </w:pPr>
    </w:p>
    <w:p w:rsidR="00E60BD1" w:rsidRPr="00E60BD1" w:rsidRDefault="00E60BD1" w:rsidP="005244BE">
      <w:pPr>
        <w:spacing w:after="0" w:line="240" w:lineRule="auto"/>
        <w:ind w:firstLine="709"/>
        <w:jc w:val="both"/>
        <w:rPr>
          <w:rFonts w:ascii="Times New Roman" w:hAnsi="Times New Roman" w:cs="Times New Roman"/>
          <w:sz w:val="24"/>
          <w:szCs w:val="24"/>
        </w:rPr>
      </w:pPr>
      <w:r w:rsidRPr="00E60BD1">
        <w:rPr>
          <w:rFonts w:ascii="Times New Roman" w:hAnsi="Times New Roman" w:cs="Times New Roman"/>
          <w:sz w:val="24"/>
          <w:szCs w:val="24"/>
        </w:rPr>
        <w:t xml:space="preserve">Podľa § 23 zákona o rozpočtových pravidlách bola kapitola MH SR oprávnená prekročiť limit výdavkov za rok 2015 o 512,90 eur. </w:t>
      </w:r>
    </w:p>
    <w:p w:rsidR="00E60BD1" w:rsidRPr="00E60BD1" w:rsidRDefault="00E60BD1" w:rsidP="005244BE">
      <w:pPr>
        <w:tabs>
          <w:tab w:val="left" w:pos="709"/>
        </w:tabs>
        <w:spacing w:after="0" w:line="240" w:lineRule="auto"/>
        <w:ind w:left="709"/>
        <w:jc w:val="both"/>
        <w:rPr>
          <w:rFonts w:ascii="Times New Roman" w:hAnsi="Times New Roman" w:cs="Times New Roman"/>
          <w:b/>
          <w:bCs/>
          <w:sz w:val="24"/>
          <w:szCs w:val="24"/>
        </w:rPr>
      </w:pPr>
    </w:p>
    <w:p w:rsidR="00E60BD1" w:rsidRPr="00E60BD1" w:rsidRDefault="00E60BD1" w:rsidP="005244BE">
      <w:pPr>
        <w:pStyle w:val="Zkladntext2"/>
        <w:tabs>
          <w:tab w:val="left" w:pos="8415"/>
        </w:tabs>
        <w:spacing w:line="240" w:lineRule="auto"/>
        <w:ind w:firstLine="567"/>
        <w:jc w:val="both"/>
        <w:rPr>
          <w:rFonts w:ascii="Times New Roman" w:hAnsi="Times New Roman" w:cs="Times New Roman"/>
          <w:b/>
          <w:sz w:val="24"/>
          <w:szCs w:val="24"/>
        </w:rPr>
      </w:pPr>
      <w:proofErr w:type="spellStart"/>
      <w:r w:rsidRPr="00E60BD1">
        <w:rPr>
          <w:rFonts w:ascii="Times New Roman" w:hAnsi="Times New Roman" w:cs="Times New Roman"/>
          <w:sz w:val="24"/>
          <w:szCs w:val="24"/>
        </w:rPr>
        <w:t>SOI</w:t>
      </w:r>
      <w:proofErr w:type="spellEnd"/>
      <w:r w:rsidRPr="00E60BD1">
        <w:rPr>
          <w:rFonts w:ascii="Times New Roman" w:hAnsi="Times New Roman" w:cs="Times New Roman"/>
          <w:sz w:val="24"/>
          <w:szCs w:val="24"/>
        </w:rPr>
        <w:t xml:space="preserve"> v roku 2015 prijala grant od medzinárodnej organizácie v sume 512,90 eur na projekt </w:t>
      </w:r>
      <w:proofErr w:type="spellStart"/>
      <w:r w:rsidRPr="00E60BD1">
        <w:rPr>
          <w:rFonts w:ascii="Times New Roman" w:hAnsi="Times New Roman" w:cs="Times New Roman"/>
          <w:sz w:val="24"/>
          <w:szCs w:val="24"/>
        </w:rPr>
        <w:t>EUTS</w:t>
      </w:r>
      <w:proofErr w:type="spellEnd"/>
      <w:r w:rsidRPr="00E60BD1">
        <w:rPr>
          <w:rFonts w:ascii="Times New Roman" w:hAnsi="Times New Roman" w:cs="Times New Roman"/>
          <w:sz w:val="24"/>
          <w:szCs w:val="24"/>
        </w:rPr>
        <w:t xml:space="preserve"> III – Európska stratégia pre nekalé obchodné praktiky III v roku 2015.</w:t>
      </w:r>
    </w:p>
    <w:p w:rsidR="00E60BD1" w:rsidRPr="00E60BD1" w:rsidRDefault="00E60BD1" w:rsidP="005244BE">
      <w:pPr>
        <w:pStyle w:val="Hlavika"/>
        <w:tabs>
          <w:tab w:val="clear" w:pos="4536"/>
        </w:tabs>
        <w:ind w:firstLine="567"/>
        <w:jc w:val="both"/>
        <w:rPr>
          <w:rFonts w:ascii="Times New Roman" w:hAnsi="Times New Roman" w:cs="Times New Roman"/>
          <w:bCs/>
          <w:color w:val="000000"/>
          <w:sz w:val="24"/>
          <w:szCs w:val="24"/>
        </w:rPr>
      </w:pPr>
      <w:r w:rsidRPr="00E60BD1">
        <w:rPr>
          <w:rFonts w:ascii="Times New Roman" w:hAnsi="Times New Roman" w:cs="Times New Roman"/>
          <w:bCs/>
          <w:color w:val="000000"/>
          <w:sz w:val="24"/>
          <w:szCs w:val="24"/>
        </w:rPr>
        <w:t xml:space="preserve">K 31.12.2015 </w:t>
      </w:r>
      <w:proofErr w:type="spellStart"/>
      <w:r w:rsidRPr="00E60BD1">
        <w:rPr>
          <w:rFonts w:ascii="Times New Roman" w:hAnsi="Times New Roman" w:cs="Times New Roman"/>
          <w:bCs/>
          <w:color w:val="000000"/>
          <w:sz w:val="24"/>
          <w:szCs w:val="24"/>
        </w:rPr>
        <w:t>SOI</w:t>
      </w:r>
      <w:proofErr w:type="spellEnd"/>
      <w:r w:rsidRPr="00E60BD1">
        <w:rPr>
          <w:rFonts w:ascii="Times New Roman" w:hAnsi="Times New Roman" w:cs="Times New Roman"/>
          <w:bCs/>
          <w:color w:val="000000"/>
          <w:sz w:val="24"/>
          <w:szCs w:val="24"/>
        </w:rPr>
        <w:t xml:space="preserve">  vyčerpala  mimorozpočtové prostriedky – zahraničné granty v sume 512,90  eur pre 1 zamestnanca </w:t>
      </w:r>
      <w:proofErr w:type="spellStart"/>
      <w:r w:rsidRPr="00E60BD1">
        <w:rPr>
          <w:rFonts w:ascii="Times New Roman" w:hAnsi="Times New Roman" w:cs="Times New Roman"/>
          <w:bCs/>
          <w:color w:val="000000"/>
          <w:sz w:val="24"/>
          <w:szCs w:val="24"/>
        </w:rPr>
        <w:t>SOI</w:t>
      </w:r>
      <w:proofErr w:type="spellEnd"/>
      <w:r w:rsidRPr="00E60BD1">
        <w:rPr>
          <w:rFonts w:ascii="Times New Roman" w:hAnsi="Times New Roman" w:cs="Times New Roman"/>
          <w:bCs/>
          <w:color w:val="000000"/>
          <w:sz w:val="24"/>
          <w:szCs w:val="24"/>
        </w:rPr>
        <w:t xml:space="preserve">, ktorý sa v mesiacoch máj a október zúčastnil na projekte </w:t>
      </w:r>
      <w:proofErr w:type="spellStart"/>
      <w:r w:rsidRPr="00E60BD1">
        <w:rPr>
          <w:rFonts w:ascii="Times New Roman" w:hAnsi="Times New Roman" w:cs="Times New Roman"/>
          <w:bCs/>
          <w:color w:val="000000"/>
          <w:sz w:val="24"/>
          <w:szCs w:val="24"/>
        </w:rPr>
        <w:t>EUTS</w:t>
      </w:r>
      <w:proofErr w:type="spellEnd"/>
      <w:r w:rsidRPr="00E60BD1">
        <w:rPr>
          <w:rFonts w:ascii="Times New Roman" w:hAnsi="Times New Roman" w:cs="Times New Roman"/>
          <w:bCs/>
          <w:color w:val="000000"/>
          <w:sz w:val="24"/>
          <w:szCs w:val="24"/>
        </w:rPr>
        <w:t xml:space="preserve"> III – Európska stratégia pre nekalé obchodné praktiky III v roku 2015.</w:t>
      </w:r>
    </w:p>
    <w:p w:rsidR="00B73B1B" w:rsidRPr="00E60BD1" w:rsidRDefault="00B73B1B" w:rsidP="005244BE">
      <w:pPr>
        <w:pStyle w:val="Hlavika"/>
        <w:tabs>
          <w:tab w:val="clear" w:pos="4536"/>
        </w:tabs>
        <w:ind w:firstLine="567"/>
        <w:jc w:val="both"/>
        <w:rPr>
          <w:rFonts w:ascii="Times New Roman" w:hAnsi="Times New Roman" w:cs="Times New Roman"/>
          <w:sz w:val="24"/>
          <w:szCs w:val="24"/>
        </w:rPr>
      </w:pPr>
    </w:p>
    <w:p w:rsidR="00BF71E0" w:rsidRPr="00A427D1" w:rsidRDefault="00B73B1B" w:rsidP="00570FAE">
      <w:pPr>
        <w:pStyle w:val="Nadpis3"/>
        <w:numPr>
          <w:ilvl w:val="2"/>
          <w:numId w:val="14"/>
        </w:numPr>
        <w:spacing w:before="0" w:line="240" w:lineRule="auto"/>
        <w:ind w:left="1276" w:hanging="567"/>
        <w:jc w:val="both"/>
        <w:rPr>
          <w:rFonts w:ascii="Times New Roman" w:hAnsi="Times New Roman" w:cs="Times New Roman"/>
        </w:rPr>
      </w:pPr>
      <w:bookmarkStart w:id="11" w:name="_Toc415553101"/>
      <w:r>
        <w:rPr>
          <w:rFonts w:ascii="Times New Roman" w:hAnsi="Times New Roman" w:cs="Times New Roman"/>
        </w:rPr>
        <w:t>V</w:t>
      </w:r>
      <w:r w:rsidR="00BF71E0" w:rsidRPr="00A427D1">
        <w:rPr>
          <w:rFonts w:ascii="Times New Roman" w:hAnsi="Times New Roman" w:cs="Times New Roman"/>
        </w:rPr>
        <w:t>ýdavky kapitoly podľa funkčnej klasifikácie</w:t>
      </w:r>
      <w:bookmarkEnd w:id="11"/>
    </w:p>
    <w:p w:rsidR="0084082E" w:rsidRPr="00A427D1" w:rsidRDefault="0084082E" w:rsidP="00A427D1">
      <w:pPr>
        <w:spacing w:after="0" w:line="240" w:lineRule="auto"/>
        <w:ind w:firstLine="540"/>
        <w:jc w:val="both"/>
        <w:rPr>
          <w:rFonts w:ascii="Times New Roman" w:hAnsi="Times New Roman" w:cs="Times New Roman"/>
          <w:bCs/>
          <w:sz w:val="24"/>
          <w:szCs w:val="24"/>
        </w:rPr>
      </w:pPr>
    </w:p>
    <w:p w:rsidR="00127683" w:rsidRPr="00A427D1" w:rsidRDefault="00127683" w:rsidP="00570FAE">
      <w:pPr>
        <w:autoSpaceDE w:val="0"/>
        <w:autoSpaceDN w:val="0"/>
        <w:adjustRightInd w:val="0"/>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Z hľadiska funkčnej klasifikácie bol rozpočet MH SR v roku 201</w:t>
      </w:r>
      <w:r w:rsidR="008E5BB1" w:rsidRPr="00A427D1">
        <w:rPr>
          <w:rFonts w:ascii="Times New Roman" w:hAnsi="Times New Roman" w:cs="Times New Roman"/>
          <w:sz w:val="24"/>
          <w:szCs w:val="24"/>
        </w:rPr>
        <w:t>4</w:t>
      </w:r>
      <w:r w:rsidRPr="00A427D1">
        <w:rPr>
          <w:rFonts w:ascii="Times New Roman" w:hAnsi="Times New Roman" w:cs="Times New Roman"/>
          <w:sz w:val="24"/>
          <w:szCs w:val="24"/>
        </w:rPr>
        <w:t xml:space="preserve"> realizovaný v </w:t>
      </w:r>
      <w:r w:rsidR="00574726">
        <w:rPr>
          <w:rFonts w:ascii="Times New Roman" w:hAnsi="Times New Roman" w:cs="Times New Roman"/>
          <w:sz w:val="24"/>
          <w:szCs w:val="24"/>
        </w:rPr>
        <w:t>siedmych</w:t>
      </w:r>
      <w:r w:rsidRPr="00A427D1">
        <w:rPr>
          <w:rFonts w:ascii="Times New Roman" w:hAnsi="Times New Roman" w:cs="Times New Roman"/>
          <w:sz w:val="24"/>
          <w:szCs w:val="24"/>
        </w:rPr>
        <w:t xml:space="preserve"> oddieloch. </w:t>
      </w:r>
    </w:p>
    <w:p w:rsidR="00FB497A" w:rsidRPr="00A427D1" w:rsidRDefault="00FB497A" w:rsidP="00A427D1">
      <w:pPr>
        <w:autoSpaceDE w:val="0"/>
        <w:autoSpaceDN w:val="0"/>
        <w:adjustRightInd w:val="0"/>
        <w:spacing w:after="0" w:line="240" w:lineRule="auto"/>
        <w:ind w:firstLine="567"/>
        <w:rPr>
          <w:rFonts w:ascii="Times New Roman" w:hAnsi="Times New Roman" w:cs="Times New Roman"/>
          <w:sz w:val="24"/>
          <w:szCs w:val="24"/>
        </w:rPr>
      </w:pPr>
    </w:p>
    <w:p w:rsidR="00FB497A" w:rsidRDefault="003305B4" w:rsidP="00570FAE">
      <w:pPr>
        <w:autoSpaceDE w:val="0"/>
        <w:autoSpaceDN w:val="0"/>
        <w:adjustRightInd w:val="0"/>
        <w:spacing w:after="0" w:line="240" w:lineRule="auto"/>
        <w:ind w:firstLine="709"/>
        <w:jc w:val="both"/>
        <w:rPr>
          <w:rFonts w:ascii="Times New Roman" w:hAnsi="Times New Roman" w:cs="Times New Roman"/>
          <w:sz w:val="24"/>
          <w:szCs w:val="24"/>
        </w:rPr>
      </w:pPr>
      <w:r w:rsidRPr="00A427D1">
        <w:rPr>
          <w:rFonts w:ascii="Times New Roman" w:hAnsi="Times New Roman" w:cs="Times New Roman"/>
          <w:sz w:val="24"/>
          <w:szCs w:val="24"/>
        </w:rPr>
        <w:t xml:space="preserve">Prehľad čerpania výdavkov </w:t>
      </w:r>
      <w:r w:rsidR="00FB497A" w:rsidRPr="00A427D1">
        <w:rPr>
          <w:rFonts w:ascii="Times New Roman" w:hAnsi="Times New Roman" w:cs="Times New Roman"/>
          <w:sz w:val="24"/>
          <w:szCs w:val="24"/>
        </w:rPr>
        <w:t xml:space="preserve">(vrátane mimorozpočtových zdrojov) </w:t>
      </w:r>
      <w:r w:rsidRPr="00A427D1">
        <w:rPr>
          <w:rFonts w:ascii="Times New Roman" w:hAnsi="Times New Roman" w:cs="Times New Roman"/>
          <w:sz w:val="24"/>
          <w:szCs w:val="24"/>
        </w:rPr>
        <w:t>MH SR podľa funkčnej klasifikácie je v </w:t>
      </w:r>
      <w:r w:rsidR="00FB497A" w:rsidRPr="00A427D1">
        <w:rPr>
          <w:rFonts w:ascii="Times New Roman" w:hAnsi="Times New Roman" w:cs="Times New Roman"/>
          <w:bCs/>
          <w:sz w:val="24"/>
          <w:szCs w:val="24"/>
        </w:rPr>
        <w:t>nasledovnom prehľade:</w:t>
      </w:r>
      <w:r w:rsidRPr="00A427D1">
        <w:rPr>
          <w:rFonts w:ascii="Times New Roman" w:hAnsi="Times New Roman" w:cs="Times New Roman"/>
          <w:sz w:val="24"/>
          <w:szCs w:val="24"/>
        </w:rPr>
        <w:t xml:space="preserve">   </w:t>
      </w:r>
    </w:p>
    <w:p w:rsidR="000275A9" w:rsidRPr="007D774A" w:rsidRDefault="003305B4" w:rsidP="000275A9">
      <w:pPr>
        <w:spacing w:after="0" w:line="240" w:lineRule="auto"/>
        <w:ind w:firstLine="540"/>
        <w:jc w:val="right"/>
        <w:rPr>
          <w:rFonts w:ascii="Times New Roman" w:hAnsi="Times New Roman" w:cs="Times New Roman"/>
          <w:sz w:val="24"/>
          <w:szCs w:val="24"/>
        </w:rPr>
      </w:pPr>
      <w:r>
        <w:rPr>
          <w:rFonts w:ascii="Times New Roman" w:hAnsi="Times New Roman"/>
          <w:sz w:val="24"/>
          <w:szCs w:val="24"/>
        </w:rPr>
        <w:t xml:space="preserve">                                                                                                               </w:t>
      </w:r>
      <w:r w:rsidR="00FB497A">
        <w:rPr>
          <w:rFonts w:ascii="Times New Roman" w:hAnsi="Times New Roman"/>
          <w:sz w:val="24"/>
          <w:szCs w:val="24"/>
        </w:rPr>
        <w:t xml:space="preserve">                </w:t>
      </w:r>
      <w:r w:rsidR="000275A9" w:rsidRPr="00E91F66">
        <w:rPr>
          <w:rFonts w:ascii="Times New Roman" w:hAnsi="Times New Roman" w:cs="Times New Roman"/>
          <w:sz w:val="24"/>
          <w:szCs w:val="24"/>
        </w:rPr>
        <w:t>v eur</w:t>
      </w:r>
      <w:r w:rsidR="000275A9">
        <w:rPr>
          <w:rFonts w:ascii="Times New Roman" w:hAnsi="Times New Roman" w:cs="Times New Roman"/>
          <w:sz w:val="24"/>
          <w:szCs w:val="24"/>
        </w:rPr>
        <w:t>ách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1697"/>
        <w:gridCol w:w="1991"/>
        <w:gridCol w:w="1707"/>
        <w:gridCol w:w="1138"/>
      </w:tblGrid>
      <w:tr w:rsidR="005244BE" w:rsidRPr="0031653B" w:rsidTr="00647D5D">
        <w:trPr>
          <w:trHeight w:val="957"/>
        </w:trPr>
        <w:tc>
          <w:tcPr>
            <w:tcW w:w="2570" w:type="dxa"/>
            <w:shd w:val="clear" w:color="auto" w:fill="auto"/>
          </w:tcPr>
          <w:p w:rsidR="00127683" w:rsidRPr="0031653B" w:rsidRDefault="0012741B" w:rsidP="00C96099">
            <w:pPr>
              <w:autoSpaceDE w:val="0"/>
              <w:autoSpaceDN w:val="0"/>
              <w:adjustRightInd w:val="0"/>
              <w:spacing w:after="0" w:line="240" w:lineRule="auto"/>
              <w:jc w:val="both"/>
              <w:rPr>
                <w:rFonts w:ascii="Times New Roman" w:eastAsia="Times New Roman" w:hAnsi="Times New Roman" w:cs="Times New Roman"/>
                <w:b/>
              </w:rPr>
            </w:pPr>
            <w:r w:rsidRPr="0031653B">
              <w:rPr>
                <w:rFonts w:ascii="Times New Roman" w:eastAsia="Times New Roman" w:hAnsi="Times New Roman" w:cs="Times New Roman"/>
                <w:b/>
              </w:rPr>
              <w:t>O</w:t>
            </w:r>
            <w:r w:rsidR="00127683" w:rsidRPr="0031653B">
              <w:rPr>
                <w:rFonts w:ascii="Times New Roman" w:eastAsia="Times New Roman" w:hAnsi="Times New Roman" w:cs="Times New Roman"/>
                <w:b/>
              </w:rPr>
              <w:t>ddiel</w:t>
            </w:r>
          </w:p>
        </w:tc>
        <w:tc>
          <w:tcPr>
            <w:tcW w:w="1697" w:type="dxa"/>
            <w:shd w:val="clear" w:color="auto" w:fill="auto"/>
          </w:tcPr>
          <w:p w:rsidR="00127683" w:rsidRPr="0031653B" w:rsidRDefault="00127683" w:rsidP="00CA44AF">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Schválený rozpočet</w:t>
            </w:r>
            <w:r w:rsidR="00CA44AF" w:rsidRPr="0031653B">
              <w:rPr>
                <w:rFonts w:ascii="Times New Roman" w:eastAsia="Times New Roman" w:hAnsi="Times New Roman" w:cs="Times New Roman"/>
                <w:b/>
              </w:rPr>
              <w:t xml:space="preserve"> k 1.1.2015</w:t>
            </w:r>
          </w:p>
        </w:tc>
        <w:tc>
          <w:tcPr>
            <w:tcW w:w="1991" w:type="dxa"/>
            <w:shd w:val="clear" w:color="auto" w:fill="auto"/>
          </w:tcPr>
          <w:p w:rsidR="00127683" w:rsidRPr="0031653B" w:rsidRDefault="00127683" w:rsidP="00CA44AF">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Upravený rozpočet</w:t>
            </w:r>
            <w:r w:rsidR="00CA44AF" w:rsidRPr="0031653B">
              <w:rPr>
                <w:rFonts w:ascii="Times New Roman" w:eastAsia="Times New Roman" w:hAnsi="Times New Roman" w:cs="Times New Roman"/>
                <w:b/>
              </w:rPr>
              <w:t xml:space="preserve"> k 31.12.2015</w:t>
            </w:r>
          </w:p>
        </w:tc>
        <w:tc>
          <w:tcPr>
            <w:tcW w:w="1707" w:type="dxa"/>
            <w:shd w:val="clear" w:color="auto" w:fill="auto"/>
          </w:tcPr>
          <w:p w:rsidR="00127683" w:rsidRPr="0031653B" w:rsidRDefault="00127683" w:rsidP="00CA44AF">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Čerpanie k 31.12.201</w:t>
            </w:r>
            <w:r w:rsidR="00CA44AF" w:rsidRPr="0031653B">
              <w:rPr>
                <w:rFonts w:ascii="Times New Roman" w:eastAsia="Times New Roman" w:hAnsi="Times New Roman" w:cs="Times New Roman"/>
                <w:b/>
              </w:rPr>
              <w:t>5</w:t>
            </w:r>
          </w:p>
        </w:tc>
        <w:tc>
          <w:tcPr>
            <w:tcW w:w="1138" w:type="dxa"/>
            <w:shd w:val="clear" w:color="auto" w:fill="auto"/>
          </w:tcPr>
          <w:p w:rsidR="00127683" w:rsidRPr="0031653B" w:rsidRDefault="00127683" w:rsidP="00CA44AF">
            <w:pPr>
              <w:autoSpaceDE w:val="0"/>
              <w:autoSpaceDN w:val="0"/>
              <w:adjustRightInd w:val="0"/>
              <w:spacing w:after="0" w:line="240" w:lineRule="auto"/>
              <w:jc w:val="center"/>
              <w:rPr>
                <w:rFonts w:ascii="Times New Roman" w:eastAsia="Times New Roman" w:hAnsi="Times New Roman" w:cs="Times New Roman"/>
                <w:b/>
              </w:rPr>
            </w:pPr>
            <w:r w:rsidRPr="0031653B">
              <w:rPr>
                <w:rFonts w:ascii="Times New Roman" w:eastAsia="Times New Roman" w:hAnsi="Times New Roman" w:cs="Times New Roman"/>
                <w:b/>
              </w:rPr>
              <w:t>% plnenia k</w:t>
            </w:r>
            <w:r w:rsidR="0012741B" w:rsidRPr="0031653B">
              <w:rPr>
                <w:rFonts w:ascii="Times New Roman" w:eastAsia="Times New Roman" w:hAnsi="Times New Roman" w:cs="Times New Roman"/>
                <w:b/>
              </w:rPr>
              <w:t> </w:t>
            </w:r>
            <w:proofErr w:type="spellStart"/>
            <w:r w:rsidR="0012741B" w:rsidRPr="0031653B">
              <w:rPr>
                <w:rFonts w:ascii="Times New Roman" w:eastAsia="Times New Roman" w:hAnsi="Times New Roman" w:cs="Times New Roman"/>
                <w:b/>
              </w:rPr>
              <w:t>up</w:t>
            </w:r>
            <w:r w:rsidR="00C92A96" w:rsidRPr="0031653B">
              <w:rPr>
                <w:rFonts w:ascii="Times New Roman" w:eastAsia="Times New Roman" w:hAnsi="Times New Roman" w:cs="Times New Roman"/>
                <w:b/>
              </w:rPr>
              <w:t>r</w:t>
            </w:r>
            <w:proofErr w:type="spellEnd"/>
            <w:r w:rsidR="0012741B" w:rsidRPr="0031653B">
              <w:rPr>
                <w:rFonts w:ascii="Times New Roman" w:eastAsia="Times New Roman" w:hAnsi="Times New Roman" w:cs="Times New Roman"/>
                <w:b/>
              </w:rPr>
              <w:t xml:space="preserve">. </w:t>
            </w:r>
            <w:proofErr w:type="spellStart"/>
            <w:r w:rsidR="0012741B" w:rsidRPr="0031653B">
              <w:rPr>
                <w:rFonts w:ascii="Times New Roman" w:eastAsia="Times New Roman" w:hAnsi="Times New Roman" w:cs="Times New Roman"/>
                <w:b/>
              </w:rPr>
              <w:t>r</w:t>
            </w:r>
            <w:r w:rsidRPr="0031653B">
              <w:rPr>
                <w:rFonts w:ascii="Times New Roman" w:eastAsia="Times New Roman" w:hAnsi="Times New Roman" w:cs="Times New Roman"/>
                <w:b/>
              </w:rPr>
              <w:t>oz</w:t>
            </w:r>
            <w:proofErr w:type="spellEnd"/>
            <w:r w:rsidR="0012741B" w:rsidRPr="0031653B">
              <w:rPr>
                <w:rFonts w:ascii="Times New Roman" w:eastAsia="Times New Roman" w:hAnsi="Times New Roman" w:cs="Times New Roman"/>
                <w:b/>
              </w:rPr>
              <w:t>.</w:t>
            </w:r>
          </w:p>
        </w:tc>
      </w:tr>
      <w:tr w:rsidR="005244BE" w:rsidRPr="0031653B" w:rsidTr="00647D5D">
        <w:trPr>
          <w:trHeight w:val="471"/>
        </w:trPr>
        <w:tc>
          <w:tcPr>
            <w:tcW w:w="2570" w:type="dxa"/>
            <w:shd w:val="clear" w:color="auto" w:fill="auto"/>
          </w:tcPr>
          <w:p w:rsidR="00127683" w:rsidRPr="0031653B" w:rsidRDefault="0012741B" w:rsidP="00FD2BD0">
            <w:pPr>
              <w:autoSpaceDE w:val="0"/>
              <w:autoSpaceDN w:val="0"/>
              <w:adjustRightInd w:val="0"/>
              <w:spacing w:after="0" w:line="240" w:lineRule="auto"/>
              <w:ind w:left="567" w:hanging="567"/>
              <w:jc w:val="both"/>
              <w:rPr>
                <w:rFonts w:ascii="Times New Roman" w:eastAsia="Times New Roman" w:hAnsi="Times New Roman" w:cs="Times New Roman"/>
              </w:rPr>
            </w:pPr>
            <w:r w:rsidRPr="0031653B">
              <w:rPr>
                <w:rFonts w:ascii="Times New Roman" w:eastAsia="Times New Roman" w:hAnsi="Times New Roman" w:cs="Times New Roman"/>
              </w:rPr>
              <w:t>01 – Všeobecné verejné služby</w:t>
            </w:r>
          </w:p>
        </w:tc>
        <w:tc>
          <w:tcPr>
            <w:tcW w:w="1697" w:type="dxa"/>
            <w:shd w:val="clear" w:color="auto" w:fill="auto"/>
          </w:tcPr>
          <w:p w:rsidR="008E5BB1" w:rsidRPr="0031653B" w:rsidRDefault="008E5BB1" w:rsidP="0031653B">
            <w:pPr>
              <w:autoSpaceDE w:val="0"/>
              <w:autoSpaceDN w:val="0"/>
              <w:adjustRightInd w:val="0"/>
              <w:spacing w:after="0" w:line="240" w:lineRule="auto"/>
              <w:jc w:val="right"/>
              <w:rPr>
                <w:rFonts w:ascii="Times New Roman" w:hAnsi="Times New Roman" w:cs="Times New Roman"/>
                <w:lang w:eastAsia="sk-SK"/>
              </w:rPr>
            </w:pPr>
          </w:p>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2 559 537,00</w:t>
            </w:r>
          </w:p>
        </w:tc>
        <w:tc>
          <w:tcPr>
            <w:tcW w:w="1991" w:type="dxa"/>
            <w:shd w:val="clear" w:color="auto" w:fill="auto"/>
          </w:tcPr>
          <w:p w:rsidR="00C10012" w:rsidRPr="0031653B" w:rsidRDefault="00C10012"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5 604 366,16</w:t>
            </w:r>
          </w:p>
        </w:tc>
        <w:tc>
          <w:tcPr>
            <w:tcW w:w="1707" w:type="dxa"/>
            <w:shd w:val="clear" w:color="auto" w:fill="auto"/>
          </w:tcPr>
          <w:p w:rsidR="00C10012" w:rsidRPr="0031653B" w:rsidRDefault="00C10012"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5 601 055,48</w:t>
            </w:r>
          </w:p>
        </w:tc>
        <w:tc>
          <w:tcPr>
            <w:tcW w:w="1138" w:type="dxa"/>
            <w:shd w:val="clear" w:color="auto" w:fill="auto"/>
          </w:tcPr>
          <w:p w:rsidR="00C10012" w:rsidRPr="0031653B" w:rsidRDefault="00C10012" w:rsidP="0015410E">
            <w:pPr>
              <w:autoSpaceDE w:val="0"/>
              <w:autoSpaceDN w:val="0"/>
              <w:adjustRightInd w:val="0"/>
              <w:spacing w:after="0" w:line="240" w:lineRule="auto"/>
              <w:jc w:val="center"/>
              <w:rPr>
                <w:rFonts w:ascii="Times New Roman" w:eastAsia="Times New Roman" w:hAnsi="Times New Roman" w:cs="Times New Roman"/>
                <w:lang w:eastAsia="sk-SK"/>
              </w:rPr>
            </w:pPr>
          </w:p>
          <w:p w:rsidR="0031653B" w:rsidRPr="0031653B" w:rsidRDefault="0031653B" w:rsidP="0015410E">
            <w:pPr>
              <w:autoSpaceDE w:val="0"/>
              <w:autoSpaceDN w:val="0"/>
              <w:adjustRightInd w:val="0"/>
              <w:spacing w:after="0" w:line="240" w:lineRule="auto"/>
              <w:jc w:val="center"/>
              <w:rPr>
                <w:rFonts w:ascii="Times New Roman" w:eastAsia="Times New Roman" w:hAnsi="Times New Roman" w:cs="Times New Roman"/>
                <w:lang w:eastAsia="sk-SK"/>
              </w:rPr>
            </w:pPr>
            <w:r w:rsidRPr="0031653B">
              <w:rPr>
                <w:rFonts w:ascii="Times New Roman" w:eastAsia="Times New Roman" w:hAnsi="Times New Roman" w:cs="Times New Roman"/>
                <w:lang w:eastAsia="sk-SK"/>
              </w:rPr>
              <w:t>99,95</w:t>
            </w:r>
          </w:p>
        </w:tc>
      </w:tr>
      <w:tr w:rsidR="005244BE" w:rsidRPr="0031653B" w:rsidTr="00647D5D">
        <w:trPr>
          <w:trHeight w:val="243"/>
        </w:trPr>
        <w:tc>
          <w:tcPr>
            <w:tcW w:w="2570" w:type="dxa"/>
            <w:shd w:val="clear" w:color="auto" w:fill="auto"/>
          </w:tcPr>
          <w:p w:rsidR="001B1107" w:rsidRPr="0031653B" w:rsidRDefault="0012741B" w:rsidP="00FD2BD0">
            <w:pPr>
              <w:autoSpaceDE w:val="0"/>
              <w:autoSpaceDN w:val="0"/>
              <w:adjustRightInd w:val="0"/>
              <w:spacing w:after="0" w:line="240" w:lineRule="auto"/>
              <w:jc w:val="both"/>
              <w:rPr>
                <w:rFonts w:ascii="Times New Roman" w:eastAsia="Times New Roman" w:hAnsi="Times New Roman" w:cs="Times New Roman"/>
              </w:rPr>
            </w:pPr>
            <w:r w:rsidRPr="0031653B">
              <w:rPr>
                <w:rFonts w:ascii="Times New Roman" w:eastAsia="Times New Roman" w:hAnsi="Times New Roman" w:cs="Times New Roman"/>
              </w:rPr>
              <w:t xml:space="preserve">02 </w:t>
            </w:r>
            <w:r w:rsidR="00FD2BD0" w:rsidRPr="0031653B">
              <w:rPr>
                <w:rFonts w:ascii="Times New Roman" w:eastAsia="Times New Roman" w:hAnsi="Times New Roman" w:cs="Times New Roman"/>
              </w:rPr>
              <w:t>–</w:t>
            </w:r>
            <w:r w:rsidRPr="0031653B">
              <w:rPr>
                <w:rFonts w:ascii="Times New Roman" w:eastAsia="Times New Roman" w:hAnsi="Times New Roman" w:cs="Times New Roman"/>
              </w:rPr>
              <w:t xml:space="preserve"> Obrana </w:t>
            </w:r>
          </w:p>
        </w:tc>
        <w:tc>
          <w:tcPr>
            <w:tcW w:w="1697" w:type="dxa"/>
            <w:shd w:val="clear" w:color="auto" w:fill="auto"/>
          </w:tcPr>
          <w:p w:rsidR="00127683"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1 204 300,00</w:t>
            </w:r>
          </w:p>
        </w:tc>
        <w:tc>
          <w:tcPr>
            <w:tcW w:w="1991" w:type="dxa"/>
            <w:shd w:val="clear" w:color="auto" w:fill="auto"/>
          </w:tcPr>
          <w:p w:rsidR="00127683"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2 728 409,43</w:t>
            </w:r>
          </w:p>
        </w:tc>
        <w:tc>
          <w:tcPr>
            <w:tcW w:w="1707" w:type="dxa"/>
            <w:shd w:val="clear" w:color="auto" w:fill="auto"/>
          </w:tcPr>
          <w:p w:rsidR="00127683"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2 726 543,65</w:t>
            </w:r>
          </w:p>
        </w:tc>
        <w:tc>
          <w:tcPr>
            <w:tcW w:w="1138" w:type="dxa"/>
            <w:shd w:val="clear" w:color="auto" w:fill="auto"/>
          </w:tcPr>
          <w:p w:rsidR="001B1107" w:rsidRPr="0031653B" w:rsidRDefault="0031653B" w:rsidP="0015410E">
            <w:pPr>
              <w:autoSpaceDE w:val="0"/>
              <w:autoSpaceDN w:val="0"/>
              <w:adjustRightInd w:val="0"/>
              <w:spacing w:after="0" w:line="240" w:lineRule="auto"/>
              <w:jc w:val="center"/>
              <w:rPr>
                <w:rFonts w:ascii="Times New Roman" w:eastAsia="Times New Roman" w:hAnsi="Times New Roman" w:cs="Times New Roman"/>
              </w:rPr>
            </w:pPr>
            <w:r w:rsidRPr="0031653B">
              <w:rPr>
                <w:rFonts w:ascii="Times New Roman" w:eastAsia="Times New Roman" w:hAnsi="Times New Roman" w:cs="Times New Roman"/>
              </w:rPr>
              <w:t>99,94</w:t>
            </w:r>
          </w:p>
        </w:tc>
      </w:tr>
      <w:tr w:rsidR="005244BE" w:rsidRPr="0031653B" w:rsidTr="00647D5D">
        <w:trPr>
          <w:trHeight w:val="228"/>
        </w:trPr>
        <w:tc>
          <w:tcPr>
            <w:tcW w:w="2570" w:type="dxa"/>
            <w:shd w:val="clear" w:color="auto" w:fill="auto"/>
          </w:tcPr>
          <w:p w:rsidR="00127683" w:rsidRPr="0031653B" w:rsidRDefault="0012741B" w:rsidP="00C96099">
            <w:pPr>
              <w:autoSpaceDE w:val="0"/>
              <w:autoSpaceDN w:val="0"/>
              <w:adjustRightInd w:val="0"/>
              <w:spacing w:after="0" w:line="240" w:lineRule="auto"/>
              <w:jc w:val="both"/>
              <w:rPr>
                <w:rFonts w:ascii="Times New Roman" w:eastAsia="Times New Roman" w:hAnsi="Times New Roman" w:cs="Times New Roman"/>
              </w:rPr>
            </w:pPr>
            <w:r w:rsidRPr="0031653B">
              <w:rPr>
                <w:rFonts w:ascii="Times New Roman" w:eastAsia="Times New Roman" w:hAnsi="Times New Roman" w:cs="Times New Roman"/>
              </w:rPr>
              <w:t>04 – Ekonomická oblasť</w:t>
            </w:r>
          </w:p>
        </w:tc>
        <w:tc>
          <w:tcPr>
            <w:tcW w:w="1697" w:type="dxa"/>
            <w:shd w:val="clear" w:color="auto" w:fill="auto"/>
          </w:tcPr>
          <w:p w:rsidR="00127683"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203 652 952,00</w:t>
            </w:r>
          </w:p>
        </w:tc>
        <w:tc>
          <w:tcPr>
            <w:tcW w:w="1991" w:type="dxa"/>
            <w:shd w:val="clear" w:color="auto" w:fill="auto"/>
          </w:tcPr>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342 936 840,14</w:t>
            </w:r>
          </w:p>
        </w:tc>
        <w:tc>
          <w:tcPr>
            <w:tcW w:w="1707" w:type="dxa"/>
            <w:shd w:val="clear" w:color="auto" w:fill="auto"/>
          </w:tcPr>
          <w:p w:rsidR="0031653B" w:rsidRPr="0031653B" w:rsidRDefault="0031653B" w:rsidP="00CA3A02">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342</w:t>
            </w:r>
            <w:r w:rsidR="00CA3A02">
              <w:rPr>
                <w:rFonts w:ascii="Times New Roman" w:hAnsi="Times New Roman" w:cs="Times New Roman"/>
                <w:lang w:eastAsia="sk-SK"/>
              </w:rPr>
              <w:t> </w:t>
            </w:r>
            <w:r w:rsidRPr="0031653B">
              <w:rPr>
                <w:rFonts w:ascii="Times New Roman" w:hAnsi="Times New Roman" w:cs="Times New Roman"/>
                <w:lang w:eastAsia="sk-SK"/>
              </w:rPr>
              <w:t>81</w:t>
            </w:r>
            <w:r w:rsidR="00CA3A02">
              <w:rPr>
                <w:rFonts w:ascii="Times New Roman" w:hAnsi="Times New Roman" w:cs="Times New Roman"/>
                <w:lang w:eastAsia="sk-SK"/>
              </w:rPr>
              <w:t>6 495,33</w:t>
            </w:r>
          </w:p>
        </w:tc>
        <w:tc>
          <w:tcPr>
            <w:tcW w:w="1138" w:type="dxa"/>
            <w:shd w:val="clear" w:color="auto" w:fill="auto"/>
          </w:tcPr>
          <w:p w:rsidR="0031653B" w:rsidRPr="0031653B" w:rsidRDefault="0031653B" w:rsidP="0015410E">
            <w:pPr>
              <w:autoSpaceDE w:val="0"/>
              <w:autoSpaceDN w:val="0"/>
              <w:adjustRightInd w:val="0"/>
              <w:spacing w:after="0" w:line="240" w:lineRule="auto"/>
              <w:jc w:val="center"/>
              <w:rPr>
                <w:rFonts w:ascii="Times New Roman" w:eastAsia="Times New Roman" w:hAnsi="Times New Roman" w:cs="Times New Roman"/>
              </w:rPr>
            </w:pPr>
            <w:r w:rsidRPr="0031653B">
              <w:rPr>
                <w:rFonts w:ascii="Times New Roman" w:eastAsia="Times New Roman" w:hAnsi="Times New Roman" w:cs="Times New Roman"/>
              </w:rPr>
              <w:t>99,97</w:t>
            </w:r>
          </w:p>
        </w:tc>
      </w:tr>
      <w:tr w:rsidR="005244BE" w:rsidRPr="0031653B" w:rsidTr="00647D5D">
        <w:trPr>
          <w:trHeight w:val="486"/>
        </w:trPr>
        <w:tc>
          <w:tcPr>
            <w:tcW w:w="2570" w:type="dxa"/>
            <w:shd w:val="clear" w:color="auto" w:fill="auto"/>
          </w:tcPr>
          <w:p w:rsidR="00257A3B" w:rsidRPr="0031653B" w:rsidRDefault="00257A3B" w:rsidP="00257A3B">
            <w:pPr>
              <w:autoSpaceDE w:val="0"/>
              <w:autoSpaceDN w:val="0"/>
              <w:adjustRightInd w:val="0"/>
              <w:spacing w:after="0" w:line="240" w:lineRule="auto"/>
              <w:ind w:left="567" w:hanging="567"/>
              <w:jc w:val="both"/>
              <w:rPr>
                <w:rFonts w:ascii="Times New Roman" w:eastAsia="Times New Roman" w:hAnsi="Times New Roman" w:cs="Times New Roman"/>
              </w:rPr>
            </w:pPr>
            <w:r w:rsidRPr="0031653B">
              <w:rPr>
                <w:rFonts w:ascii="Times New Roman" w:eastAsia="Times New Roman" w:hAnsi="Times New Roman" w:cs="Times New Roman"/>
              </w:rPr>
              <w:t xml:space="preserve">05 – </w:t>
            </w:r>
            <w:r w:rsidR="00AC14DE" w:rsidRPr="0031653B">
              <w:rPr>
                <w:rFonts w:ascii="Times New Roman" w:eastAsia="Times New Roman" w:hAnsi="Times New Roman" w:cs="Times New Roman"/>
              </w:rPr>
              <w:t>Ochrana životného prostredia</w:t>
            </w:r>
          </w:p>
        </w:tc>
        <w:tc>
          <w:tcPr>
            <w:tcW w:w="1697" w:type="dxa"/>
            <w:shd w:val="clear" w:color="auto" w:fill="auto"/>
          </w:tcPr>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p>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71 513 650,00</w:t>
            </w:r>
          </w:p>
        </w:tc>
        <w:tc>
          <w:tcPr>
            <w:tcW w:w="1991" w:type="dxa"/>
            <w:shd w:val="clear" w:color="auto" w:fill="auto"/>
          </w:tcPr>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67 494 527,75</w:t>
            </w:r>
          </w:p>
        </w:tc>
        <w:tc>
          <w:tcPr>
            <w:tcW w:w="1707" w:type="dxa"/>
            <w:shd w:val="clear" w:color="auto" w:fill="auto"/>
          </w:tcPr>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67 490 048,69</w:t>
            </w:r>
          </w:p>
        </w:tc>
        <w:tc>
          <w:tcPr>
            <w:tcW w:w="1138" w:type="dxa"/>
            <w:shd w:val="clear" w:color="auto" w:fill="auto"/>
          </w:tcPr>
          <w:p w:rsidR="00257A3B" w:rsidRPr="0031653B" w:rsidRDefault="00257A3B" w:rsidP="0015410E">
            <w:pPr>
              <w:autoSpaceDE w:val="0"/>
              <w:autoSpaceDN w:val="0"/>
              <w:adjustRightInd w:val="0"/>
              <w:spacing w:after="0" w:line="240" w:lineRule="auto"/>
              <w:jc w:val="center"/>
              <w:rPr>
                <w:rFonts w:ascii="Times New Roman" w:eastAsia="Times New Roman" w:hAnsi="Times New Roman" w:cs="Times New Roman"/>
              </w:rPr>
            </w:pPr>
          </w:p>
          <w:p w:rsidR="0031653B" w:rsidRPr="0031653B" w:rsidRDefault="0031653B" w:rsidP="0015410E">
            <w:pPr>
              <w:autoSpaceDE w:val="0"/>
              <w:autoSpaceDN w:val="0"/>
              <w:adjustRightInd w:val="0"/>
              <w:spacing w:after="0" w:line="240" w:lineRule="auto"/>
              <w:jc w:val="center"/>
              <w:rPr>
                <w:rFonts w:ascii="Times New Roman" w:eastAsia="Times New Roman" w:hAnsi="Times New Roman" w:cs="Times New Roman"/>
              </w:rPr>
            </w:pPr>
            <w:r w:rsidRPr="0031653B">
              <w:rPr>
                <w:rFonts w:ascii="Times New Roman" w:eastAsia="Times New Roman" w:hAnsi="Times New Roman" w:cs="Times New Roman"/>
              </w:rPr>
              <w:t>99,99</w:t>
            </w:r>
          </w:p>
        </w:tc>
      </w:tr>
      <w:tr w:rsidR="005244BE" w:rsidRPr="0031653B" w:rsidTr="00647D5D">
        <w:trPr>
          <w:trHeight w:val="471"/>
        </w:trPr>
        <w:tc>
          <w:tcPr>
            <w:tcW w:w="2570" w:type="dxa"/>
            <w:shd w:val="clear" w:color="auto" w:fill="auto"/>
          </w:tcPr>
          <w:p w:rsidR="00127683" w:rsidRPr="0031653B" w:rsidRDefault="0012741B" w:rsidP="00C96099">
            <w:pPr>
              <w:autoSpaceDE w:val="0"/>
              <w:autoSpaceDN w:val="0"/>
              <w:adjustRightInd w:val="0"/>
              <w:spacing w:after="0" w:line="240" w:lineRule="auto"/>
              <w:ind w:left="567" w:hanging="567"/>
              <w:jc w:val="both"/>
              <w:rPr>
                <w:rFonts w:ascii="Times New Roman" w:eastAsia="Times New Roman" w:hAnsi="Times New Roman" w:cs="Times New Roman"/>
              </w:rPr>
            </w:pPr>
            <w:r w:rsidRPr="0031653B">
              <w:rPr>
                <w:rFonts w:ascii="Times New Roman" w:eastAsia="Times New Roman" w:hAnsi="Times New Roman" w:cs="Times New Roman"/>
              </w:rPr>
              <w:t>06 – Bývanie a občianska vybavenosť</w:t>
            </w:r>
          </w:p>
        </w:tc>
        <w:tc>
          <w:tcPr>
            <w:tcW w:w="1697" w:type="dxa"/>
            <w:shd w:val="clear" w:color="auto" w:fill="auto"/>
          </w:tcPr>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p>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19 085 318,00</w:t>
            </w:r>
          </w:p>
        </w:tc>
        <w:tc>
          <w:tcPr>
            <w:tcW w:w="1991" w:type="dxa"/>
            <w:shd w:val="clear" w:color="auto" w:fill="auto"/>
          </w:tcPr>
          <w:p w:rsidR="0031653B" w:rsidRDefault="0031653B"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22 223 488,03</w:t>
            </w:r>
          </w:p>
        </w:tc>
        <w:tc>
          <w:tcPr>
            <w:tcW w:w="1707" w:type="dxa"/>
            <w:shd w:val="clear" w:color="auto" w:fill="auto"/>
          </w:tcPr>
          <w:p w:rsidR="00C10012" w:rsidRPr="0031653B" w:rsidRDefault="00C10012" w:rsidP="0031653B">
            <w:pPr>
              <w:autoSpaceDE w:val="0"/>
              <w:autoSpaceDN w:val="0"/>
              <w:adjustRightInd w:val="0"/>
              <w:spacing w:after="0" w:line="240" w:lineRule="auto"/>
              <w:jc w:val="right"/>
              <w:rPr>
                <w:rFonts w:ascii="Times New Roman" w:hAnsi="Times New Roman" w:cs="Times New Roman"/>
                <w:b/>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22 223 488,03</w:t>
            </w:r>
          </w:p>
        </w:tc>
        <w:tc>
          <w:tcPr>
            <w:tcW w:w="1138" w:type="dxa"/>
            <w:shd w:val="clear" w:color="auto" w:fill="auto"/>
          </w:tcPr>
          <w:p w:rsidR="00C10012" w:rsidRPr="0031653B" w:rsidRDefault="00C10012" w:rsidP="0015410E">
            <w:pPr>
              <w:autoSpaceDE w:val="0"/>
              <w:autoSpaceDN w:val="0"/>
              <w:adjustRightInd w:val="0"/>
              <w:spacing w:after="0" w:line="240" w:lineRule="auto"/>
              <w:jc w:val="center"/>
              <w:rPr>
                <w:rFonts w:ascii="Times New Roman" w:eastAsia="Times New Roman" w:hAnsi="Times New Roman" w:cs="Times New Roman"/>
              </w:rPr>
            </w:pPr>
          </w:p>
          <w:p w:rsidR="0031653B" w:rsidRPr="0031653B" w:rsidRDefault="0031653B" w:rsidP="0015410E">
            <w:pPr>
              <w:autoSpaceDE w:val="0"/>
              <w:autoSpaceDN w:val="0"/>
              <w:adjustRightInd w:val="0"/>
              <w:spacing w:after="0" w:line="240" w:lineRule="auto"/>
              <w:jc w:val="center"/>
              <w:rPr>
                <w:rFonts w:ascii="Times New Roman" w:eastAsia="Times New Roman" w:hAnsi="Times New Roman" w:cs="Times New Roman"/>
              </w:rPr>
            </w:pPr>
            <w:r w:rsidRPr="0031653B">
              <w:rPr>
                <w:rFonts w:ascii="Times New Roman" w:eastAsia="Times New Roman" w:hAnsi="Times New Roman" w:cs="Times New Roman"/>
              </w:rPr>
              <w:t>100,00</w:t>
            </w:r>
          </w:p>
        </w:tc>
      </w:tr>
      <w:tr w:rsidR="005244BE" w:rsidRPr="0031653B" w:rsidTr="00647D5D">
        <w:trPr>
          <w:trHeight w:val="471"/>
        </w:trPr>
        <w:tc>
          <w:tcPr>
            <w:tcW w:w="2570" w:type="dxa"/>
            <w:shd w:val="clear" w:color="auto" w:fill="auto"/>
          </w:tcPr>
          <w:p w:rsidR="00127683" w:rsidRPr="0031653B" w:rsidRDefault="0012741B" w:rsidP="00C96099">
            <w:pPr>
              <w:autoSpaceDE w:val="0"/>
              <w:autoSpaceDN w:val="0"/>
              <w:adjustRightInd w:val="0"/>
              <w:spacing w:after="0" w:line="240" w:lineRule="auto"/>
              <w:ind w:left="709" w:hanging="709"/>
              <w:jc w:val="both"/>
              <w:rPr>
                <w:rFonts w:ascii="Times New Roman" w:eastAsia="Times New Roman" w:hAnsi="Times New Roman" w:cs="Times New Roman"/>
              </w:rPr>
            </w:pPr>
            <w:r w:rsidRPr="0031653B">
              <w:rPr>
                <w:rFonts w:ascii="Times New Roman" w:eastAsia="Times New Roman" w:hAnsi="Times New Roman" w:cs="Times New Roman"/>
              </w:rPr>
              <w:t>08 – Rekreácia, kultúra a náboženstvo</w:t>
            </w:r>
          </w:p>
        </w:tc>
        <w:tc>
          <w:tcPr>
            <w:tcW w:w="1697" w:type="dxa"/>
            <w:shd w:val="clear" w:color="auto" w:fill="auto"/>
          </w:tcPr>
          <w:p w:rsidR="008E5BB1" w:rsidRPr="0031653B" w:rsidRDefault="008E5BB1" w:rsidP="0031653B">
            <w:pPr>
              <w:autoSpaceDE w:val="0"/>
              <w:autoSpaceDN w:val="0"/>
              <w:adjustRightInd w:val="0"/>
              <w:spacing w:after="0" w:line="240" w:lineRule="auto"/>
              <w:jc w:val="right"/>
              <w:rPr>
                <w:rFonts w:ascii="Times New Roman" w:hAnsi="Times New Roman" w:cs="Times New Roman"/>
                <w:lang w:eastAsia="sk-SK"/>
              </w:rPr>
            </w:pPr>
          </w:p>
          <w:p w:rsidR="00257A3B" w:rsidRPr="0031653B" w:rsidRDefault="00257A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163 781,00</w:t>
            </w:r>
          </w:p>
        </w:tc>
        <w:tc>
          <w:tcPr>
            <w:tcW w:w="1991" w:type="dxa"/>
            <w:shd w:val="clear" w:color="auto" w:fill="auto"/>
          </w:tcPr>
          <w:p w:rsidR="00C10012" w:rsidRPr="0031653B" w:rsidRDefault="00C10012"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179 405,00</w:t>
            </w:r>
          </w:p>
        </w:tc>
        <w:tc>
          <w:tcPr>
            <w:tcW w:w="1707" w:type="dxa"/>
            <w:shd w:val="clear" w:color="auto" w:fill="auto"/>
          </w:tcPr>
          <w:p w:rsidR="00C10012" w:rsidRPr="0031653B" w:rsidRDefault="00C10012" w:rsidP="0031653B">
            <w:pPr>
              <w:autoSpaceDE w:val="0"/>
              <w:autoSpaceDN w:val="0"/>
              <w:adjustRightInd w:val="0"/>
              <w:spacing w:after="0" w:line="240" w:lineRule="auto"/>
              <w:jc w:val="right"/>
              <w:rPr>
                <w:rFonts w:ascii="Times New Roman" w:hAnsi="Times New Roman" w:cs="Times New Roman"/>
                <w:lang w:eastAsia="sk-SK"/>
              </w:rPr>
            </w:pPr>
          </w:p>
          <w:p w:rsidR="0031653B"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177 353,00</w:t>
            </w:r>
          </w:p>
        </w:tc>
        <w:tc>
          <w:tcPr>
            <w:tcW w:w="1138" w:type="dxa"/>
            <w:shd w:val="clear" w:color="auto" w:fill="auto"/>
          </w:tcPr>
          <w:p w:rsidR="00C10012" w:rsidRPr="0031653B" w:rsidRDefault="00C10012" w:rsidP="0015410E">
            <w:pPr>
              <w:autoSpaceDE w:val="0"/>
              <w:autoSpaceDN w:val="0"/>
              <w:adjustRightInd w:val="0"/>
              <w:spacing w:after="0" w:line="240" w:lineRule="auto"/>
              <w:jc w:val="center"/>
              <w:rPr>
                <w:rFonts w:ascii="Times New Roman" w:eastAsia="Times New Roman" w:hAnsi="Times New Roman" w:cs="Times New Roman"/>
              </w:rPr>
            </w:pPr>
          </w:p>
          <w:p w:rsidR="0031653B" w:rsidRPr="0031653B" w:rsidRDefault="0031653B" w:rsidP="0015410E">
            <w:pPr>
              <w:autoSpaceDE w:val="0"/>
              <w:autoSpaceDN w:val="0"/>
              <w:adjustRightInd w:val="0"/>
              <w:spacing w:after="0" w:line="240" w:lineRule="auto"/>
              <w:jc w:val="center"/>
              <w:rPr>
                <w:rFonts w:ascii="Times New Roman" w:eastAsia="Times New Roman" w:hAnsi="Times New Roman" w:cs="Times New Roman"/>
              </w:rPr>
            </w:pPr>
            <w:r w:rsidRPr="0031653B">
              <w:rPr>
                <w:rFonts w:ascii="Times New Roman" w:eastAsia="Times New Roman" w:hAnsi="Times New Roman" w:cs="Times New Roman"/>
              </w:rPr>
              <w:t>98,86</w:t>
            </w:r>
          </w:p>
        </w:tc>
      </w:tr>
      <w:tr w:rsidR="005244BE" w:rsidRPr="0031653B" w:rsidTr="00647D5D">
        <w:trPr>
          <w:trHeight w:val="243"/>
        </w:trPr>
        <w:tc>
          <w:tcPr>
            <w:tcW w:w="2570" w:type="dxa"/>
            <w:shd w:val="clear" w:color="auto" w:fill="auto"/>
          </w:tcPr>
          <w:p w:rsidR="00127683" w:rsidRPr="0031653B" w:rsidRDefault="0012741B" w:rsidP="00C96099">
            <w:pPr>
              <w:autoSpaceDE w:val="0"/>
              <w:autoSpaceDN w:val="0"/>
              <w:adjustRightInd w:val="0"/>
              <w:spacing w:after="0" w:line="240" w:lineRule="auto"/>
              <w:jc w:val="both"/>
              <w:rPr>
                <w:rFonts w:ascii="Times New Roman" w:eastAsia="Times New Roman" w:hAnsi="Times New Roman" w:cs="Times New Roman"/>
              </w:rPr>
            </w:pPr>
            <w:r w:rsidRPr="0031653B">
              <w:rPr>
                <w:rFonts w:ascii="Times New Roman" w:eastAsia="Times New Roman" w:hAnsi="Times New Roman" w:cs="Times New Roman"/>
              </w:rPr>
              <w:t>09 – Vzdelávanie</w:t>
            </w:r>
          </w:p>
        </w:tc>
        <w:tc>
          <w:tcPr>
            <w:tcW w:w="1697" w:type="dxa"/>
            <w:shd w:val="clear" w:color="auto" w:fill="auto"/>
          </w:tcPr>
          <w:p w:rsidR="00127683" w:rsidRPr="0031653B" w:rsidRDefault="006B7E2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90 600,00</w:t>
            </w:r>
          </w:p>
        </w:tc>
        <w:tc>
          <w:tcPr>
            <w:tcW w:w="1991" w:type="dxa"/>
            <w:shd w:val="clear" w:color="auto" w:fill="auto"/>
          </w:tcPr>
          <w:p w:rsidR="00127683"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50 512,11</w:t>
            </w:r>
          </w:p>
        </w:tc>
        <w:tc>
          <w:tcPr>
            <w:tcW w:w="1707" w:type="dxa"/>
            <w:shd w:val="clear" w:color="auto" w:fill="auto"/>
          </w:tcPr>
          <w:p w:rsidR="00127683" w:rsidRPr="0031653B" w:rsidRDefault="0031653B" w:rsidP="0031653B">
            <w:pPr>
              <w:autoSpaceDE w:val="0"/>
              <w:autoSpaceDN w:val="0"/>
              <w:adjustRightInd w:val="0"/>
              <w:spacing w:after="0" w:line="240" w:lineRule="auto"/>
              <w:jc w:val="right"/>
              <w:rPr>
                <w:rFonts w:ascii="Times New Roman" w:hAnsi="Times New Roman" w:cs="Times New Roman"/>
                <w:lang w:eastAsia="sk-SK"/>
              </w:rPr>
            </w:pPr>
            <w:r w:rsidRPr="0031653B">
              <w:rPr>
                <w:rFonts w:ascii="Times New Roman" w:hAnsi="Times New Roman" w:cs="Times New Roman"/>
                <w:lang w:eastAsia="sk-SK"/>
              </w:rPr>
              <w:t>42 691,19</w:t>
            </w:r>
          </w:p>
        </w:tc>
        <w:tc>
          <w:tcPr>
            <w:tcW w:w="1138" w:type="dxa"/>
            <w:shd w:val="clear" w:color="auto" w:fill="auto"/>
          </w:tcPr>
          <w:p w:rsidR="00127683" w:rsidRPr="0031653B" w:rsidRDefault="0031653B" w:rsidP="0015410E">
            <w:pPr>
              <w:autoSpaceDE w:val="0"/>
              <w:autoSpaceDN w:val="0"/>
              <w:adjustRightInd w:val="0"/>
              <w:spacing w:after="0" w:line="240" w:lineRule="auto"/>
              <w:jc w:val="center"/>
              <w:rPr>
                <w:rFonts w:ascii="Times New Roman" w:eastAsia="Times New Roman" w:hAnsi="Times New Roman" w:cs="Times New Roman"/>
              </w:rPr>
            </w:pPr>
            <w:r w:rsidRPr="0031653B">
              <w:rPr>
                <w:rFonts w:ascii="Times New Roman" w:eastAsia="Times New Roman" w:hAnsi="Times New Roman" w:cs="Times New Roman"/>
              </w:rPr>
              <w:t>84,52</w:t>
            </w:r>
          </w:p>
        </w:tc>
      </w:tr>
      <w:tr w:rsidR="005244BE" w:rsidRPr="0031653B" w:rsidTr="00647D5D">
        <w:trPr>
          <w:trHeight w:val="243"/>
        </w:trPr>
        <w:tc>
          <w:tcPr>
            <w:tcW w:w="2570" w:type="dxa"/>
            <w:shd w:val="clear" w:color="auto" w:fill="auto"/>
          </w:tcPr>
          <w:p w:rsidR="005244BE" w:rsidRPr="0031653B" w:rsidRDefault="0012741B" w:rsidP="00C96099">
            <w:pPr>
              <w:autoSpaceDE w:val="0"/>
              <w:autoSpaceDN w:val="0"/>
              <w:adjustRightInd w:val="0"/>
              <w:spacing w:after="0" w:line="240" w:lineRule="auto"/>
              <w:jc w:val="both"/>
              <w:rPr>
                <w:rFonts w:ascii="Times New Roman" w:eastAsia="Times New Roman" w:hAnsi="Times New Roman" w:cs="Times New Roman"/>
                <w:b/>
              </w:rPr>
            </w:pPr>
            <w:r w:rsidRPr="0031653B">
              <w:rPr>
                <w:rFonts w:ascii="Times New Roman" w:eastAsia="Times New Roman" w:hAnsi="Times New Roman" w:cs="Times New Roman"/>
                <w:b/>
              </w:rPr>
              <w:t>MH SR spolu</w:t>
            </w:r>
          </w:p>
        </w:tc>
        <w:tc>
          <w:tcPr>
            <w:tcW w:w="1697" w:type="dxa"/>
            <w:shd w:val="clear" w:color="auto" w:fill="auto"/>
          </w:tcPr>
          <w:p w:rsidR="005244BE" w:rsidRPr="0031653B" w:rsidRDefault="0031653B" w:rsidP="005244BE">
            <w:pPr>
              <w:autoSpaceDE w:val="0"/>
              <w:autoSpaceDN w:val="0"/>
              <w:adjustRightInd w:val="0"/>
              <w:spacing w:after="0" w:line="240" w:lineRule="auto"/>
              <w:jc w:val="right"/>
              <w:rPr>
                <w:rFonts w:ascii="Times New Roman" w:hAnsi="Times New Roman" w:cs="Times New Roman"/>
                <w:b/>
                <w:lang w:eastAsia="sk-SK"/>
              </w:rPr>
            </w:pPr>
            <w:r w:rsidRPr="0031653B">
              <w:rPr>
                <w:rFonts w:ascii="Times New Roman" w:hAnsi="Times New Roman" w:cs="Times New Roman"/>
                <w:b/>
                <w:lang w:eastAsia="sk-SK"/>
              </w:rPr>
              <w:t>298 270 138,00</w:t>
            </w:r>
          </w:p>
        </w:tc>
        <w:tc>
          <w:tcPr>
            <w:tcW w:w="1991" w:type="dxa"/>
            <w:shd w:val="clear" w:color="auto" w:fill="auto"/>
          </w:tcPr>
          <w:p w:rsidR="005244BE" w:rsidRPr="0031653B" w:rsidRDefault="0031653B" w:rsidP="005244BE">
            <w:pPr>
              <w:autoSpaceDE w:val="0"/>
              <w:autoSpaceDN w:val="0"/>
              <w:adjustRightInd w:val="0"/>
              <w:spacing w:after="0" w:line="240" w:lineRule="auto"/>
              <w:jc w:val="right"/>
              <w:rPr>
                <w:rFonts w:ascii="Times New Roman" w:hAnsi="Times New Roman" w:cs="Times New Roman"/>
                <w:b/>
                <w:lang w:eastAsia="sk-SK"/>
              </w:rPr>
            </w:pPr>
            <w:r w:rsidRPr="0031653B">
              <w:rPr>
                <w:rFonts w:ascii="Times New Roman" w:hAnsi="Times New Roman" w:cs="Times New Roman"/>
                <w:b/>
                <w:lang w:eastAsia="sk-SK"/>
              </w:rPr>
              <w:t>441 217 548,62</w:t>
            </w:r>
          </w:p>
          <w:p w:rsidR="00127683" w:rsidRPr="0031653B" w:rsidRDefault="00127683" w:rsidP="0031653B">
            <w:pPr>
              <w:autoSpaceDE w:val="0"/>
              <w:autoSpaceDN w:val="0"/>
              <w:adjustRightInd w:val="0"/>
              <w:spacing w:after="0" w:line="240" w:lineRule="auto"/>
              <w:jc w:val="right"/>
              <w:rPr>
                <w:rFonts w:ascii="Times New Roman" w:hAnsi="Times New Roman" w:cs="Times New Roman"/>
                <w:b/>
                <w:lang w:eastAsia="sk-SK"/>
              </w:rPr>
            </w:pPr>
          </w:p>
        </w:tc>
        <w:tc>
          <w:tcPr>
            <w:tcW w:w="1707" w:type="dxa"/>
            <w:shd w:val="clear" w:color="auto" w:fill="auto"/>
          </w:tcPr>
          <w:p w:rsidR="005244BE" w:rsidRPr="00D25AE5" w:rsidRDefault="0031653B" w:rsidP="005244BE">
            <w:pPr>
              <w:autoSpaceDE w:val="0"/>
              <w:autoSpaceDN w:val="0"/>
              <w:adjustRightInd w:val="0"/>
              <w:spacing w:after="0" w:line="240" w:lineRule="auto"/>
              <w:jc w:val="right"/>
              <w:rPr>
                <w:rFonts w:ascii="Times New Roman" w:hAnsi="Times New Roman" w:cs="Times New Roman"/>
                <w:b/>
                <w:lang w:eastAsia="sk-SK"/>
              </w:rPr>
            </w:pPr>
            <w:r w:rsidRPr="00D25AE5">
              <w:rPr>
                <w:rFonts w:ascii="Times New Roman" w:hAnsi="Times New Roman" w:cs="Times New Roman"/>
                <w:b/>
                <w:lang w:eastAsia="sk-SK"/>
              </w:rPr>
              <w:t>441 077</w:t>
            </w:r>
            <w:r w:rsidR="005244BE" w:rsidRPr="00D25AE5">
              <w:rPr>
                <w:rFonts w:ascii="Times New Roman" w:hAnsi="Times New Roman" w:cs="Times New Roman"/>
                <w:b/>
                <w:lang w:eastAsia="sk-SK"/>
              </w:rPr>
              <w:t> 675,37</w:t>
            </w:r>
          </w:p>
        </w:tc>
        <w:tc>
          <w:tcPr>
            <w:tcW w:w="1138" w:type="dxa"/>
            <w:shd w:val="clear" w:color="auto" w:fill="auto"/>
          </w:tcPr>
          <w:p w:rsidR="005244BE" w:rsidRPr="0031653B" w:rsidRDefault="005244BE" w:rsidP="0015410E">
            <w:pPr>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99,97</w:t>
            </w:r>
          </w:p>
        </w:tc>
      </w:tr>
    </w:tbl>
    <w:p w:rsidR="009C0AA3" w:rsidRDefault="009C0AA3" w:rsidP="00035112">
      <w:pPr>
        <w:autoSpaceDE w:val="0"/>
        <w:autoSpaceDN w:val="0"/>
        <w:adjustRightInd w:val="0"/>
        <w:spacing w:after="0" w:line="240" w:lineRule="auto"/>
        <w:ind w:firstLine="567"/>
        <w:jc w:val="both"/>
        <w:rPr>
          <w:rFonts w:ascii="Times New Roman" w:hAnsi="Times New Roman" w:cs="Times New Roman"/>
          <w:sz w:val="24"/>
          <w:szCs w:val="24"/>
        </w:rPr>
      </w:pPr>
    </w:p>
    <w:p w:rsidR="00127683" w:rsidRPr="00403591" w:rsidRDefault="003305B4" w:rsidP="00570FAE">
      <w:pPr>
        <w:autoSpaceDE w:val="0"/>
        <w:autoSpaceDN w:val="0"/>
        <w:adjustRightInd w:val="0"/>
        <w:spacing w:after="0" w:line="240" w:lineRule="auto"/>
        <w:ind w:firstLine="709"/>
        <w:jc w:val="both"/>
        <w:rPr>
          <w:rFonts w:ascii="Times New Roman" w:hAnsi="Times New Roman" w:cs="Times New Roman"/>
          <w:sz w:val="24"/>
          <w:szCs w:val="24"/>
        </w:rPr>
      </w:pPr>
      <w:r w:rsidRPr="00403591">
        <w:rPr>
          <w:rFonts w:ascii="Times New Roman" w:hAnsi="Times New Roman" w:cs="Times New Roman"/>
          <w:sz w:val="24"/>
          <w:szCs w:val="24"/>
        </w:rPr>
        <w:t xml:space="preserve">Na čerpaní celkových výdavkov sa podieľali výdavky oddielu 01 – Všeobecné verejné služby sumou </w:t>
      </w:r>
      <w:r w:rsidR="00403591" w:rsidRPr="00403591">
        <w:rPr>
          <w:rFonts w:ascii="Times New Roman" w:hAnsi="Times New Roman" w:cs="Times New Roman"/>
          <w:sz w:val="24"/>
          <w:szCs w:val="24"/>
          <w:lang w:eastAsia="sk-SK"/>
        </w:rPr>
        <w:t xml:space="preserve">5 601 055,48 </w:t>
      </w:r>
      <w:r w:rsidR="00436C7E" w:rsidRPr="00403591">
        <w:rPr>
          <w:rFonts w:ascii="Times New Roman" w:hAnsi="Times New Roman" w:cs="Times New Roman"/>
          <w:sz w:val="24"/>
          <w:szCs w:val="24"/>
          <w:lang w:eastAsia="sk-SK"/>
        </w:rPr>
        <w:t>e</w:t>
      </w:r>
      <w:r w:rsidRPr="00403591">
        <w:rPr>
          <w:rFonts w:ascii="Times New Roman" w:hAnsi="Times New Roman" w:cs="Times New Roman"/>
          <w:sz w:val="24"/>
          <w:szCs w:val="24"/>
        </w:rPr>
        <w:t xml:space="preserve">ur, oddielu 02 - Obrana sumou </w:t>
      </w:r>
      <w:r w:rsidR="00403591" w:rsidRPr="00403591">
        <w:rPr>
          <w:rFonts w:ascii="Times New Roman" w:hAnsi="Times New Roman" w:cs="Times New Roman"/>
          <w:sz w:val="24"/>
          <w:szCs w:val="24"/>
        </w:rPr>
        <w:t xml:space="preserve"> </w:t>
      </w:r>
      <w:r w:rsidR="00403591" w:rsidRPr="00403591">
        <w:rPr>
          <w:rFonts w:ascii="Times New Roman" w:hAnsi="Times New Roman" w:cs="Times New Roman"/>
          <w:sz w:val="24"/>
          <w:szCs w:val="24"/>
          <w:lang w:eastAsia="sk-SK"/>
        </w:rPr>
        <w:t xml:space="preserve">2 726 543,65 </w:t>
      </w:r>
      <w:r w:rsidR="00436C7E" w:rsidRPr="00403591">
        <w:rPr>
          <w:rFonts w:ascii="Times New Roman" w:hAnsi="Times New Roman" w:cs="Times New Roman"/>
          <w:sz w:val="24"/>
          <w:szCs w:val="24"/>
          <w:lang w:eastAsia="sk-SK"/>
        </w:rPr>
        <w:t>e</w:t>
      </w:r>
      <w:r w:rsidRPr="00403591">
        <w:rPr>
          <w:rFonts w:ascii="Times New Roman" w:hAnsi="Times New Roman" w:cs="Times New Roman"/>
          <w:sz w:val="24"/>
          <w:szCs w:val="24"/>
        </w:rPr>
        <w:t xml:space="preserve">ur, </w:t>
      </w:r>
      <w:r w:rsidR="00127683" w:rsidRPr="00403591">
        <w:rPr>
          <w:rFonts w:ascii="Times New Roman" w:hAnsi="Times New Roman" w:cs="Times New Roman"/>
          <w:sz w:val="24"/>
          <w:szCs w:val="24"/>
        </w:rPr>
        <w:t xml:space="preserve"> oddielu </w:t>
      </w:r>
      <w:r w:rsidR="00035112" w:rsidRPr="00403591">
        <w:rPr>
          <w:rFonts w:ascii="Times New Roman" w:hAnsi="Times New Roman" w:cs="Times New Roman"/>
          <w:sz w:val="24"/>
          <w:szCs w:val="24"/>
        </w:rPr>
        <w:t xml:space="preserve">     </w:t>
      </w:r>
      <w:r w:rsidR="0083475A" w:rsidRPr="00403591">
        <w:rPr>
          <w:rFonts w:ascii="Times New Roman" w:hAnsi="Times New Roman" w:cs="Times New Roman"/>
          <w:sz w:val="24"/>
          <w:szCs w:val="24"/>
        </w:rPr>
        <w:t xml:space="preserve">  </w:t>
      </w:r>
      <w:r w:rsidR="00035112" w:rsidRPr="00403591">
        <w:rPr>
          <w:rFonts w:ascii="Times New Roman" w:hAnsi="Times New Roman" w:cs="Times New Roman"/>
          <w:sz w:val="24"/>
          <w:szCs w:val="24"/>
        </w:rPr>
        <w:t xml:space="preserve">         </w:t>
      </w:r>
      <w:r w:rsidR="00127683" w:rsidRPr="00403591">
        <w:rPr>
          <w:rFonts w:ascii="Times New Roman" w:hAnsi="Times New Roman" w:cs="Times New Roman"/>
          <w:sz w:val="24"/>
          <w:szCs w:val="24"/>
        </w:rPr>
        <w:t xml:space="preserve">04 – Ekonomická oblasť sumou </w:t>
      </w:r>
      <w:r w:rsidR="00403591" w:rsidRPr="00403591">
        <w:rPr>
          <w:rFonts w:ascii="Times New Roman" w:hAnsi="Times New Roman" w:cs="Times New Roman"/>
          <w:sz w:val="24"/>
          <w:szCs w:val="24"/>
          <w:lang w:eastAsia="sk-SK"/>
        </w:rPr>
        <w:t xml:space="preserve">342 816 495,33 </w:t>
      </w:r>
      <w:r w:rsidR="00436C7E" w:rsidRPr="00403591">
        <w:rPr>
          <w:rFonts w:ascii="Times New Roman" w:hAnsi="Times New Roman" w:cs="Times New Roman"/>
          <w:sz w:val="24"/>
          <w:szCs w:val="24"/>
          <w:lang w:eastAsia="sk-SK"/>
        </w:rPr>
        <w:t>e</w:t>
      </w:r>
      <w:r w:rsidR="00127683" w:rsidRPr="00403591">
        <w:rPr>
          <w:rFonts w:ascii="Times New Roman" w:hAnsi="Times New Roman" w:cs="Times New Roman"/>
          <w:sz w:val="24"/>
          <w:szCs w:val="24"/>
        </w:rPr>
        <w:t xml:space="preserve">ur, </w:t>
      </w:r>
      <w:r w:rsidR="00BB158F" w:rsidRPr="00403591">
        <w:rPr>
          <w:rFonts w:ascii="Times New Roman" w:hAnsi="Times New Roman" w:cs="Times New Roman"/>
          <w:sz w:val="24"/>
          <w:szCs w:val="24"/>
        </w:rPr>
        <w:t>oddielu 05 – Ochrana životného prostredia sumou</w:t>
      </w:r>
      <w:r w:rsidR="00403591" w:rsidRPr="00403591">
        <w:rPr>
          <w:rFonts w:ascii="Times New Roman" w:hAnsi="Times New Roman" w:cs="Times New Roman"/>
          <w:sz w:val="24"/>
          <w:szCs w:val="24"/>
        </w:rPr>
        <w:t xml:space="preserve"> </w:t>
      </w:r>
      <w:r w:rsidR="00403591" w:rsidRPr="00403591">
        <w:rPr>
          <w:rFonts w:ascii="Times New Roman" w:hAnsi="Times New Roman" w:cs="Times New Roman"/>
          <w:sz w:val="24"/>
          <w:szCs w:val="24"/>
          <w:lang w:eastAsia="sk-SK"/>
        </w:rPr>
        <w:t>67 490 048,69</w:t>
      </w:r>
      <w:r w:rsidR="00BB158F" w:rsidRPr="00403591">
        <w:rPr>
          <w:rFonts w:ascii="Times New Roman" w:hAnsi="Times New Roman" w:cs="Times New Roman"/>
          <w:sz w:val="24"/>
          <w:szCs w:val="24"/>
        </w:rPr>
        <w:t xml:space="preserve"> eur</w:t>
      </w:r>
      <w:r w:rsidR="00127683" w:rsidRPr="00403591">
        <w:rPr>
          <w:rFonts w:ascii="Times New Roman" w:hAnsi="Times New Roman" w:cs="Times New Roman"/>
          <w:sz w:val="24"/>
          <w:szCs w:val="24"/>
        </w:rPr>
        <w:t xml:space="preserve"> oddielu  06 – Bývanie a občianska  vybavenosť sumou  </w:t>
      </w:r>
      <w:r w:rsidR="00403591" w:rsidRPr="00403591">
        <w:rPr>
          <w:rFonts w:ascii="Times New Roman" w:hAnsi="Times New Roman" w:cs="Times New Roman"/>
          <w:sz w:val="24"/>
          <w:szCs w:val="24"/>
          <w:lang w:eastAsia="sk-SK"/>
        </w:rPr>
        <w:t xml:space="preserve">22 223 488,03 </w:t>
      </w:r>
      <w:r w:rsidR="00436C7E" w:rsidRPr="00403591">
        <w:rPr>
          <w:rFonts w:ascii="Times New Roman" w:hAnsi="Times New Roman" w:cs="Times New Roman"/>
          <w:sz w:val="24"/>
          <w:szCs w:val="24"/>
          <w:lang w:eastAsia="sk-SK"/>
        </w:rPr>
        <w:t>e</w:t>
      </w:r>
      <w:r w:rsidR="00127683" w:rsidRPr="00403591">
        <w:rPr>
          <w:rFonts w:ascii="Times New Roman" w:hAnsi="Times New Roman" w:cs="Times New Roman"/>
          <w:sz w:val="24"/>
          <w:szCs w:val="24"/>
        </w:rPr>
        <w:t>ur,  oddielu 08 – Rekreácia, kultúra a náboženstvo sumou</w:t>
      </w:r>
      <w:r w:rsidR="009C0AA3" w:rsidRPr="00403591">
        <w:rPr>
          <w:rFonts w:ascii="Times New Roman" w:hAnsi="Times New Roman" w:cs="Times New Roman"/>
          <w:sz w:val="24"/>
          <w:szCs w:val="24"/>
        </w:rPr>
        <w:t xml:space="preserve">  </w:t>
      </w:r>
      <w:r w:rsidR="00403591" w:rsidRPr="00403591">
        <w:rPr>
          <w:rFonts w:ascii="Times New Roman" w:hAnsi="Times New Roman" w:cs="Times New Roman"/>
          <w:sz w:val="24"/>
          <w:szCs w:val="24"/>
          <w:lang w:eastAsia="sk-SK"/>
        </w:rPr>
        <w:t>177 353,00</w:t>
      </w:r>
      <w:r w:rsidR="00127683" w:rsidRPr="00403591">
        <w:rPr>
          <w:rFonts w:ascii="Times New Roman" w:hAnsi="Times New Roman" w:cs="Times New Roman"/>
          <w:sz w:val="24"/>
          <w:szCs w:val="24"/>
        </w:rPr>
        <w:t xml:space="preserve"> </w:t>
      </w:r>
      <w:r w:rsidR="00436C7E" w:rsidRPr="00403591">
        <w:rPr>
          <w:rFonts w:ascii="Times New Roman" w:hAnsi="Times New Roman" w:cs="Times New Roman"/>
          <w:sz w:val="24"/>
          <w:szCs w:val="24"/>
          <w:lang w:eastAsia="sk-SK"/>
        </w:rPr>
        <w:t>e</w:t>
      </w:r>
      <w:r w:rsidR="00127683" w:rsidRPr="00403591">
        <w:rPr>
          <w:rFonts w:ascii="Times New Roman" w:hAnsi="Times New Roman" w:cs="Times New Roman"/>
          <w:sz w:val="24"/>
          <w:szCs w:val="24"/>
        </w:rPr>
        <w:t>ur a oddielu 09 – Vzdelávanie sumou</w:t>
      </w:r>
      <w:r w:rsidR="00403591" w:rsidRPr="00403591">
        <w:rPr>
          <w:rFonts w:ascii="Times New Roman" w:hAnsi="Times New Roman" w:cs="Times New Roman"/>
          <w:sz w:val="24"/>
          <w:szCs w:val="24"/>
        </w:rPr>
        <w:t xml:space="preserve"> </w:t>
      </w:r>
      <w:r w:rsidR="00403591" w:rsidRPr="00403591">
        <w:rPr>
          <w:rFonts w:ascii="Times New Roman" w:hAnsi="Times New Roman" w:cs="Times New Roman"/>
          <w:sz w:val="24"/>
          <w:szCs w:val="24"/>
          <w:lang w:eastAsia="sk-SK"/>
        </w:rPr>
        <w:t>42 691,19</w:t>
      </w:r>
      <w:r w:rsidR="00127683" w:rsidRPr="00403591">
        <w:rPr>
          <w:rFonts w:ascii="Times New Roman" w:hAnsi="Times New Roman" w:cs="Times New Roman"/>
          <w:sz w:val="24"/>
          <w:szCs w:val="24"/>
        </w:rPr>
        <w:t xml:space="preserve"> </w:t>
      </w:r>
      <w:r w:rsidR="00436C7E" w:rsidRPr="00403591">
        <w:rPr>
          <w:rFonts w:ascii="Times New Roman" w:hAnsi="Times New Roman" w:cs="Times New Roman"/>
          <w:sz w:val="24"/>
          <w:szCs w:val="24"/>
          <w:lang w:eastAsia="sk-SK"/>
        </w:rPr>
        <w:t>e</w:t>
      </w:r>
      <w:r w:rsidR="00127683" w:rsidRPr="00403591">
        <w:rPr>
          <w:rFonts w:ascii="Times New Roman" w:hAnsi="Times New Roman" w:cs="Times New Roman"/>
          <w:sz w:val="24"/>
          <w:szCs w:val="24"/>
        </w:rPr>
        <w:t>ur.</w:t>
      </w:r>
    </w:p>
    <w:p w:rsidR="00035112" w:rsidRDefault="00035112" w:rsidP="00C205EF">
      <w:pPr>
        <w:autoSpaceDE w:val="0"/>
        <w:autoSpaceDN w:val="0"/>
        <w:adjustRightInd w:val="0"/>
        <w:spacing w:after="0" w:line="240" w:lineRule="auto"/>
        <w:jc w:val="both"/>
        <w:rPr>
          <w:rFonts w:ascii="Times New Roman" w:hAnsi="Times New Roman" w:cs="Times New Roman"/>
          <w:sz w:val="24"/>
          <w:szCs w:val="24"/>
        </w:rPr>
      </w:pPr>
    </w:p>
    <w:p w:rsidR="00035112" w:rsidRDefault="00725F8A" w:rsidP="00C205EF">
      <w:pPr>
        <w:autoSpaceDE w:val="0"/>
        <w:autoSpaceDN w:val="0"/>
        <w:adjustRightInd w:val="0"/>
        <w:spacing w:after="0" w:line="240" w:lineRule="auto"/>
        <w:jc w:val="both"/>
        <w:rPr>
          <w:rFonts w:ascii="Times New Roman" w:hAnsi="Times New Roman" w:cs="Times New Roman"/>
          <w:sz w:val="24"/>
          <w:szCs w:val="24"/>
        </w:rPr>
      </w:pPr>
      <w:r w:rsidRPr="0095675E">
        <w:rPr>
          <w:rFonts w:ascii="Times New Roman" w:hAnsi="Times New Roman" w:cs="Times New Roman"/>
          <w:sz w:val="24"/>
          <w:szCs w:val="24"/>
        </w:rPr>
        <w:t>V rámci funkčnej</w:t>
      </w:r>
      <w:r w:rsidRPr="00B33AAE">
        <w:rPr>
          <w:rFonts w:ascii="Times New Roman" w:hAnsi="Times New Roman" w:cs="Times New Roman"/>
          <w:sz w:val="24"/>
          <w:szCs w:val="24"/>
        </w:rPr>
        <w:t xml:space="preserve"> klasifikácie </w:t>
      </w:r>
      <w:r w:rsidRPr="00780971">
        <w:rPr>
          <w:rFonts w:ascii="Times New Roman" w:hAnsi="Times New Roman" w:cs="Times New Roman"/>
          <w:i/>
          <w:sz w:val="24"/>
          <w:szCs w:val="24"/>
        </w:rPr>
        <w:t>01 - Všeobecné verejné služby</w:t>
      </w:r>
      <w:r w:rsidRPr="00B33AAE">
        <w:rPr>
          <w:rFonts w:ascii="Times New Roman" w:hAnsi="Times New Roman" w:cs="Times New Roman"/>
          <w:sz w:val="24"/>
          <w:szCs w:val="24"/>
        </w:rPr>
        <w:t xml:space="preserve"> MH SR uhrádza</w:t>
      </w:r>
      <w:r w:rsidR="00C6578B">
        <w:rPr>
          <w:rFonts w:ascii="Times New Roman" w:hAnsi="Times New Roman" w:cs="Times New Roman"/>
          <w:sz w:val="24"/>
          <w:szCs w:val="24"/>
        </w:rPr>
        <w:t>lo</w:t>
      </w:r>
      <w:r w:rsidRPr="00B33AAE">
        <w:rPr>
          <w:rFonts w:ascii="Times New Roman" w:hAnsi="Times New Roman" w:cs="Times New Roman"/>
          <w:sz w:val="24"/>
          <w:szCs w:val="24"/>
        </w:rPr>
        <w:t xml:space="preserve"> poplatky medzinárodným organizáciám, ktorých členom je SR, financ</w:t>
      </w:r>
      <w:r w:rsidR="00C6578B">
        <w:rPr>
          <w:rFonts w:ascii="Times New Roman" w:hAnsi="Times New Roman" w:cs="Times New Roman"/>
          <w:sz w:val="24"/>
          <w:szCs w:val="24"/>
        </w:rPr>
        <w:t>ovalo</w:t>
      </w:r>
      <w:r w:rsidRPr="00B33AAE">
        <w:rPr>
          <w:rFonts w:ascii="Times New Roman" w:hAnsi="Times New Roman" w:cs="Times New Roman"/>
          <w:sz w:val="24"/>
          <w:szCs w:val="24"/>
        </w:rPr>
        <w:t xml:space="preserve"> výdavky súvisiace s pracoviskami mimo sídla služobného úradu MH SR v cudzine, uhrádza</w:t>
      </w:r>
      <w:r w:rsidR="00C6578B">
        <w:rPr>
          <w:rFonts w:ascii="Times New Roman" w:hAnsi="Times New Roman" w:cs="Times New Roman"/>
          <w:sz w:val="24"/>
          <w:szCs w:val="24"/>
        </w:rPr>
        <w:t>lo</w:t>
      </w:r>
      <w:r w:rsidRPr="00B33AAE">
        <w:rPr>
          <w:rFonts w:ascii="Times New Roman" w:hAnsi="Times New Roman" w:cs="Times New Roman"/>
          <w:sz w:val="24"/>
          <w:szCs w:val="24"/>
        </w:rPr>
        <w:t xml:space="preserve"> </w:t>
      </w:r>
      <w:r w:rsidR="0015410E">
        <w:rPr>
          <w:rFonts w:ascii="Times New Roman" w:hAnsi="Times New Roman" w:cs="Times New Roman"/>
          <w:sz w:val="24"/>
          <w:szCs w:val="24"/>
        </w:rPr>
        <w:t>mzdové výdavky a k nim prislúchajúce odvody do poisťovní  pre zamestnancov MH SR podieľajúcich sa na príprave e</w:t>
      </w:r>
      <w:r w:rsidR="0015410E" w:rsidRPr="0078104F">
        <w:rPr>
          <w:rFonts w:ascii="Times New Roman" w:hAnsi="Times New Roman" w:cs="Times New Roman"/>
          <w:sz w:val="24"/>
          <w:szCs w:val="24"/>
        </w:rPr>
        <w:t>xpozíci</w:t>
      </w:r>
      <w:r w:rsidR="0015410E">
        <w:rPr>
          <w:rFonts w:ascii="Times New Roman" w:hAnsi="Times New Roman" w:cs="Times New Roman"/>
          <w:sz w:val="24"/>
          <w:szCs w:val="24"/>
        </w:rPr>
        <w:t>e</w:t>
      </w:r>
      <w:r w:rsidR="0015410E" w:rsidRPr="0078104F">
        <w:rPr>
          <w:rFonts w:ascii="Times New Roman" w:hAnsi="Times New Roman" w:cs="Times New Roman"/>
          <w:sz w:val="24"/>
          <w:szCs w:val="24"/>
        </w:rPr>
        <w:t xml:space="preserve"> Slovenskej republiky „Expo Milano 2015, Italy“</w:t>
      </w:r>
      <w:r w:rsidR="0015410E">
        <w:rPr>
          <w:rFonts w:ascii="Times New Roman" w:hAnsi="Times New Roman" w:cs="Times New Roman"/>
          <w:sz w:val="24"/>
          <w:szCs w:val="24"/>
        </w:rPr>
        <w:t xml:space="preserve"> a </w:t>
      </w:r>
      <w:r w:rsidRPr="00B33AAE">
        <w:rPr>
          <w:rFonts w:ascii="Times New Roman" w:hAnsi="Times New Roman" w:cs="Times New Roman"/>
          <w:sz w:val="24"/>
          <w:szCs w:val="24"/>
        </w:rPr>
        <w:t>výdavky súvisiace so zahraničnými pracovnými cestami zamestnancov MH SR</w:t>
      </w:r>
      <w:r w:rsidR="0015410E">
        <w:rPr>
          <w:rFonts w:ascii="Times New Roman" w:hAnsi="Times New Roman" w:cs="Times New Roman"/>
          <w:sz w:val="24"/>
          <w:szCs w:val="24"/>
        </w:rPr>
        <w:t>.</w:t>
      </w:r>
      <w:r w:rsidR="00C6578B">
        <w:rPr>
          <w:rFonts w:ascii="Times New Roman" w:hAnsi="Times New Roman" w:cs="Times New Roman"/>
          <w:sz w:val="24"/>
          <w:szCs w:val="24"/>
        </w:rPr>
        <w:t xml:space="preserve"> </w:t>
      </w:r>
    </w:p>
    <w:p w:rsidR="0015410E" w:rsidRDefault="0015410E" w:rsidP="00C205EF">
      <w:pPr>
        <w:autoSpaceDE w:val="0"/>
        <w:autoSpaceDN w:val="0"/>
        <w:adjustRightInd w:val="0"/>
        <w:spacing w:after="0" w:line="240" w:lineRule="auto"/>
        <w:jc w:val="both"/>
        <w:rPr>
          <w:rFonts w:ascii="Times New Roman" w:hAnsi="Times New Roman" w:cs="Times New Roman"/>
          <w:sz w:val="24"/>
          <w:szCs w:val="24"/>
        </w:rPr>
      </w:pPr>
    </w:p>
    <w:p w:rsidR="00035112" w:rsidRDefault="00725F8A" w:rsidP="00C205EF">
      <w:pPr>
        <w:autoSpaceDE w:val="0"/>
        <w:autoSpaceDN w:val="0"/>
        <w:adjustRightInd w:val="0"/>
        <w:spacing w:after="0" w:line="240" w:lineRule="auto"/>
        <w:jc w:val="both"/>
        <w:rPr>
          <w:rFonts w:ascii="Times New Roman" w:hAnsi="Times New Roman" w:cs="Times New Roman"/>
          <w:sz w:val="24"/>
          <w:szCs w:val="24"/>
        </w:rPr>
      </w:pPr>
      <w:r w:rsidRPr="00B33AAE">
        <w:rPr>
          <w:rFonts w:ascii="Times New Roman" w:hAnsi="Times New Roman" w:cs="Times New Roman"/>
          <w:sz w:val="24"/>
          <w:szCs w:val="24"/>
        </w:rPr>
        <w:t xml:space="preserve">V rámci funkčnej klasifikácie </w:t>
      </w:r>
      <w:r w:rsidRPr="00780971">
        <w:rPr>
          <w:rFonts w:ascii="Times New Roman" w:hAnsi="Times New Roman" w:cs="Times New Roman"/>
          <w:i/>
          <w:sz w:val="24"/>
          <w:szCs w:val="24"/>
        </w:rPr>
        <w:t xml:space="preserve">02 – Obrana </w:t>
      </w:r>
      <w:r w:rsidRPr="00B33AAE">
        <w:rPr>
          <w:rFonts w:ascii="Times New Roman" w:hAnsi="Times New Roman" w:cs="Times New Roman"/>
          <w:sz w:val="24"/>
          <w:szCs w:val="24"/>
        </w:rPr>
        <w:t>MH S</w:t>
      </w:r>
      <w:r w:rsidR="00CF343D" w:rsidRPr="00B33AAE">
        <w:rPr>
          <w:rFonts w:ascii="Times New Roman" w:hAnsi="Times New Roman" w:cs="Times New Roman"/>
          <w:sz w:val="24"/>
          <w:szCs w:val="24"/>
        </w:rPr>
        <w:t>R</w:t>
      </w:r>
      <w:r w:rsidRPr="00B33AAE">
        <w:rPr>
          <w:rFonts w:ascii="Times New Roman" w:hAnsi="Times New Roman" w:cs="Times New Roman"/>
          <w:sz w:val="24"/>
          <w:szCs w:val="24"/>
        </w:rPr>
        <w:t xml:space="preserve"> zabezpeč</w:t>
      </w:r>
      <w:r w:rsidR="00702497">
        <w:rPr>
          <w:rFonts w:ascii="Times New Roman" w:hAnsi="Times New Roman" w:cs="Times New Roman"/>
          <w:sz w:val="24"/>
          <w:szCs w:val="24"/>
        </w:rPr>
        <w:t>ovalo</w:t>
      </w:r>
      <w:r w:rsidRPr="00B33AAE">
        <w:rPr>
          <w:rFonts w:ascii="Times New Roman" w:hAnsi="Times New Roman" w:cs="Times New Roman"/>
          <w:sz w:val="24"/>
          <w:szCs w:val="24"/>
        </w:rPr>
        <w:t xml:space="preserve"> úhradu výdavkov medzirezortného podprogramu </w:t>
      </w:r>
      <w:r w:rsidR="00471887">
        <w:rPr>
          <w:rFonts w:ascii="Times New Roman" w:hAnsi="Times New Roman" w:cs="Times New Roman"/>
          <w:sz w:val="24"/>
          <w:szCs w:val="24"/>
        </w:rPr>
        <w:t xml:space="preserve">06H01 </w:t>
      </w:r>
      <w:r w:rsidRPr="00B33AAE">
        <w:rPr>
          <w:rFonts w:ascii="Times New Roman" w:hAnsi="Times New Roman" w:cs="Times New Roman"/>
          <w:sz w:val="24"/>
          <w:szCs w:val="24"/>
        </w:rPr>
        <w:t>Hospodárska mobilizácia MH SR a</w:t>
      </w:r>
      <w:r w:rsidR="00471887">
        <w:rPr>
          <w:rFonts w:ascii="Times New Roman" w:hAnsi="Times New Roman" w:cs="Times New Roman"/>
          <w:sz w:val="24"/>
          <w:szCs w:val="24"/>
        </w:rPr>
        <w:t> </w:t>
      </w:r>
      <w:proofErr w:type="spellStart"/>
      <w:r w:rsidR="00471887">
        <w:rPr>
          <w:rFonts w:ascii="Times New Roman" w:hAnsi="Times New Roman" w:cs="Times New Roman"/>
          <w:sz w:val="24"/>
          <w:szCs w:val="24"/>
        </w:rPr>
        <w:t>OAS03</w:t>
      </w:r>
      <w:proofErr w:type="spellEnd"/>
      <w:r w:rsidR="00471887">
        <w:rPr>
          <w:rFonts w:ascii="Times New Roman" w:hAnsi="Times New Roman" w:cs="Times New Roman"/>
          <w:sz w:val="24"/>
          <w:szCs w:val="24"/>
        </w:rPr>
        <w:t xml:space="preserve"> MH </w:t>
      </w:r>
      <w:r w:rsidRPr="00B33AAE">
        <w:rPr>
          <w:rFonts w:ascii="Times New Roman" w:hAnsi="Times New Roman" w:cs="Times New Roman"/>
          <w:sz w:val="24"/>
          <w:szCs w:val="24"/>
        </w:rPr>
        <w:t xml:space="preserve"> SR – Ochrana kritickej infraštruktúry v Slovenskej republike</w:t>
      </w:r>
      <w:r w:rsidR="00702497">
        <w:rPr>
          <w:rFonts w:ascii="Times New Roman" w:hAnsi="Times New Roman" w:cs="Times New Roman"/>
          <w:sz w:val="24"/>
          <w:szCs w:val="24"/>
        </w:rPr>
        <w:t xml:space="preserve"> a</w:t>
      </w:r>
      <w:r w:rsidR="008E41CE">
        <w:rPr>
          <w:rFonts w:ascii="Times New Roman" w:hAnsi="Times New Roman" w:cs="Times New Roman"/>
          <w:sz w:val="24"/>
          <w:szCs w:val="24"/>
        </w:rPr>
        <w:t xml:space="preserve"> v oblasti </w:t>
      </w:r>
      <w:r w:rsidR="00702497">
        <w:rPr>
          <w:rFonts w:ascii="Times New Roman" w:hAnsi="Times New Roman" w:cs="Times New Roman"/>
          <w:sz w:val="24"/>
          <w:szCs w:val="24"/>
        </w:rPr>
        <w:t>civilnej ochrany.</w:t>
      </w:r>
    </w:p>
    <w:p w:rsidR="00471887" w:rsidRDefault="00471887" w:rsidP="00C205EF">
      <w:pPr>
        <w:autoSpaceDE w:val="0"/>
        <w:autoSpaceDN w:val="0"/>
        <w:adjustRightInd w:val="0"/>
        <w:spacing w:after="0" w:line="240" w:lineRule="auto"/>
        <w:jc w:val="both"/>
        <w:rPr>
          <w:rFonts w:ascii="Times New Roman" w:hAnsi="Times New Roman" w:cs="Times New Roman"/>
          <w:sz w:val="24"/>
          <w:szCs w:val="24"/>
        </w:rPr>
      </w:pPr>
    </w:p>
    <w:p w:rsidR="00735FC2" w:rsidRDefault="00725F8A" w:rsidP="00E943F5">
      <w:pPr>
        <w:autoSpaceDE w:val="0"/>
        <w:autoSpaceDN w:val="0"/>
        <w:adjustRightInd w:val="0"/>
        <w:spacing w:after="0" w:line="240" w:lineRule="auto"/>
        <w:jc w:val="both"/>
        <w:rPr>
          <w:rFonts w:ascii="Times New Roman" w:hAnsi="Times New Roman" w:cs="Times New Roman"/>
          <w:sz w:val="24"/>
          <w:szCs w:val="24"/>
        </w:rPr>
      </w:pPr>
      <w:r w:rsidRPr="00B33AAE">
        <w:rPr>
          <w:rFonts w:ascii="Times New Roman" w:hAnsi="Times New Roman" w:cs="Times New Roman"/>
          <w:sz w:val="24"/>
          <w:szCs w:val="24"/>
        </w:rPr>
        <w:t xml:space="preserve">V rámci funkčnej klasifikácie </w:t>
      </w:r>
      <w:r w:rsidRPr="00780971">
        <w:rPr>
          <w:rFonts w:ascii="Times New Roman" w:hAnsi="Times New Roman" w:cs="Times New Roman"/>
          <w:i/>
          <w:sz w:val="24"/>
          <w:szCs w:val="24"/>
        </w:rPr>
        <w:t>04 – Ekonomická oblasť</w:t>
      </w:r>
      <w:r w:rsidRPr="00B33AAE">
        <w:rPr>
          <w:rFonts w:ascii="Times New Roman" w:hAnsi="Times New Roman" w:cs="Times New Roman"/>
          <w:sz w:val="24"/>
          <w:szCs w:val="24"/>
        </w:rPr>
        <w:t xml:space="preserve"> </w:t>
      </w:r>
      <w:r w:rsidR="00E943F5">
        <w:rPr>
          <w:rFonts w:ascii="Times New Roman" w:hAnsi="Times New Roman" w:cs="Times New Roman"/>
          <w:sz w:val="24"/>
          <w:szCs w:val="24"/>
        </w:rPr>
        <w:t>v</w:t>
      </w:r>
      <w:r w:rsidR="003F450A" w:rsidRPr="00B33AAE">
        <w:rPr>
          <w:rFonts w:ascii="Times New Roman" w:hAnsi="Times New Roman" w:cs="Times New Roman"/>
          <w:sz w:val="24"/>
          <w:szCs w:val="24"/>
        </w:rPr>
        <w:t>ykazuje MH SR najvyššie čerpanie výdavkov v roku 201</w:t>
      </w:r>
      <w:r w:rsidR="00130058">
        <w:rPr>
          <w:rFonts w:ascii="Times New Roman" w:hAnsi="Times New Roman" w:cs="Times New Roman"/>
          <w:sz w:val="24"/>
          <w:szCs w:val="24"/>
        </w:rPr>
        <w:t>5</w:t>
      </w:r>
      <w:r w:rsidR="00735FC2">
        <w:rPr>
          <w:rFonts w:ascii="Times New Roman" w:hAnsi="Times New Roman" w:cs="Times New Roman"/>
          <w:sz w:val="24"/>
          <w:szCs w:val="24"/>
        </w:rPr>
        <w:t xml:space="preserve"> </w:t>
      </w:r>
      <w:r w:rsidR="006C10B2">
        <w:rPr>
          <w:rFonts w:ascii="Times New Roman" w:hAnsi="Times New Roman" w:cs="Times New Roman"/>
          <w:sz w:val="24"/>
          <w:szCs w:val="24"/>
        </w:rPr>
        <w:t xml:space="preserve">a to </w:t>
      </w:r>
      <w:r w:rsidR="00130058">
        <w:rPr>
          <w:rFonts w:ascii="Times New Roman" w:hAnsi="Times New Roman" w:cs="Times New Roman"/>
          <w:sz w:val="24"/>
          <w:szCs w:val="24"/>
        </w:rPr>
        <w:t xml:space="preserve">v sume </w:t>
      </w:r>
      <w:r w:rsidR="00130058" w:rsidRPr="00403591">
        <w:rPr>
          <w:rFonts w:ascii="Times New Roman" w:hAnsi="Times New Roman" w:cs="Times New Roman"/>
          <w:sz w:val="24"/>
          <w:szCs w:val="24"/>
          <w:lang w:eastAsia="sk-SK"/>
        </w:rPr>
        <w:t xml:space="preserve">342 816 495,33 </w:t>
      </w:r>
      <w:r w:rsidR="00735FC2">
        <w:rPr>
          <w:rFonts w:ascii="Times New Roman" w:hAnsi="Times New Roman" w:cs="Times New Roman"/>
          <w:sz w:val="24"/>
          <w:szCs w:val="24"/>
          <w:lang w:eastAsia="sk-SK"/>
        </w:rPr>
        <w:t>eur</w:t>
      </w:r>
      <w:r w:rsidR="003F450A" w:rsidRPr="00B33AAE">
        <w:rPr>
          <w:rFonts w:ascii="Times New Roman" w:hAnsi="Times New Roman" w:cs="Times New Roman"/>
          <w:sz w:val="24"/>
          <w:szCs w:val="24"/>
        </w:rPr>
        <w:t xml:space="preserve">. V rámci uvedeného oddielu MH SR zabezpečovalo financovanie </w:t>
      </w:r>
      <w:r w:rsidR="00E049C1">
        <w:rPr>
          <w:rFonts w:ascii="Times New Roman" w:hAnsi="Times New Roman" w:cs="Times New Roman"/>
          <w:sz w:val="24"/>
          <w:szCs w:val="24"/>
        </w:rPr>
        <w:t xml:space="preserve">výdavkov </w:t>
      </w:r>
      <w:r w:rsidR="003F450A" w:rsidRPr="00B33AAE">
        <w:rPr>
          <w:rFonts w:ascii="Times New Roman" w:hAnsi="Times New Roman" w:cs="Times New Roman"/>
          <w:sz w:val="24"/>
          <w:szCs w:val="24"/>
        </w:rPr>
        <w:t xml:space="preserve">podľa jednotlivých činností, ktoré smerovali </w:t>
      </w:r>
      <w:r w:rsidR="00B460A1">
        <w:rPr>
          <w:rFonts w:ascii="Times New Roman" w:hAnsi="Times New Roman" w:cs="Times New Roman"/>
          <w:sz w:val="24"/>
          <w:szCs w:val="24"/>
        </w:rPr>
        <w:t xml:space="preserve">do </w:t>
      </w:r>
      <w:r w:rsidR="00735FC2">
        <w:rPr>
          <w:rFonts w:ascii="Times New Roman" w:hAnsi="Times New Roman" w:cs="Times New Roman"/>
          <w:sz w:val="24"/>
          <w:szCs w:val="24"/>
        </w:rPr>
        <w:t xml:space="preserve">nasledovných </w:t>
      </w:r>
      <w:r w:rsidR="003F450A" w:rsidRPr="00B33AAE">
        <w:rPr>
          <w:rFonts w:ascii="Times New Roman" w:hAnsi="Times New Roman" w:cs="Times New Roman"/>
          <w:sz w:val="24"/>
          <w:szCs w:val="24"/>
        </w:rPr>
        <w:t xml:space="preserve"> </w:t>
      </w:r>
      <w:r w:rsidR="003F450A" w:rsidRPr="00182992">
        <w:rPr>
          <w:rFonts w:ascii="Times New Roman" w:hAnsi="Times New Roman" w:cs="Times New Roman"/>
          <w:sz w:val="24"/>
          <w:szCs w:val="24"/>
        </w:rPr>
        <w:t>oblast</w:t>
      </w:r>
      <w:r w:rsidR="00735FC2" w:rsidRPr="00182992">
        <w:rPr>
          <w:rFonts w:ascii="Times New Roman" w:hAnsi="Times New Roman" w:cs="Times New Roman"/>
          <w:sz w:val="24"/>
          <w:szCs w:val="24"/>
        </w:rPr>
        <w:t>í:</w:t>
      </w:r>
    </w:p>
    <w:p w:rsidR="00CA3A02" w:rsidRPr="00CA3A02" w:rsidRDefault="00861A30" w:rsidP="00CA3A02">
      <w:pPr>
        <w:numPr>
          <w:ilvl w:val="1"/>
          <w:numId w:val="19"/>
        </w:numPr>
        <w:autoSpaceDE w:val="0"/>
        <w:autoSpaceDN w:val="0"/>
        <w:adjustRightInd w:val="0"/>
        <w:spacing w:before="240"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V</w:t>
      </w:r>
      <w:r w:rsidR="004C3936" w:rsidRPr="00AF3C34">
        <w:rPr>
          <w:rFonts w:ascii="Times New Roman" w:hAnsi="Times New Roman" w:cs="Times New Roman"/>
          <w:i/>
          <w:sz w:val="24"/>
          <w:szCs w:val="24"/>
        </w:rPr>
        <w:t>šeobecná ekonomická</w:t>
      </w:r>
      <w:r w:rsidR="00AF3C34" w:rsidRPr="00AF3C34">
        <w:rPr>
          <w:rFonts w:ascii="Times New Roman" w:hAnsi="Times New Roman" w:cs="Times New Roman"/>
          <w:i/>
          <w:sz w:val="24"/>
          <w:szCs w:val="24"/>
        </w:rPr>
        <w:t>, o</w:t>
      </w:r>
      <w:r w:rsidR="004C3936" w:rsidRPr="00AF3C34">
        <w:rPr>
          <w:rFonts w:ascii="Times New Roman" w:hAnsi="Times New Roman" w:cs="Times New Roman"/>
          <w:i/>
          <w:sz w:val="24"/>
          <w:szCs w:val="24"/>
        </w:rPr>
        <w:t>bchodná</w:t>
      </w:r>
      <w:r w:rsidR="00AF3C34" w:rsidRPr="00AF3C34">
        <w:rPr>
          <w:rFonts w:ascii="Times New Roman" w:hAnsi="Times New Roman" w:cs="Times New Roman"/>
          <w:i/>
          <w:sz w:val="24"/>
          <w:szCs w:val="24"/>
        </w:rPr>
        <w:t xml:space="preserve"> a </w:t>
      </w:r>
      <w:r w:rsidR="00182992" w:rsidRPr="00AF3C34">
        <w:rPr>
          <w:rFonts w:ascii="Times New Roman" w:hAnsi="Times New Roman" w:cs="Times New Roman"/>
          <w:i/>
          <w:sz w:val="24"/>
          <w:szCs w:val="24"/>
        </w:rPr>
        <w:t>pracovná oblasť</w:t>
      </w:r>
      <w:r w:rsidR="00CE2686">
        <w:rPr>
          <w:rFonts w:ascii="Times New Roman" w:hAnsi="Times New Roman" w:cs="Times New Roman"/>
          <w:i/>
          <w:sz w:val="24"/>
          <w:szCs w:val="24"/>
        </w:rPr>
        <w:t xml:space="preserve"> (</w:t>
      </w:r>
      <w:r w:rsidR="00130058">
        <w:rPr>
          <w:rFonts w:ascii="Times New Roman" w:hAnsi="Times New Roman" w:cs="Times New Roman"/>
          <w:i/>
          <w:sz w:val="24"/>
          <w:szCs w:val="24"/>
        </w:rPr>
        <w:t>221 58</w:t>
      </w:r>
      <w:r w:rsidR="00CA3A02">
        <w:rPr>
          <w:rFonts w:ascii="Times New Roman" w:hAnsi="Times New Roman" w:cs="Times New Roman"/>
          <w:i/>
          <w:sz w:val="24"/>
          <w:szCs w:val="24"/>
        </w:rPr>
        <w:t>1 208,52</w:t>
      </w:r>
      <w:r w:rsidR="00CE2686">
        <w:rPr>
          <w:rFonts w:ascii="Times New Roman" w:hAnsi="Times New Roman" w:cs="Times New Roman"/>
          <w:i/>
          <w:sz w:val="24"/>
          <w:szCs w:val="24"/>
        </w:rPr>
        <w:t xml:space="preserve"> eur)</w:t>
      </w:r>
      <w:r w:rsidR="00182992" w:rsidRPr="00AF3C34">
        <w:rPr>
          <w:rFonts w:ascii="Times New Roman" w:hAnsi="Times New Roman" w:cs="Times New Roman"/>
          <w:i/>
          <w:sz w:val="24"/>
          <w:szCs w:val="24"/>
        </w:rPr>
        <w:t>,</w:t>
      </w:r>
      <w:r w:rsidR="008666AC" w:rsidRPr="00AF3C34">
        <w:rPr>
          <w:rFonts w:ascii="Times New Roman" w:hAnsi="Times New Roman" w:cs="Times New Roman"/>
          <w:i/>
          <w:sz w:val="24"/>
          <w:szCs w:val="24"/>
        </w:rPr>
        <w:t xml:space="preserve"> </w:t>
      </w:r>
      <w:r w:rsidR="003F450A" w:rsidRPr="00CE2686">
        <w:rPr>
          <w:rFonts w:ascii="Times New Roman" w:hAnsi="Times New Roman" w:cs="Times New Roman"/>
          <w:sz w:val="24"/>
          <w:szCs w:val="24"/>
        </w:rPr>
        <w:t>kde boli financované činnosti MH SR</w:t>
      </w:r>
      <w:r w:rsidR="00232DE4" w:rsidRPr="004C3936">
        <w:rPr>
          <w:rFonts w:ascii="Times New Roman" w:hAnsi="Times New Roman" w:cs="Times New Roman"/>
          <w:sz w:val="24"/>
          <w:szCs w:val="24"/>
        </w:rPr>
        <w:t xml:space="preserve"> súvisiace s plnením úloh v rámci Akčného plánu znižovania administratívneho bremena</w:t>
      </w:r>
      <w:r w:rsidR="009C0AA3" w:rsidRPr="004C3936">
        <w:rPr>
          <w:rFonts w:ascii="Times New Roman" w:hAnsi="Times New Roman" w:cs="Times New Roman"/>
          <w:sz w:val="24"/>
          <w:szCs w:val="24"/>
        </w:rPr>
        <w:t xml:space="preserve"> </w:t>
      </w:r>
      <w:r w:rsidR="00232DE4" w:rsidRPr="004C3936">
        <w:rPr>
          <w:rFonts w:ascii="Times New Roman" w:hAnsi="Times New Roman" w:cs="Times New Roman"/>
          <w:sz w:val="24"/>
          <w:szCs w:val="24"/>
        </w:rPr>
        <w:t>v SR,</w:t>
      </w:r>
      <w:r w:rsidR="004C3936" w:rsidRPr="004C3936">
        <w:rPr>
          <w:rFonts w:ascii="Times New Roman" w:hAnsi="Times New Roman" w:cs="Times New Roman"/>
          <w:sz w:val="24"/>
          <w:szCs w:val="24"/>
        </w:rPr>
        <w:t xml:space="preserve"> na podporu rozvoja strategických investícií</w:t>
      </w:r>
      <w:r w:rsidR="004C3936">
        <w:rPr>
          <w:rFonts w:ascii="Times New Roman" w:hAnsi="Times New Roman" w:cs="Times New Roman"/>
          <w:sz w:val="24"/>
          <w:szCs w:val="24"/>
        </w:rPr>
        <w:t xml:space="preserve">, </w:t>
      </w:r>
      <w:r w:rsidR="00182992" w:rsidRPr="004C3936">
        <w:rPr>
          <w:rFonts w:ascii="Times New Roman" w:hAnsi="Times New Roman" w:cs="Times New Roman"/>
          <w:sz w:val="24"/>
          <w:szCs w:val="24"/>
        </w:rPr>
        <w:t>na podporu startupov</w:t>
      </w:r>
      <w:r w:rsidR="00182992">
        <w:rPr>
          <w:rFonts w:ascii="Times New Roman" w:hAnsi="Times New Roman" w:cs="Times New Roman"/>
          <w:sz w:val="24"/>
          <w:szCs w:val="24"/>
        </w:rPr>
        <w:t xml:space="preserve">, </w:t>
      </w:r>
      <w:r w:rsidR="004C3936" w:rsidRPr="004C3936">
        <w:rPr>
          <w:rFonts w:ascii="Times New Roman" w:hAnsi="Times New Roman" w:cs="Times New Roman"/>
          <w:sz w:val="24"/>
          <w:szCs w:val="24"/>
        </w:rPr>
        <w:t>na podporu  rozvoja činnosti občianskych združení na ochranu práv spotrebiteľa,</w:t>
      </w:r>
      <w:r w:rsidR="004C3936">
        <w:rPr>
          <w:rFonts w:ascii="Times New Roman" w:hAnsi="Times New Roman" w:cs="Times New Roman"/>
          <w:sz w:val="24"/>
          <w:szCs w:val="24"/>
        </w:rPr>
        <w:t xml:space="preserve"> na podporu budovania štruktúr v oblasti trhového dozoru na </w:t>
      </w:r>
      <w:r w:rsidR="004C3936" w:rsidRPr="004C3936">
        <w:rPr>
          <w:rFonts w:ascii="Times New Roman" w:hAnsi="Times New Roman" w:cs="Times New Roman"/>
          <w:sz w:val="24"/>
          <w:szCs w:val="24"/>
        </w:rPr>
        <w:t>ochranu práv spotrebiteľa</w:t>
      </w:r>
      <w:r w:rsidR="004C3936">
        <w:rPr>
          <w:rFonts w:ascii="Times New Roman" w:hAnsi="Times New Roman" w:cs="Times New Roman"/>
          <w:sz w:val="24"/>
          <w:szCs w:val="24"/>
        </w:rPr>
        <w:t xml:space="preserve">, </w:t>
      </w:r>
      <w:r w:rsidR="00CA3A02">
        <w:rPr>
          <w:rFonts w:ascii="Times New Roman" w:hAnsi="Times New Roman" w:cs="Times New Roman"/>
          <w:sz w:val="24"/>
          <w:szCs w:val="24"/>
        </w:rPr>
        <w:t xml:space="preserve">na elektronizáciu služieb MH SR, </w:t>
      </w:r>
      <w:r w:rsidR="004C3936">
        <w:rPr>
          <w:rFonts w:ascii="Times New Roman" w:hAnsi="Times New Roman" w:cs="Times New Roman"/>
          <w:sz w:val="24"/>
          <w:szCs w:val="24"/>
        </w:rPr>
        <w:t xml:space="preserve">na </w:t>
      </w:r>
      <w:r w:rsidR="00E151CF">
        <w:rPr>
          <w:rFonts w:ascii="Times New Roman" w:hAnsi="Times New Roman" w:cs="Times New Roman"/>
          <w:sz w:val="24"/>
          <w:szCs w:val="24"/>
        </w:rPr>
        <w:t>chod úradu ministerstva</w:t>
      </w:r>
      <w:r w:rsidR="00CA3A02">
        <w:rPr>
          <w:rFonts w:ascii="Times New Roman" w:hAnsi="Times New Roman" w:cs="Times New Roman"/>
          <w:sz w:val="24"/>
          <w:szCs w:val="24"/>
        </w:rPr>
        <w:t xml:space="preserve"> a Európskeho spotrebiteľského centra</w:t>
      </w:r>
      <w:r w:rsidR="00E151CF">
        <w:rPr>
          <w:rFonts w:ascii="Times New Roman" w:hAnsi="Times New Roman" w:cs="Times New Roman"/>
          <w:sz w:val="24"/>
          <w:szCs w:val="24"/>
        </w:rPr>
        <w:t xml:space="preserve">. </w:t>
      </w:r>
      <w:r w:rsidR="00E151CF" w:rsidRPr="004C3936">
        <w:rPr>
          <w:rFonts w:ascii="Times New Roman" w:hAnsi="Times New Roman" w:cs="Times New Roman"/>
          <w:sz w:val="24"/>
          <w:szCs w:val="24"/>
        </w:rPr>
        <w:t>Zároveň tu boli čerpané rozpočtové prostri</w:t>
      </w:r>
      <w:r w:rsidR="00E151CF">
        <w:rPr>
          <w:rFonts w:ascii="Times New Roman" w:hAnsi="Times New Roman" w:cs="Times New Roman"/>
          <w:sz w:val="24"/>
          <w:szCs w:val="24"/>
        </w:rPr>
        <w:t xml:space="preserve">edky podriadených rozpočtových </w:t>
      </w:r>
      <w:r w:rsidR="00E151CF" w:rsidRPr="004C3936">
        <w:rPr>
          <w:rFonts w:ascii="Times New Roman" w:hAnsi="Times New Roman" w:cs="Times New Roman"/>
          <w:sz w:val="24"/>
          <w:szCs w:val="24"/>
        </w:rPr>
        <w:t xml:space="preserve">organizácií </w:t>
      </w:r>
      <w:r w:rsidR="00AD3A21">
        <w:rPr>
          <w:rFonts w:ascii="Times New Roman" w:hAnsi="Times New Roman" w:cs="Times New Roman"/>
          <w:sz w:val="24"/>
          <w:szCs w:val="24"/>
        </w:rPr>
        <w:t xml:space="preserve">Puncový úrad a Slovenská obchodná inšpekcia </w:t>
      </w:r>
      <w:r w:rsidR="00E151CF">
        <w:rPr>
          <w:rFonts w:ascii="Times New Roman" w:hAnsi="Times New Roman" w:cs="Times New Roman"/>
          <w:sz w:val="24"/>
          <w:szCs w:val="24"/>
        </w:rPr>
        <w:t>a boli posk</w:t>
      </w:r>
      <w:r w:rsidR="00AD3A21">
        <w:rPr>
          <w:rFonts w:ascii="Times New Roman" w:hAnsi="Times New Roman" w:cs="Times New Roman"/>
          <w:sz w:val="24"/>
          <w:szCs w:val="24"/>
        </w:rPr>
        <w:t>y</w:t>
      </w:r>
      <w:r w:rsidR="00E151CF">
        <w:rPr>
          <w:rFonts w:ascii="Times New Roman" w:hAnsi="Times New Roman" w:cs="Times New Roman"/>
          <w:sz w:val="24"/>
          <w:szCs w:val="24"/>
        </w:rPr>
        <w:t>tnuté transfery na činnosť príspevkov</w:t>
      </w:r>
      <w:r w:rsidR="00831666">
        <w:rPr>
          <w:rFonts w:ascii="Times New Roman" w:hAnsi="Times New Roman" w:cs="Times New Roman"/>
          <w:sz w:val="24"/>
          <w:szCs w:val="24"/>
        </w:rPr>
        <w:t>ej</w:t>
      </w:r>
      <w:r w:rsidR="00E151CF">
        <w:rPr>
          <w:rFonts w:ascii="Times New Roman" w:hAnsi="Times New Roman" w:cs="Times New Roman"/>
          <w:sz w:val="24"/>
          <w:szCs w:val="24"/>
        </w:rPr>
        <w:t xml:space="preserve"> organizáci</w:t>
      </w:r>
      <w:r w:rsidR="00831666">
        <w:rPr>
          <w:rFonts w:ascii="Times New Roman" w:hAnsi="Times New Roman" w:cs="Times New Roman"/>
          <w:sz w:val="24"/>
          <w:szCs w:val="24"/>
        </w:rPr>
        <w:t>e</w:t>
      </w:r>
      <w:r w:rsidR="00CA3A02">
        <w:rPr>
          <w:rFonts w:ascii="Times New Roman" w:hAnsi="Times New Roman" w:cs="Times New Roman"/>
          <w:sz w:val="24"/>
          <w:szCs w:val="24"/>
        </w:rPr>
        <w:t xml:space="preserve"> SARIO</w:t>
      </w:r>
      <w:r w:rsidR="00E151CF">
        <w:rPr>
          <w:rFonts w:ascii="Times New Roman" w:hAnsi="Times New Roman" w:cs="Times New Roman"/>
          <w:sz w:val="24"/>
          <w:szCs w:val="24"/>
        </w:rPr>
        <w:t>.</w:t>
      </w:r>
      <w:r w:rsidR="00182992" w:rsidRPr="00182992">
        <w:rPr>
          <w:rFonts w:ascii="Times New Roman" w:hAnsi="Times New Roman" w:cs="Times New Roman"/>
          <w:sz w:val="24"/>
          <w:szCs w:val="24"/>
        </w:rPr>
        <w:t xml:space="preserve"> </w:t>
      </w:r>
      <w:r w:rsidR="00182992" w:rsidRPr="008C225C">
        <w:rPr>
          <w:rFonts w:ascii="Times New Roman" w:hAnsi="Times New Roman" w:cs="Times New Roman"/>
          <w:sz w:val="24"/>
          <w:szCs w:val="24"/>
        </w:rPr>
        <w:t xml:space="preserve">Rozpočtové prostriedky boli </w:t>
      </w:r>
      <w:r w:rsidR="00182992">
        <w:rPr>
          <w:rFonts w:ascii="Times New Roman" w:hAnsi="Times New Roman" w:cs="Times New Roman"/>
          <w:sz w:val="24"/>
          <w:szCs w:val="24"/>
        </w:rPr>
        <w:t>čerpané aj</w:t>
      </w:r>
      <w:r w:rsidR="00182992" w:rsidRPr="008C225C">
        <w:rPr>
          <w:rFonts w:ascii="Times New Roman" w:hAnsi="Times New Roman" w:cs="Times New Roman"/>
          <w:sz w:val="24"/>
          <w:szCs w:val="24"/>
        </w:rPr>
        <w:t xml:space="preserve"> na plnenie realizačných a koordinačných opatrení v zabezpečovaní ochrany </w:t>
      </w:r>
      <w:r w:rsidR="00182992">
        <w:rPr>
          <w:rFonts w:ascii="Times New Roman" w:hAnsi="Times New Roman" w:cs="Times New Roman"/>
          <w:sz w:val="24"/>
          <w:szCs w:val="24"/>
        </w:rPr>
        <w:t xml:space="preserve">proti účinkom chemických zbraní. Výdavky boli čerpané  </w:t>
      </w:r>
      <w:r w:rsidR="00182992" w:rsidRPr="0018738E">
        <w:rPr>
          <w:rFonts w:ascii="Times New Roman" w:hAnsi="Times New Roman" w:cs="Times New Roman"/>
          <w:color w:val="000000"/>
          <w:sz w:val="24"/>
          <w:szCs w:val="24"/>
        </w:rPr>
        <w:t xml:space="preserve">na úhradu miezd </w:t>
      </w:r>
      <w:r w:rsidR="00182992">
        <w:rPr>
          <w:rFonts w:ascii="Times New Roman" w:hAnsi="Times New Roman" w:cs="Times New Roman"/>
          <w:color w:val="000000"/>
          <w:sz w:val="24"/>
          <w:szCs w:val="24"/>
        </w:rPr>
        <w:t xml:space="preserve">a odvodov do poisťovní </w:t>
      </w:r>
      <w:r w:rsidR="00182992" w:rsidRPr="0018738E">
        <w:rPr>
          <w:rFonts w:ascii="Times New Roman" w:hAnsi="Times New Roman" w:cs="Times New Roman"/>
          <w:color w:val="000000"/>
          <w:sz w:val="24"/>
          <w:szCs w:val="24"/>
        </w:rPr>
        <w:t>pre zamestnancov pra</w:t>
      </w:r>
      <w:r w:rsidR="005F63C6">
        <w:rPr>
          <w:rFonts w:ascii="Times New Roman" w:hAnsi="Times New Roman" w:cs="Times New Roman"/>
          <w:color w:val="000000"/>
          <w:sz w:val="24"/>
          <w:szCs w:val="24"/>
        </w:rPr>
        <w:t xml:space="preserve">covnej skupiny </w:t>
      </w:r>
      <w:r w:rsidR="00182992" w:rsidRPr="0018738E">
        <w:rPr>
          <w:rFonts w:ascii="Times New Roman" w:hAnsi="Times New Roman" w:cs="Times New Roman"/>
          <w:color w:val="000000"/>
          <w:sz w:val="24"/>
          <w:szCs w:val="24"/>
        </w:rPr>
        <w:t>na realizáciu prípravy a zabezpečenia predsedníctva SR v Rade EÚ v roku 2016</w:t>
      </w:r>
      <w:r w:rsidR="00182992">
        <w:rPr>
          <w:rFonts w:ascii="Times New Roman" w:hAnsi="Times New Roman" w:cs="Times New Roman"/>
          <w:color w:val="000000"/>
          <w:sz w:val="24"/>
          <w:szCs w:val="24"/>
        </w:rPr>
        <w:t xml:space="preserve">. </w:t>
      </w:r>
      <w:r w:rsidR="00CA3A02">
        <w:rPr>
          <w:rFonts w:ascii="Times New Roman" w:hAnsi="Times New Roman" w:cs="Times New Roman"/>
          <w:color w:val="000000"/>
          <w:sz w:val="24"/>
          <w:szCs w:val="24"/>
        </w:rPr>
        <w:t>V uvedenom oddiele boli financované výdavky z prostriedkov EÚ, ktoré boli smer</w:t>
      </w:r>
      <w:r w:rsidR="00B634E8">
        <w:rPr>
          <w:rFonts w:ascii="Times New Roman" w:hAnsi="Times New Roman" w:cs="Times New Roman"/>
          <w:color w:val="000000"/>
          <w:sz w:val="24"/>
          <w:szCs w:val="24"/>
        </w:rPr>
        <w:t>o</w:t>
      </w:r>
      <w:r w:rsidR="00CA3A02">
        <w:rPr>
          <w:rFonts w:ascii="Times New Roman" w:hAnsi="Times New Roman" w:cs="Times New Roman"/>
          <w:color w:val="000000"/>
          <w:sz w:val="24"/>
          <w:szCs w:val="24"/>
        </w:rPr>
        <w:t xml:space="preserve">vané do jednotlivých opatrení </w:t>
      </w:r>
      <w:r w:rsidR="009C1C25" w:rsidRPr="00182992">
        <w:rPr>
          <w:rFonts w:ascii="Times New Roman" w:hAnsi="Times New Roman" w:cs="Times New Roman"/>
          <w:sz w:val="24"/>
          <w:szCs w:val="24"/>
        </w:rPr>
        <w:t>Operačného programu Konkurencieschopnosť a hospodársky rast</w:t>
      </w:r>
      <w:r w:rsidR="009C1C25">
        <w:rPr>
          <w:rFonts w:ascii="Times New Roman" w:hAnsi="Times New Roman" w:cs="Times New Roman"/>
          <w:sz w:val="24"/>
          <w:szCs w:val="24"/>
        </w:rPr>
        <w:t xml:space="preserve"> (</w:t>
      </w:r>
      <w:r w:rsidR="00CA3A02">
        <w:rPr>
          <w:rFonts w:ascii="Times New Roman" w:hAnsi="Times New Roman" w:cs="Times New Roman"/>
          <w:color w:val="000000"/>
          <w:sz w:val="24"/>
          <w:szCs w:val="24"/>
        </w:rPr>
        <w:t>OP KaHR</w:t>
      </w:r>
      <w:r w:rsidR="009C1C25">
        <w:rPr>
          <w:rFonts w:ascii="Times New Roman" w:hAnsi="Times New Roman" w:cs="Times New Roman"/>
          <w:color w:val="000000"/>
          <w:sz w:val="24"/>
          <w:szCs w:val="24"/>
        </w:rPr>
        <w:t>)</w:t>
      </w:r>
      <w:r w:rsidR="00CA3A02">
        <w:rPr>
          <w:rFonts w:ascii="Times New Roman" w:hAnsi="Times New Roman" w:cs="Times New Roman"/>
          <w:color w:val="000000"/>
          <w:sz w:val="24"/>
          <w:szCs w:val="24"/>
        </w:rPr>
        <w:t xml:space="preserve"> a</w:t>
      </w:r>
      <w:r w:rsidR="00B634E8">
        <w:rPr>
          <w:rFonts w:ascii="Times New Roman" w:hAnsi="Times New Roman" w:cs="Times New Roman"/>
          <w:color w:val="000000"/>
          <w:sz w:val="24"/>
          <w:szCs w:val="24"/>
        </w:rPr>
        <w:t> </w:t>
      </w:r>
      <w:r w:rsidR="00CA3A02">
        <w:rPr>
          <w:rFonts w:ascii="Times New Roman" w:hAnsi="Times New Roman" w:cs="Times New Roman"/>
          <w:color w:val="000000"/>
          <w:sz w:val="24"/>
          <w:szCs w:val="24"/>
        </w:rPr>
        <w:t>s</w:t>
      </w:r>
      <w:r w:rsidR="00B634E8">
        <w:rPr>
          <w:rFonts w:ascii="Times New Roman" w:hAnsi="Times New Roman" w:cs="Times New Roman"/>
          <w:color w:val="000000"/>
          <w:sz w:val="24"/>
          <w:szCs w:val="24"/>
        </w:rPr>
        <w:t xml:space="preserve">úviseli s podporou v oblasti inovácií a technologických transferov, inovačných aktivít v podnikoch, </w:t>
      </w:r>
      <w:r w:rsidR="00831666">
        <w:rPr>
          <w:rFonts w:ascii="Times New Roman" w:hAnsi="Times New Roman" w:cs="Times New Roman"/>
          <w:color w:val="000000"/>
          <w:sz w:val="24"/>
          <w:szCs w:val="24"/>
        </w:rPr>
        <w:t>s</w:t>
      </w:r>
      <w:r w:rsidR="00B634E8">
        <w:rPr>
          <w:rFonts w:ascii="Times New Roman" w:hAnsi="Times New Roman" w:cs="Times New Roman"/>
          <w:color w:val="000000"/>
          <w:sz w:val="24"/>
          <w:szCs w:val="24"/>
        </w:rPr>
        <w:t xml:space="preserve"> podporou služieb pre podnikateľov a</w:t>
      </w:r>
      <w:r w:rsidR="00831666">
        <w:rPr>
          <w:rFonts w:ascii="Times New Roman" w:hAnsi="Times New Roman" w:cs="Times New Roman"/>
          <w:color w:val="000000"/>
          <w:sz w:val="24"/>
          <w:szCs w:val="24"/>
        </w:rPr>
        <w:t> s podporou</w:t>
      </w:r>
      <w:r w:rsidR="00B634E8">
        <w:rPr>
          <w:rFonts w:ascii="Times New Roman" w:hAnsi="Times New Roman" w:cs="Times New Roman"/>
          <w:color w:val="000000"/>
          <w:sz w:val="24"/>
          <w:szCs w:val="24"/>
        </w:rPr>
        <w:t xml:space="preserve"> technickej pomoci v rámci OP KaHR.</w:t>
      </w:r>
    </w:p>
    <w:p w:rsidR="00AD3A21" w:rsidRDefault="00861A30" w:rsidP="00C41A95">
      <w:pPr>
        <w:numPr>
          <w:ilvl w:val="1"/>
          <w:numId w:val="20"/>
        </w:numPr>
        <w:autoSpaceDE w:val="0"/>
        <w:autoSpaceDN w:val="0"/>
        <w:adjustRightInd w:val="0"/>
        <w:spacing w:before="240" w:after="0" w:line="240" w:lineRule="auto"/>
        <w:ind w:left="567" w:hanging="567"/>
        <w:jc w:val="both"/>
        <w:rPr>
          <w:rFonts w:ascii="Times New Roman" w:hAnsi="Times New Roman" w:cs="Times New Roman"/>
          <w:i/>
          <w:sz w:val="24"/>
          <w:szCs w:val="24"/>
        </w:rPr>
      </w:pPr>
      <w:r>
        <w:rPr>
          <w:rFonts w:ascii="Times New Roman" w:hAnsi="Times New Roman" w:cs="Times New Roman"/>
          <w:i/>
          <w:sz w:val="24"/>
          <w:szCs w:val="24"/>
        </w:rPr>
        <w:t>P</w:t>
      </w:r>
      <w:r w:rsidR="00AF3C34" w:rsidRPr="00FB1598">
        <w:rPr>
          <w:rFonts w:ascii="Times New Roman" w:hAnsi="Times New Roman" w:cs="Times New Roman"/>
          <w:i/>
          <w:sz w:val="24"/>
          <w:szCs w:val="24"/>
        </w:rPr>
        <w:t>alivá a</w:t>
      </w:r>
      <w:r w:rsidR="00CE2686">
        <w:rPr>
          <w:rFonts w:ascii="Times New Roman" w:hAnsi="Times New Roman" w:cs="Times New Roman"/>
          <w:i/>
          <w:sz w:val="24"/>
          <w:szCs w:val="24"/>
        </w:rPr>
        <w:t> </w:t>
      </w:r>
      <w:r w:rsidR="00AF3C34" w:rsidRPr="00FB1598">
        <w:rPr>
          <w:rFonts w:ascii="Times New Roman" w:hAnsi="Times New Roman" w:cs="Times New Roman"/>
          <w:i/>
          <w:sz w:val="24"/>
          <w:szCs w:val="24"/>
        </w:rPr>
        <w:t>energi</w:t>
      </w:r>
      <w:r w:rsidR="005F6057">
        <w:rPr>
          <w:rFonts w:ascii="Times New Roman" w:hAnsi="Times New Roman" w:cs="Times New Roman"/>
          <w:i/>
          <w:sz w:val="24"/>
          <w:szCs w:val="24"/>
        </w:rPr>
        <w:t>a</w:t>
      </w:r>
      <w:r w:rsidR="00CE2686">
        <w:rPr>
          <w:rFonts w:ascii="Times New Roman" w:hAnsi="Times New Roman" w:cs="Times New Roman"/>
          <w:i/>
          <w:sz w:val="24"/>
          <w:szCs w:val="24"/>
        </w:rPr>
        <w:t xml:space="preserve"> (8</w:t>
      </w:r>
      <w:r w:rsidR="00130058">
        <w:rPr>
          <w:rFonts w:ascii="Times New Roman" w:hAnsi="Times New Roman" w:cs="Times New Roman"/>
          <w:i/>
          <w:sz w:val="24"/>
          <w:szCs w:val="24"/>
        </w:rPr>
        <w:t>1 282 660,11</w:t>
      </w:r>
      <w:r w:rsidR="00CE2686">
        <w:rPr>
          <w:rFonts w:ascii="Times New Roman" w:hAnsi="Times New Roman" w:cs="Times New Roman"/>
          <w:i/>
          <w:sz w:val="24"/>
          <w:szCs w:val="24"/>
        </w:rPr>
        <w:t xml:space="preserve"> eur)</w:t>
      </w:r>
      <w:r w:rsidR="00AF3C34" w:rsidRPr="00FB1598">
        <w:rPr>
          <w:rFonts w:ascii="Times New Roman" w:hAnsi="Times New Roman" w:cs="Times New Roman"/>
          <w:i/>
          <w:sz w:val="24"/>
          <w:szCs w:val="24"/>
        </w:rPr>
        <w:t xml:space="preserve">, </w:t>
      </w:r>
      <w:r w:rsidR="00AF3C34" w:rsidRPr="00FB1598">
        <w:rPr>
          <w:rFonts w:ascii="Times New Roman" w:hAnsi="Times New Roman" w:cs="Times New Roman"/>
          <w:sz w:val="24"/>
          <w:szCs w:val="24"/>
        </w:rPr>
        <w:t xml:space="preserve">kde boli </w:t>
      </w:r>
      <w:r w:rsidR="00FB551F" w:rsidRPr="00FB1598">
        <w:rPr>
          <w:rFonts w:ascii="Times New Roman" w:hAnsi="Times New Roman" w:cs="Times New Roman"/>
          <w:sz w:val="24"/>
          <w:szCs w:val="24"/>
        </w:rPr>
        <w:t>rozpočtové výdavky čerpané na podporu útlmu rudného a </w:t>
      </w:r>
      <w:r w:rsidR="00831666">
        <w:rPr>
          <w:rFonts w:ascii="Times New Roman" w:hAnsi="Times New Roman" w:cs="Times New Roman"/>
          <w:sz w:val="24"/>
          <w:szCs w:val="24"/>
        </w:rPr>
        <w:t xml:space="preserve"> </w:t>
      </w:r>
      <w:r w:rsidR="00FB551F" w:rsidRPr="00FB1598">
        <w:rPr>
          <w:rFonts w:ascii="Times New Roman" w:hAnsi="Times New Roman" w:cs="Times New Roman"/>
          <w:sz w:val="24"/>
          <w:szCs w:val="24"/>
        </w:rPr>
        <w:t>uhoľného baníctva</w:t>
      </w:r>
      <w:r w:rsidR="00FB1598" w:rsidRPr="00FB1598">
        <w:rPr>
          <w:rFonts w:ascii="Times New Roman" w:hAnsi="Times New Roman" w:cs="Times New Roman"/>
          <w:sz w:val="24"/>
          <w:szCs w:val="24"/>
        </w:rPr>
        <w:t xml:space="preserve"> a  na zabezpečenie starých banských diel.</w:t>
      </w:r>
      <w:r w:rsidR="00FB551F" w:rsidRPr="00FB1598">
        <w:rPr>
          <w:rFonts w:ascii="Times New Roman" w:hAnsi="Times New Roman" w:cs="Times New Roman"/>
          <w:sz w:val="24"/>
          <w:szCs w:val="24"/>
        </w:rPr>
        <w:t xml:space="preserve"> </w:t>
      </w:r>
      <w:r w:rsidR="006D5359">
        <w:rPr>
          <w:rFonts w:ascii="Times New Roman" w:hAnsi="Times New Roman" w:cs="Times New Roman"/>
          <w:color w:val="000000"/>
          <w:sz w:val="24"/>
          <w:szCs w:val="24"/>
        </w:rPr>
        <w:t xml:space="preserve">Taktiež v uvedenej funkčnej klasifikácii boli čerpané výdavky na </w:t>
      </w:r>
      <w:r w:rsidR="006D5359">
        <w:rPr>
          <w:rFonts w:ascii="Times New Roman" w:hAnsi="Times New Roman" w:cs="Times New Roman"/>
          <w:sz w:val="24"/>
          <w:szCs w:val="24"/>
        </w:rPr>
        <w:t>Op</w:t>
      </w:r>
      <w:r w:rsidR="0059179B">
        <w:rPr>
          <w:rFonts w:ascii="Times New Roman" w:hAnsi="Times New Roman" w:cs="Times New Roman"/>
          <w:sz w:val="24"/>
          <w:szCs w:val="24"/>
        </w:rPr>
        <w:t>a</w:t>
      </w:r>
      <w:r w:rsidR="006D5359">
        <w:rPr>
          <w:rFonts w:ascii="Times New Roman" w:hAnsi="Times New Roman" w:cs="Times New Roman"/>
          <w:sz w:val="24"/>
          <w:szCs w:val="24"/>
        </w:rPr>
        <w:t>trenie 2.1. OP KaHR</w:t>
      </w:r>
      <w:r w:rsidR="005246AF">
        <w:rPr>
          <w:rFonts w:ascii="Times New Roman" w:hAnsi="Times New Roman" w:cs="Times New Roman"/>
          <w:sz w:val="24"/>
          <w:szCs w:val="24"/>
        </w:rPr>
        <w:t xml:space="preserve"> </w:t>
      </w:r>
      <w:r w:rsidR="005246AF" w:rsidRPr="005246AF">
        <w:rPr>
          <w:rFonts w:ascii="Times New Roman" w:hAnsi="Times New Roman" w:cs="Times New Roman"/>
          <w:sz w:val="24"/>
          <w:szCs w:val="24"/>
        </w:rPr>
        <w:t xml:space="preserve">v celkovej </w:t>
      </w:r>
      <w:r w:rsidR="00A44996">
        <w:rPr>
          <w:rFonts w:ascii="Times New Roman" w:hAnsi="Times New Roman" w:cs="Times New Roman"/>
          <w:sz w:val="24"/>
          <w:szCs w:val="24"/>
        </w:rPr>
        <w:t>sume</w:t>
      </w:r>
      <w:r w:rsidR="005246AF">
        <w:rPr>
          <w:rFonts w:ascii="Times New Roman" w:hAnsi="Times New Roman" w:cs="Times New Roman"/>
          <w:sz w:val="24"/>
          <w:szCs w:val="24"/>
        </w:rPr>
        <w:t xml:space="preserve"> </w:t>
      </w:r>
      <w:r w:rsidR="005246AF" w:rsidRPr="007F468E">
        <w:rPr>
          <w:rFonts w:ascii="Times New Roman" w:hAnsi="Times New Roman" w:cs="Times New Roman"/>
          <w:sz w:val="24"/>
          <w:szCs w:val="24"/>
        </w:rPr>
        <w:t>7</w:t>
      </w:r>
      <w:r w:rsidR="009C1C25">
        <w:rPr>
          <w:rFonts w:ascii="Times New Roman" w:hAnsi="Times New Roman" w:cs="Times New Roman"/>
          <w:sz w:val="24"/>
          <w:szCs w:val="24"/>
        </w:rPr>
        <w:t>6 868 571,11</w:t>
      </w:r>
      <w:r w:rsidR="005246AF" w:rsidRPr="007F468E">
        <w:rPr>
          <w:rFonts w:ascii="Times New Roman" w:hAnsi="Times New Roman" w:cs="Times New Roman"/>
          <w:sz w:val="24"/>
          <w:szCs w:val="24"/>
        </w:rPr>
        <w:t xml:space="preserve"> eur</w:t>
      </w:r>
      <w:r w:rsidR="006D5359" w:rsidRPr="007F468E">
        <w:rPr>
          <w:rFonts w:ascii="Times New Roman" w:hAnsi="Times New Roman" w:cs="Times New Roman"/>
          <w:sz w:val="24"/>
          <w:szCs w:val="24"/>
          <w:lang w:eastAsia="sk-SK"/>
        </w:rPr>
        <w:t>.</w:t>
      </w:r>
    </w:p>
    <w:p w:rsidR="005246AF" w:rsidRDefault="00861A30" w:rsidP="00E81F99">
      <w:pPr>
        <w:numPr>
          <w:ilvl w:val="1"/>
          <w:numId w:val="20"/>
        </w:numPr>
        <w:autoSpaceDE w:val="0"/>
        <w:autoSpaceDN w:val="0"/>
        <w:adjustRightInd w:val="0"/>
        <w:spacing w:before="240" w:after="0" w:line="240" w:lineRule="auto"/>
        <w:ind w:left="567" w:hanging="567"/>
        <w:jc w:val="both"/>
        <w:rPr>
          <w:rFonts w:ascii="Times New Roman" w:hAnsi="Times New Roman" w:cs="Times New Roman"/>
          <w:i/>
          <w:sz w:val="24"/>
          <w:szCs w:val="24"/>
        </w:rPr>
      </w:pPr>
      <w:r w:rsidRPr="00E81F99">
        <w:rPr>
          <w:rFonts w:ascii="Times New Roman" w:hAnsi="Times New Roman" w:cs="Times New Roman"/>
          <w:i/>
          <w:sz w:val="24"/>
          <w:szCs w:val="24"/>
        </w:rPr>
        <w:t xml:space="preserve">Ťažba, výroba a výstavba, </w:t>
      </w:r>
      <w:r w:rsidR="00AD3A21" w:rsidRPr="00E81F99">
        <w:rPr>
          <w:rFonts w:ascii="Times New Roman" w:hAnsi="Times New Roman" w:cs="Times New Roman"/>
          <w:sz w:val="24"/>
          <w:szCs w:val="24"/>
        </w:rPr>
        <w:t>kde boli čerpané výdavky Hlavného banského úradu</w:t>
      </w:r>
      <w:r w:rsidR="008C6874">
        <w:rPr>
          <w:rFonts w:ascii="Times New Roman" w:hAnsi="Times New Roman" w:cs="Times New Roman"/>
          <w:sz w:val="24"/>
          <w:szCs w:val="24"/>
        </w:rPr>
        <w:t xml:space="preserve"> v sume </w:t>
      </w:r>
      <w:r w:rsidR="00AD3A21" w:rsidRPr="00E81F99">
        <w:rPr>
          <w:rFonts w:ascii="Times New Roman" w:hAnsi="Times New Roman" w:cs="Times New Roman"/>
          <w:i/>
          <w:sz w:val="24"/>
          <w:szCs w:val="24"/>
          <w:lang w:eastAsia="sk-SK"/>
        </w:rPr>
        <w:t>1 426 3</w:t>
      </w:r>
      <w:r w:rsidR="00036FF0">
        <w:rPr>
          <w:rFonts w:ascii="Times New Roman" w:hAnsi="Times New Roman" w:cs="Times New Roman"/>
          <w:i/>
          <w:sz w:val="24"/>
          <w:szCs w:val="24"/>
          <w:lang w:eastAsia="sk-SK"/>
        </w:rPr>
        <w:t>81</w:t>
      </w:r>
      <w:r w:rsidR="00AD3A21" w:rsidRPr="00E81F99">
        <w:rPr>
          <w:rFonts w:ascii="Times New Roman" w:hAnsi="Times New Roman" w:cs="Times New Roman"/>
          <w:i/>
          <w:sz w:val="24"/>
          <w:szCs w:val="24"/>
          <w:lang w:eastAsia="sk-SK"/>
        </w:rPr>
        <w:t>,</w:t>
      </w:r>
      <w:r w:rsidR="00036FF0">
        <w:rPr>
          <w:rFonts w:ascii="Times New Roman" w:hAnsi="Times New Roman" w:cs="Times New Roman"/>
          <w:i/>
          <w:sz w:val="24"/>
          <w:szCs w:val="24"/>
          <w:lang w:eastAsia="sk-SK"/>
        </w:rPr>
        <w:t>77</w:t>
      </w:r>
      <w:r w:rsidR="00AD3A21" w:rsidRPr="00E81F99">
        <w:rPr>
          <w:rFonts w:ascii="Times New Roman" w:hAnsi="Times New Roman" w:cs="Times New Roman"/>
          <w:i/>
          <w:sz w:val="24"/>
          <w:szCs w:val="24"/>
          <w:lang w:eastAsia="sk-SK"/>
        </w:rPr>
        <w:t xml:space="preserve"> eur.</w:t>
      </w:r>
    </w:p>
    <w:p w:rsidR="005246AF" w:rsidRPr="008C6874" w:rsidRDefault="005F6057" w:rsidP="008C6874">
      <w:pPr>
        <w:autoSpaceDE w:val="0"/>
        <w:autoSpaceDN w:val="0"/>
        <w:adjustRightInd w:val="0"/>
        <w:spacing w:before="240" w:after="0" w:line="240" w:lineRule="auto"/>
        <w:ind w:left="567" w:hanging="567"/>
        <w:jc w:val="both"/>
        <w:rPr>
          <w:rFonts w:ascii="Times New Roman" w:hAnsi="Times New Roman" w:cs="Times New Roman"/>
          <w:sz w:val="24"/>
          <w:szCs w:val="24"/>
          <w:lang w:eastAsia="sk-SK"/>
        </w:rPr>
      </w:pPr>
      <w:r w:rsidRPr="00E81F99">
        <w:rPr>
          <w:rFonts w:ascii="Times New Roman" w:hAnsi="Times New Roman" w:cs="Times New Roman"/>
          <w:i/>
          <w:sz w:val="24"/>
          <w:szCs w:val="24"/>
        </w:rPr>
        <w:t xml:space="preserve">04.7 </w:t>
      </w:r>
      <w:r w:rsidR="005246AF" w:rsidRPr="00E81F99">
        <w:rPr>
          <w:rFonts w:ascii="Times New Roman" w:hAnsi="Times New Roman" w:cs="Times New Roman"/>
          <w:i/>
          <w:sz w:val="24"/>
          <w:szCs w:val="24"/>
        </w:rPr>
        <w:t>Ostatné odvetvia,</w:t>
      </w:r>
      <w:r w:rsidR="005246AF" w:rsidRPr="00E81F99">
        <w:rPr>
          <w:rFonts w:ascii="Times New Roman" w:hAnsi="Times New Roman" w:cs="Times New Roman"/>
          <w:sz w:val="24"/>
          <w:szCs w:val="24"/>
        </w:rPr>
        <w:t xml:space="preserve"> kde </w:t>
      </w:r>
      <w:r w:rsidR="005246AF" w:rsidRPr="00E81F99">
        <w:rPr>
          <w:rFonts w:ascii="Times New Roman" w:hAnsi="Times New Roman" w:cs="Times New Roman"/>
          <w:color w:val="000000"/>
          <w:sz w:val="24"/>
          <w:szCs w:val="24"/>
        </w:rPr>
        <w:t xml:space="preserve">boli čerpané výdavky na </w:t>
      </w:r>
      <w:r w:rsidR="00891712" w:rsidRPr="00E81F99">
        <w:rPr>
          <w:rFonts w:ascii="Times New Roman" w:hAnsi="Times New Roman" w:cs="Times New Roman"/>
          <w:sz w:val="24"/>
          <w:szCs w:val="24"/>
        </w:rPr>
        <w:t>Op</w:t>
      </w:r>
      <w:r w:rsidR="00891712">
        <w:rPr>
          <w:rFonts w:ascii="Times New Roman" w:hAnsi="Times New Roman" w:cs="Times New Roman"/>
          <w:sz w:val="24"/>
          <w:szCs w:val="24"/>
        </w:rPr>
        <w:t>a</w:t>
      </w:r>
      <w:r w:rsidR="00891712" w:rsidRPr="00E81F99">
        <w:rPr>
          <w:rFonts w:ascii="Times New Roman" w:hAnsi="Times New Roman" w:cs="Times New Roman"/>
          <w:sz w:val="24"/>
          <w:szCs w:val="24"/>
        </w:rPr>
        <w:t>trenie 3.</w:t>
      </w:r>
      <w:r w:rsidR="00891712">
        <w:rPr>
          <w:rFonts w:ascii="Times New Roman" w:hAnsi="Times New Roman" w:cs="Times New Roman"/>
          <w:sz w:val="24"/>
          <w:szCs w:val="24"/>
        </w:rPr>
        <w:t>1</w:t>
      </w:r>
      <w:r w:rsidR="00891712" w:rsidRPr="00E81F99">
        <w:rPr>
          <w:rFonts w:ascii="Times New Roman" w:hAnsi="Times New Roman" w:cs="Times New Roman"/>
          <w:sz w:val="24"/>
          <w:szCs w:val="24"/>
        </w:rPr>
        <w:t xml:space="preserve">. </w:t>
      </w:r>
      <w:r w:rsidR="00891712">
        <w:rPr>
          <w:rFonts w:ascii="Times New Roman" w:hAnsi="Times New Roman" w:cs="Times New Roman"/>
          <w:sz w:val="24"/>
          <w:szCs w:val="24"/>
        </w:rPr>
        <w:t xml:space="preserve">OP KaHR a </w:t>
      </w:r>
      <w:r w:rsidR="005246AF" w:rsidRPr="00E81F99">
        <w:rPr>
          <w:rFonts w:ascii="Times New Roman" w:hAnsi="Times New Roman" w:cs="Times New Roman"/>
          <w:sz w:val="24"/>
          <w:szCs w:val="24"/>
        </w:rPr>
        <w:t>Op</w:t>
      </w:r>
      <w:r w:rsidR="0059179B">
        <w:rPr>
          <w:rFonts w:ascii="Times New Roman" w:hAnsi="Times New Roman" w:cs="Times New Roman"/>
          <w:sz w:val="24"/>
          <w:szCs w:val="24"/>
        </w:rPr>
        <w:t>a</w:t>
      </w:r>
      <w:r w:rsidR="005246AF" w:rsidRPr="00E81F99">
        <w:rPr>
          <w:rFonts w:ascii="Times New Roman" w:hAnsi="Times New Roman" w:cs="Times New Roman"/>
          <w:sz w:val="24"/>
          <w:szCs w:val="24"/>
        </w:rPr>
        <w:t xml:space="preserve">trenie 3.2. OP KaHR v celkovej </w:t>
      </w:r>
      <w:r w:rsidR="008C6874">
        <w:rPr>
          <w:rFonts w:ascii="Times New Roman" w:hAnsi="Times New Roman" w:cs="Times New Roman"/>
          <w:sz w:val="24"/>
          <w:szCs w:val="24"/>
        </w:rPr>
        <w:t>sume</w:t>
      </w:r>
      <w:r w:rsidR="00CE2686" w:rsidRPr="00E81F99">
        <w:rPr>
          <w:rFonts w:ascii="Times New Roman" w:hAnsi="Times New Roman" w:cs="Times New Roman"/>
          <w:sz w:val="24"/>
          <w:szCs w:val="24"/>
        </w:rPr>
        <w:t xml:space="preserve"> </w:t>
      </w:r>
      <w:r w:rsidR="008C6874" w:rsidRPr="008C6874">
        <w:rPr>
          <w:rFonts w:ascii="Times New Roman" w:hAnsi="Times New Roman" w:cs="Times New Roman"/>
          <w:i/>
          <w:sz w:val="24"/>
          <w:szCs w:val="24"/>
          <w:lang w:eastAsia="sk-SK"/>
        </w:rPr>
        <w:t>35 334 951,44</w:t>
      </w:r>
      <w:r w:rsidR="008C6874">
        <w:rPr>
          <w:rFonts w:ascii="Times New Roman" w:hAnsi="Times New Roman" w:cs="Times New Roman"/>
          <w:sz w:val="24"/>
          <w:szCs w:val="24"/>
          <w:lang w:eastAsia="sk-SK"/>
        </w:rPr>
        <w:t xml:space="preserve"> </w:t>
      </w:r>
      <w:r w:rsidR="005246AF" w:rsidRPr="00E81F99">
        <w:rPr>
          <w:rFonts w:ascii="Times New Roman" w:hAnsi="Times New Roman" w:cs="Times New Roman"/>
          <w:i/>
          <w:sz w:val="24"/>
          <w:szCs w:val="24"/>
          <w:lang w:eastAsia="sk-SK"/>
        </w:rPr>
        <w:t>eur.</w:t>
      </w:r>
    </w:p>
    <w:p w:rsidR="00E049C1" w:rsidRPr="00E81F99" w:rsidRDefault="005F6057" w:rsidP="00E81F99">
      <w:pPr>
        <w:autoSpaceDE w:val="0"/>
        <w:autoSpaceDN w:val="0"/>
        <w:adjustRightInd w:val="0"/>
        <w:spacing w:before="240" w:after="0" w:line="240" w:lineRule="auto"/>
        <w:ind w:left="567" w:hanging="567"/>
        <w:jc w:val="both"/>
        <w:rPr>
          <w:rFonts w:ascii="Times New Roman" w:hAnsi="Times New Roman" w:cs="Times New Roman"/>
          <w:i/>
          <w:sz w:val="24"/>
          <w:szCs w:val="24"/>
          <w:lang w:eastAsia="sk-SK"/>
        </w:rPr>
      </w:pPr>
      <w:r w:rsidRPr="00E81F99">
        <w:rPr>
          <w:rFonts w:ascii="Times New Roman" w:hAnsi="Times New Roman" w:cs="Times New Roman"/>
          <w:i/>
          <w:sz w:val="24"/>
          <w:szCs w:val="24"/>
          <w:lang w:eastAsia="sk-SK"/>
        </w:rPr>
        <w:t xml:space="preserve">04.8 </w:t>
      </w:r>
      <w:r w:rsidR="00FF7FC4" w:rsidRPr="00E81F99">
        <w:rPr>
          <w:rFonts w:ascii="Times New Roman" w:hAnsi="Times New Roman" w:cs="Times New Roman"/>
          <w:i/>
          <w:sz w:val="24"/>
          <w:szCs w:val="24"/>
          <w:lang w:eastAsia="sk-SK"/>
        </w:rPr>
        <w:t xml:space="preserve">Výskum a vývoj v ekonomickej oblasti, </w:t>
      </w:r>
      <w:r w:rsidR="00FF7FC4" w:rsidRPr="00E81F99">
        <w:rPr>
          <w:rFonts w:ascii="Times New Roman" w:hAnsi="Times New Roman" w:cs="Times New Roman"/>
          <w:sz w:val="24"/>
          <w:szCs w:val="24"/>
        </w:rPr>
        <w:t xml:space="preserve">kde boli čerpané výdavky na podporu inovačných projektov v rezorte MH SR vo výške </w:t>
      </w:r>
      <w:r w:rsidR="00C718B5" w:rsidRPr="00C718B5">
        <w:rPr>
          <w:rFonts w:ascii="Times New Roman" w:hAnsi="Times New Roman" w:cs="Times New Roman"/>
          <w:i/>
          <w:sz w:val="24"/>
          <w:szCs w:val="24"/>
        </w:rPr>
        <w:t>480 792,99</w:t>
      </w:r>
      <w:r w:rsidR="00FF7FC4" w:rsidRPr="00E81F99">
        <w:rPr>
          <w:rFonts w:ascii="Times New Roman" w:hAnsi="Times New Roman" w:cs="Times New Roman"/>
          <w:i/>
          <w:sz w:val="24"/>
          <w:szCs w:val="24"/>
        </w:rPr>
        <w:t xml:space="preserve"> eur.</w:t>
      </w:r>
    </w:p>
    <w:p w:rsidR="00C718B5" w:rsidRPr="00C718B5" w:rsidRDefault="00DD68FB" w:rsidP="00C718B5">
      <w:pPr>
        <w:numPr>
          <w:ilvl w:val="1"/>
          <w:numId w:val="21"/>
        </w:numPr>
        <w:autoSpaceDE w:val="0"/>
        <w:autoSpaceDN w:val="0"/>
        <w:adjustRightInd w:val="0"/>
        <w:spacing w:before="240" w:after="0" w:line="240" w:lineRule="auto"/>
        <w:ind w:left="567" w:hanging="567"/>
        <w:jc w:val="both"/>
        <w:rPr>
          <w:rFonts w:ascii="Times New Roman" w:hAnsi="Times New Roman" w:cs="Times New Roman"/>
          <w:i/>
          <w:sz w:val="24"/>
          <w:szCs w:val="24"/>
        </w:rPr>
      </w:pPr>
      <w:r w:rsidRPr="00E81F99">
        <w:rPr>
          <w:rFonts w:ascii="Times New Roman" w:hAnsi="Times New Roman" w:cs="Times New Roman"/>
          <w:i/>
          <w:sz w:val="24"/>
          <w:szCs w:val="24"/>
        </w:rPr>
        <w:t>Ekonomická oblasť inde neklasifikovaná</w:t>
      </w:r>
      <w:r w:rsidR="00CE2686" w:rsidRPr="00E81F99">
        <w:rPr>
          <w:rFonts w:ascii="Times New Roman" w:hAnsi="Times New Roman" w:cs="Times New Roman"/>
          <w:i/>
          <w:sz w:val="24"/>
          <w:szCs w:val="24"/>
        </w:rPr>
        <w:t xml:space="preserve"> (</w:t>
      </w:r>
      <w:r w:rsidR="00C718B5">
        <w:rPr>
          <w:rFonts w:ascii="Times New Roman" w:hAnsi="Times New Roman" w:cs="Times New Roman"/>
          <w:i/>
          <w:sz w:val="24"/>
          <w:szCs w:val="24"/>
        </w:rPr>
        <w:t>2 710 500,50</w:t>
      </w:r>
      <w:r w:rsidR="00CE2686" w:rsidRPr="00E81F99">
        <w:rPr>
          <w:rFonts w:ascii="Times New Roman" w:hAnsi="Times New Roman" w:cs="Times New Roman"/>
          <w:i/>
          <w:sz w:val="24"/>
          <w:szCs w:val="24"/>
        </w:rPr>
        <w:t xml:space="preserve"> eur)</w:t>
      </w:r>
      <w:r w:rsidRPr="00E81F99">
        <w:rPr>
          <w:rFonts w:ascii="Times New Roman" w:hAnsi="Times New Roman" w:cs="Times New Roman"/>
          <w:i/>
          <w:sz w:val="24"/>
          <w:szCs w:val="24"/>
        </w:rPr>
        <w:t>,</w:t>
      </w:r>
      <w:r w:rsidR="00C718B5">
        <w:rPr>
          <w:rFonts w:ascii="Times New Roman" w:hAnsi="Times New Roman" w:cs="Times New Roman"/>
          <w:i/>
          <w:sz w:val="24"/>
          <w:szCs w:val="24"/>
        </w:rPr>
        <w:t xml:space="preserve"> </w:t>
      </w:r>
      <w:r w:rsidR="00C718B5">
        <w:rPr>
          <w:rFonts w:ascii="Times New Roman" w:hAnsi="Times New Roman" w:cs="Times New Roman"/>
          <w:sz w:val="24"/>
          <w:szCs w:val="24"/>
        </w:rPr>
        <w:t xml:space="preserve">v rámci ktorej boli čerpané výdavky </w:t>
      </w:r>
      <w:r w:rsidR="00C718B5" w:rsidRPr="00E81F99">
        <w:rPr>
          <w:rFonts w:ascii="Times New Roman" w:hAnsi="Times New Roman" w:cs="Times New Roman"/>
          <w:sz w:val="24"/>
          <w:szCs w:val="24"/>
        </w:rPr>
        <w:t>na monitoring a výskum malého a stredného podnikania, prostriedky  na poradenské a vzdelávacie služby pre budúcich podnikateľov a záujemcov o podnikanie, na podporu podnikania žien, na podporu startupov a podporu internetovej ekonomiky</w:t>
      </w:r>
      <w:r w:rsidR="00C718B5">
        <w:rPr>
          <w:rFonts w:ascii="Times New Roman" w:hAnsi="Times New Roman" w:cs="Times New Roman"/>
          <w:sz w:val="24"/>
          <w:szCs w:val="24"/>
        </w:rPr>
        <w:t xml:space="preserve"> v celkovej sume 2 585 000,00 eur. Zároveň tu boli čerpané prostriedky EÚ vo forme úhrad za povinné príspevky do technických sekretariátov EÚ v celkovej sume 125 500,50 eur.</w:t>
      </w:r>
    </w:p>
    <w:p w:rsidR="00BB158F" w:rsidRDefault="00BB158F" w:rsidP="00BB158F">
      <w:pPr>
        <w:autoSpaceDE w:val="0"/>
        <w:autoSpaceDN w:val="0"/>
        <w:adjustRightInd w:val="0"/>
        <w:spacing w:after="0" w:line="240" w:lineRule="auto"/>
        <w:jc w:val="both"/>
        <w:rPr>
          <w:rFonts w:ascii="Times New Roman" w:hAnsi="Times New Roman" w:cs="Times New Roman"/>
          <w:sz w:val="24"/>
          <w:szCs w:val="24"/>
        </w:rPr>
      </w:pPr>
    </w:p>
    <w:p w:rsidR="00036FF0" w:rsidRDefault="00BB158F" w:rsidP="00BD2B5C">
      <w:pPr>
        <w:autoSpaceDE w:val="0"/>
        <w:autoSpaceDN w:val="0"/>
        <w:adjustRightInd w:val="0"/>
        <w:spacing w:after="0" w:line="240" w:lineRule="auto"/>
        <w:jc w:val="both"/>
        <w:rPr>
          <w:rFonts w:ascii="Times New Roman" w:hAnsi="Times New Roman" w:cs="Times New Roman"/>
          <w:sz w:val="24"/>
          <w:szCs w:val="24"/>
          <w:lang w:eastAsia="sk-SK"/>
        </w:rPr>
      </w:pPr>
      <w:r w:rsidRPr="00E81F99">
        <w:rPr>
          <w:rFonts w:ascii="Times New Roman" w:hAnsi="Times New Roman" w:cs="Times New Roman"/>
          <w:sz w:val="24"/>
          <w:szCs w:val="24"/>
        </w:rPr>
        <w:t xml:space="preserve">V rámci funkčnej klasifikácie </w:t>
      </w:r>
      <w:r w:rsidRPr="00BB158F">
        <w:rPr>
          <w:rFonts w:ascii="Times New Roman" w:eastAsia="Times New Roman" w:hAnsi="Times New Roman"/>
          <w:i/>
          <w:sz w:val="24"/>
          <w:szCs w:val="24"/>
        </w:rPr>
        <w:t>05 – Ochrana životného prostredia</w:t>
      </w:r>
      <w:r w:rsidR="00036FF0">
        <w:rPr>
          <w:rFonts w:ascii="Times New Roman" w:eastAsia="Times New Roman" w:hAnsi="Times New Roman"/>
          <w:i/>
          <w:sz w:val="24"/>
          <w:szCs w:val="24"/>
        </w:rPr>
        <w:t xml:space="preserve"> </w:t>
      </w:r>
      <w:r w:rsidR="00036FF0">
        <w:rPr>
          <w:rFonts w:ascii="Times New Roman" w:eastAsia="Times New Roman" w:hAnsi="Times New Roman"/>
          <w:sz w:val="24"/>
          <w:szCs w:val="24"/>
        </w:rPr>
        <w:t xml:space="preserve">boli rozpočtové prostriedky čerpané v sume </w:t>
      </w:r>
      <w:r w:rsidR="00036FF0">
        <w:rPr>
          <w:rFonts w:ascii="Times New Roman" w:hAnsi="Times New Roman" w:cs="Times New Roman"/>
          <w:sz w:val="24"/>
          <w:szCs w:val="24"/>
          <w:lang w:eastAsia="sk-SK"/>
        </w:rPr>
        <w:t xml:space="preserve">67 490 048,69 eur. </w:t>
      </w:r>
    </w:p>
    <w:p w:rsidR="00036FF0" w:rsidRDefault="00036FF0" w:rsidP="00BD2B5C">
      <w:pPr>
        <w:autoSpaceDE w:val="0"/>
        <w:autoSpaceDN w:val="0"/>
        <w:adjustRightInd w:val="0"/>
        <w:spacing w:after="0" w:line="240" w:lineRule="auto"/>
        <w:ind w:firstLine="567"/>
        <w:jc w:val="both"/>
        <w:rPr>
          <w:rFonts w:ascii="Times New Roman" w:hAnsi="Times New Roman" w:cs="Times New Roman"/>
          <w:sz w:val="24"/>
          <w:szCs w:val="24"/>
        </w:rPr>
      </w:pPr>
      <w:r w:rsidRPr="00B143FD">
        <w:rPr>
          <w:rFonts w:ascii="Times New Roman" w:hAnsi="Times New Roman" w:cs="Times New Roman"/>
          <w:sz w:val="24"/>
          <w:szCs w:val="24"/>
        </w:rPr>
        <w:t xml:space="preserve">Národnému jadrovému fondu bol poskytnutý bežný transfer v sume </w:t>
      </w:r>
      <w:r w:rsidR="00B143FD" w:rsidRPr="00B143FD">
        <w:rPr>
          <w:rFonts w:ascii="Times New Roman" w:hAnsi="Times New Roman" w:cs="Times New Roman"/>
          <w:sz w:val="24"/>
          <w:szCs w:val="24"/>
        </w:rPr>
        <w:t xml:space="preserve">67 334 577,75 </w:t>
      </w:r>
      <w:r w:rsidRPr="00B143FD">
        <w:rPr>
          <w:rFonts w:ascii="Times New Roman" w:hAnsi="Times New Roman" w:cs="Times New Roman"/>
          <w:sz w:val="24"/>
          <w:szCs w:val="24"/>
        </w:rPr>
        <w:t>eur a tiež rozpočtové  prostriedky na prefinancovanie zachytených rádioaktívnych materiálov od neznámych vlastníkov</w:t>
      </w:r>
      <w:r w:rsidR="00B143FD" w:rsidRPr="00B143FD">
        <w:rPr>
          <w:rFonts w:ascii="Times New Roman" w:hAnsi="Times New Roman" w:cs="Times New Roman"/>
          <w:sz w:val="24"/>
          <w:szCs w:val="24"/>
        </w:rPr>
        <w:t xml:space="preserve"> v sume 146 520,94 eur</w:t>
      </w:r>
      <w:r w:rsidRPr="00B143FD">
        <w:rPr>
          <w:rFonts w:ascii="Times New Roman" w:hAnsi="Times New Roman" w:cs="Times New Roman"/>
          <w:sz w:val="24"/>
          <w:szCs w:val="24"/>
        </w:rPr>
        <w:t>.</w:t>
      </w:r>
    </w:p>
    <w:p w:rsidR="00B143FD" w:rsidRPr="00B143FD" w:rsidRDefault="00B143FD" w:rsidP="00BD2B5C">
      <w:pPr>
        <w:pStyle w:val="Zkladntext2"/>
        <w:spacing w:line="240" w:lineRule="auto"/>
        <w:ind w:firstLine="567"/>
        <w:jc w:val="both"/>
        <w:rPr>
          <w:rFonts w:ascii="Times New Roman" w:hAnsi="Times New Roman" w:cs="Times New Roman"/>
          <w:sz w:val="24"/>
          <w:szCs w:val="24"/>
        </w:rPr>
      </w:pPr>
      <w:r w:rsidRPr="00B143FD">
        <w:rPr>
          <w:rFonts w:ascii="Times New Roman" w:hAnsi="Times New Roman" w:cs="Times New Roman"/>
          <w:sz w:val="24"/>
          <w:szCs w:val="24"/>
        </w:rPr>
        <w:t xml:space="preserve">Z prostriedkov Kohézneho fondu v sume 8 950,00 eur boli čerpané  výdavky </w:t>
      </w:r>
      <w:r>
        <w:rPr>
          <w:rFonts w:ascii="Times New Roman" w:hAnsi="Times New Roman" w:cs="Times New Roman"/>
          <w:sz w:val="24"/>
          <w:szCs w:val="24"/>
        </w:rPr>
        <w:t>na</w:t>
      </w:r>
      <w:r w:rsidRPr="00B143FD">
        <w:rPr>
          <w:rFonts w:ascii="Times New Roman" w:hAnsi="Times New Roman" w:cs="Times New Roman"/>
          <w:sz w:val="24"/>
          <w:szCs w:val="24"/>
        </w:rPr>
        <w:t xml:space="preserve"> nákup zberných nádob v rámci Operačného programu Životné prostredie so zameraním na podporu aktivít v oblasti separovaného zberu</w:t>
      </w:r>
      <w:r>
        <w:rPr>
          <w:rFonts w:ascii="Times New Roman" w:hAnsi="Times New Roman" w:cs="Times New Roman"/>
          <w:sz w:val="24"/>
          <w:szCs w:val="24"/>
        </w:rPr>
        <w:t>.</w:t>
      </w:r>
    </w:p>
    <w:p w:rsidR="00035112" w:rsidRPr="00E81F99" w:rsidRDefault="009F401B" w:rsidP="00C84A44">
      <w:pPr>
        <w:autoSpaceDE w:val="0"/>
        <w:autoSpaceDN w:val="0"/>
        <w:adjustRightInd w:val="0"/>
        <w:spacing w:after="0" w:line="240" w:lineRule="auto"/>
        <w:jc w:val="both"/>
        <w:rPr>
          <w:rFonts w:ascii="Times New Roman" w:hAnsi="Times New Roman" w:cs="Times New Roman"/>
          <w:sz w:val="24"/>
          <w:szCs w:val="24"/>
          <w:lang w:eastAsia="sk-SK"/>
        </w:rPr>
      </w:pPr>
      <w:r w:rsidRPr="00E81F99">
        <w:rPr>
          <w:rFonts w:ascii="Times New Roman" w:hAnsi="Times New Roman" w:cs="Times New Roman"/>
          <w:sz w:val="24"/>
          <w:szCs w:val="24"/>
        </w:rPr>
        <w:t xml:space="preserve">V rámci funkčnej klasifikácie </w:t>
      </w:r>
      <w:r w:rsidRPr="00E81F99">
        <w:rPr>
          <w:rFonts w:ascii="Times New Roman" w:hAnsi="Times New Roman" w:cs="Times New Roman"/>
          <w:i/>
          <w:sz w:val="24"/>
          <w:szCs w:val="24"/>
        </w:rPr>
        <w:t>06 – Bývanie a občianska  vybavenosť</w:t>
      </w:r>
      <w:r w:rsidRPr="00E81F99">
        <w:rPr>
          <w:rFonts w:ascii="Times New Roman" w:hAnsi="Times New Roman" w:cs="Times New Roman"/>
          <w:sz w:val="24"/>
          <w:szCs w:val="24"/>
        </w:rPr>
        <w:t xml:space="preserve"> boli v rámci  Operačného programu Konkurencieschopnosť a hospodársky rast – opatrenie 2.2 Budovanie a modernizácia verejného osvetlenia pre mestá a obce a poskytovanie poradenstva v oblasti energetiky čerpané rozpočtové prostriedky </w:t>
      </w:r>
      <w:r w:rsidR="00C84A44">
        <w:rPr>
          <w:rFonts w:ascii="Times New Roman" w:hAnsi="Times New Roman" w:cs="Times New Roman"/>
          <w:sz w:val="24"/>
          <w:szCs w:val="24"/>
        </w:rPr>
        <w:t>v sume</w:t>
      </w:r>
      <w:r w:rsidRPr="00E81F99">
        <w:rPr>
          <w:rFonts w:ascii="Times New Roman" w:hAnsi="Times New Roman" w:cs="Times New Roman"/>
          <w:sz w:val="24"/>
          <w:szCs w:val="24"/>
        </w:rPr>
        <w:t xml:space="preserve"> </w:t>
      </w:r>
      <w:r w:rsidR="00C84A44">
        <w:rPr>
          <w:rFonts w:ascii="Times New Roman" w:hAnsi="Times New Roman" w:cs="Times New Roman"/>
          <w:sz w:val="24"/>
          <w:szCs w:val="24"/>
          <w:lang w:eastAsia="sk-SK"/>
        </w:rPr>
        <w:t xml:space="preserve">22 223 488,03 </w:t>
      </w:r>
      <w:r w:rsidR="00513137" w:rsidRPr="00E81F99">
        <w:rPr>
          <w:rFonts w:ascii="Times New Roman" w:hAnsi="Times New Roman" w:cs="Times New Roman"/>
          <w:sz w:val="24"/>
          <w:szCs w:val="24"/>
          <w:lang w:eastAsia="sk-SK"/>
        </w:rPr>
        <w:t>e</w:t>
      </w:r>
      <w:r w:rsidRPr="00E81F99">
        <w:rPr>
          <w:rFonts w:ascii="Times New Roman" w:hAnsi="Times New Roman" w:cs="Times New Roman"/>
          <w:sz w:val="24"/>
          <w:szCs w:val="24"/>
          <w:lang w:eastAsia="sk-SK"/>
        </w:rPr>
        <w:t>ur.</w:t>
      </w:r>
    </w:p>
    <w:p w:rsidR="00035112" w:rsidRPr="00E81F99" w:rsidRDefault="00035112" w:rsidP="00E81F99">
      <w:pPr>
        <w:autoSpaceDE w:val="0"/>
        <w:autoSpaceDN w:val="0"/>
        <w:adjustRightInd w:val="0"/>
        <w:spacing w:after="0" w:line="240" w:lineRule="auto"/>
        <w:jc w:val="both"/>
        <w:rPr>
          <w:rFonts w:ascii="Times New Roman" w:hAnsi="Times New Roman" w:cs="Times New Roman"/>
          <w:sz w:val="24"/>
          <w:szCs w:val="24"/>
        </w:rPr>
      </w:pPr>
    </w:p>
    <w:p w:rsidR="00F24DCB" w:rsidRPr="00E81F99" w:rsidRDefault="009F401B" w:rsidP="00DE20E8">
      <w:pPr>
        <w:autoSpaceDE w:val="0"/>
        <w:autoSpaceDN w:val="0"/>
        <w:adjustRightInd w:val="0"/>
        <w:spacing w:after="0" w:line="240" w:lineRule="auto"/>
        <w:jc w:val="both"/>
        <w:rPr>
          <w:rFonts w:ascii="Times New Roman" w:hAnsi="Times New Roman" w:cs="Times New Roman"/>
          <w:sz w:val="24"/>
          <w:szCs w:val="24"/>
          <w:lang w:eastAsia="sk-SK"/>
        </w:rPr>
      </w:pPr>
      <w:r w:rsidRPr="00E81F99">
        <w:rPr>
          <w:rFonts w:ascii="Times New Roman" w:hAnsi="Times New Roman" w:cs="Times New Roman"/>
          <w:sz w:val="24"/>
          <w:szCs w:val="24"/>
        </w:rPr>
        <w:t xml:space="preserve">V rámci funkčnej klasifikácie </w:t>
      </w:r>
      <w:r w:rsidRPr="00E81F99">
        <w:rPr>
          <w:rFonts w:ascii="Times New Roman" w:hAnsi="Times New Roman" w:cs="Times New Roman"/>
          <w:i/>
          <w:sz w:val="24"/>
          <w:szCs w:val="24"/>
        </w:rPr>
        <w:t xml:space="preserve">08 – Rekreácia, kultúra a náboženstvo </w:t>
      </w:r>
      <w:r w:rsidR="00C205EF" w:rsidRPr="00E81F99">
        <w:rPr>
          <w:rFonts w:ascii="Times New Roman" w:hAnsi="Times New Roman" w:cs="Times New Roman"/>
          <w:sz w:val="24"/>
          <w:szCs w:val="24"/>
        </w:rPr>
        <w:t>bol</w:t>
      </w:r>
      <w:r w:rsidR="00DE257F" w:rsidRPr="00E81F99">
        <w:rPr>
          <w:rFonts w:ascii="Times New Roman" w:hAnsi="Times New Roman" w:cs="Times New Roman"/>
          <w:sz w:val="24"/>
          <w:szCs w:val="24"/>
        </w:rPr>
        <w:t xml:space="preserve"> poskytnutý transfer </w:t>
      </w:r>
      <w:r w:rsidR="00C205EF" w:rsidRPr="00E81F99">
        <w:rPr>
          <w:rFonts w:ascii="Times New Roman" w:hAnsi="Times New Roman" w:cs="Times New Roman"/>
          <w:sz w:val="24"/>
          <w:szCs w:val="24"/>
        </w:rPr>
        <w:t>podriadenej</w:t>
      </w:r>
      <w:r w:rsidR="00DE257F" w:rsidRPr="00E81F99">
        <w:rPr>
          <w:rFonts w:ascii="Times New Roman" w:hAnsi="Times New Roman" w:cs="Times New Roman"/>
          <w:sz w:val="24"/>
          <w:szCs w:val="24"/>
        </w:rPr>
        <w:t xml:space="preserve"> príspevkovej </w:t>
      </w:r>
      <w:r w:rsidR="00C205EF" w:rsidRPr="00E81F99">
        <w:rPr>
          <w:rFonts w:ascii="Times New Roman" w:hAnsi="Times New Roman" w:cs="Times New Roman"/>
          <w:sz w:val="24"/>
          <w:szCs w:val="24"/>
        </w:rPr>
        <w:t>organizáci</w:t>
      </w:r>
      <w:r w:rsidR="00DE257F" w:rsidRPr="00E81F99">
        <w:rPr>
          <w:rFonts w:ascii="Times New Roman" w:hAnsi="Times New Roman" w:cs="Times New Roman"/>
          <w:sz w:val="24"/>
          <w:szCs w:val="24"/>
        </w:rPr>
        <w:t>i</w:t>
      </w:r>
      <w:r w:rsidR="00C205EF" w:rsidRPr="00E81F99">
        <w:rPr>
          <w:rFonts w:ascii="Times New Roman" w:hAnsi="Times New Roman" w:cs="Times New Roman"/>
          <w:sz w:val="24"/>
          <w:szCs w:val="24"/>
        </w:rPr>
        <w:t xml:space="preserve"> Múzeum obchodu</w:t>
      </w:r>
      <w:r w:rsidR="00DE257F" w:rsidRPr="00E81F99">
        <w:rPr>
          <w:rFonts w:ascii="Times New Roman" w:hAnsi="Times New Roman" w:cs="Times New Roman"/>
          <w:sz w:val="24"/>
          <w:szCs w:val="24"/>
        </w:rPr>
        <w:t xml:space="preserve"> </w:t>
      </w:r>
      <w:r w:rsidR="00733325">
        <w:rPr>
          <w:rFonts w:ascii="Times New Roman" w:hAnsi="Times New Roman" w:cs="Times New Roman"/>
          <w:sz w:val="24"/>
          <w:szCs w:val="24"/>
        </w:rPr>
        <w:t>v sume</w:t>
      </w:r>
      <w:r w:rsidR="00DE257F" w:rsidRPr="00E81F99">
        <w:rPr>
          <w:rFonts w:ascii="Times New Roman" w:hAnsi="Times New Roman" w:cs="Times New Roman"/>
          <w:sz w:val="24"/>
          <w:szCs w:val="24"/>
        </w:rPr>
        <w:t xml:space="preserve"> </w:t>
      </w:r>
      <w:r w:rsidR="00733325">
        <w:rPr>
          <w:rFonts w:ascii="Times New Roman" w:hAnsi="Times New Roman" w:cs="Times New Roman"/>
          <w:sz w:val="24"/>
          <w:szCs w:val="24"/>
          <w:lang w:eastAsia="sk-SK"/>
        </w:rPr>
        <w:t>1</w:t>
      </w:r>
      <w:r w:rsidR="00370144">
        <w:rPr>
          <w:rFonts w:ascii="Times New Roman" w:hAnsi="Times New Roman" w:cs="Times New Roman"/>
          <w:sz w:val="24"/>
          <w:szCs w:val="24"/>
          <w:lang w:eastAsia="sk-SK"/>
        </w:rPr>
        <w:t>5</w:t>
      </w:r>
      <w:r w:rsidR="00733325">
        <w:rPr>
          <w:rFonts w:ascii="Times New Roman" w:hAnsi="Times New Roman" w:cs="Times New Roman"/>
          <w:sz w:val="24"/>
          <w:szCs w:val="24"/>
          <w:lang w:eastAsia="sk-SK"/>
        </w:rPr>
        <w:t xml:space="preserve">4 781,00 </w:t>
      </w:r>
      <w:r w:rsidR="00DE257F" w:rsidRPr="00E81F99">
        <w:rPr>
          <w:rFonts w:ascii="Times New Roman" w:hAnsi="Times New Roman" w:cs="Times New Roman"/>
          <w:sz w:val="24"/>
          <w:szCs w:val="24"/>
        </w:rPr>
        <w:t>eur</w:t>
      </w:r>
      <w:r w:rsidR="00F24DCB" w:rsidRPr="00E81F99">
        <w:rPr>
          <w:rFonts w:ascii="Times New Roman" w:hAnsi="Times New Roman" w:cs="Times New Roman"/>
          <w:sz w:val="24"/>
          <w:szCs w:val="24"/>
        </w:rPr>
        <w:t xml:space="preserve"> a</w:t>
      </w:r>
      <w:r w:rsidR="00370144">
        <w:rPr>
          <w:rFonts w:ascii="Times New Roman" w:hAnsi="Times New Roman" w:cs="Times New Roman"/>
          <w:sz w:val="24"/>
          <w:szCs w:val="24"/>
        </w:rPr>
        <w:t xml:space="preserve"> taktiež </w:t>
      </w:r>
      <w:r w:rsidR="00F24DCB" w:rsidRPr="00E81F99">
        <w:rPr>
          <w:rFonts w:ascii="Times New Roman" w:hAnsi="Times New Roman" w:cs="Times New Roman"/>
          <w:sz w:val="24"/>
          <w:szCs w:val="24"/>
        </w:rPr>
        <w:t xml:space="preserve">boli čerpané výdavky súvisiace s platbami za monitoring tlače. V uvedenej funkčnej klasifikácii boli výdavky čerpané v celkovej </w:t>
      </w:r>
      <w:r w:rsidR="00370144">
        <w:rPr>
          <w:rFonts w:ascii="Times New Roman" w:hAnsi="Times New Roman" w:cs="Times New Roman"/>
          <w:sz w:val="24"/>
          <w:szCs w:val="24"/>
        </w:rPr>
        <w:t>sume</w:t>
      </w:r>
      <w:r w:rsidR="00F24DCB" w:rsidRPr="00E81F99">
        <w:rPr>
          <w:rFonts w:ascii="Times New Roman" w:hAnsi="Times New Roman" w:cs="Times New Roman"/>
          <w:sz w:val="24"/>
          <w:szCs w:val="24"/>
        </w:rPr>
        <w:t xml:space="preserve"> </w:t>
      </w:r>
      <w:r w:rsidR="00F24DCB" w:rsidRPr="00E81F99">
        <w:rPr>
          <w:rFonts w:ascii="Times New Roman" w:hAnsi="Times New Roman" w:cs="Times New Roman"/>
          <w:sz w:val="24"/>
          <w:szCs w:val="24"/>
          <w:lang w:eastAsia="sk-SK"/>
        </w:rPr>
        <w:t>199 473,69 eur.</w:t>
      </w:r>
    </w:p>
    <w:p w:rsidR="00DE257F" w:rsidRPr="00E81F99" w:rsidRDefault="00DE257F" w:rsidP="00DE20E8">
      <w:pPr>
        <w:autoSpaceDE w:val="0"/>
        <w:autoSpaceDN w:val="0"/>
        <w:adjustRightInd w:val="0"/>
        <w:spacing w:after="0" w:line="240" w:lineRule="auto"/>
        <w:jc w:val="both"/>
        <w:rPr>
          <w:rFonts w:ascii="Times New Roman" w:hAnsi="Times New Roman" w:cs="Times New Roman"/>
          <w:sz w:val="24"/>
          <w:szCs w:val="24"/>
        </w:rPr>
      </w:pPr>
    </w:p>
    <w:p w:rsidR="00C205EF" w:rsidRDefault="00C205EF" w:rsidP="00DE20E8">
      <w:pPr>
        <w:autoSpaceDE w:val="0"/>
        <w:autoSpaceDN w:val="0"/>
        <w:adjustRightInd w:val="0"/>
        <w:spacing w:after="0" w:line="240" w:lineRule="auto"/>
        <w:jc w:val="both"/>
        <w:rPr>
          <w:rFonts w:ascii="Times New Roman" w:hAnsi="Times New Roman" w:cs="Times New Roman"/>
          <w:sz w:val="24"/>
          <w:szCs w:val="24"/>
          <w:lang w:eastAsia="sk-SK"/>
        </w:rPr>
      </w:pPr>
      <w:r w:rsidRPr="00E81F99">
        <w:rPr>
          <w:rFonts w:ascii="Times New Roman" w:hAnsi="Times New Roman" w:cs="Times New Roman"/>
          <w:sz w:val="24"/>
          <w:szCs w:val="24"/>
        </w:rPr>
        <w:t xml:space="preserve">V rámci funkčnej klasifikácie </w:t>
      </w:r>
      <w:r w:rsidRPr="00E81F99">
        <w:rPr>
          <w:rFonts w:ascii="Times New Roman" w:hAnsi="Times New Roman" w:cs="Times New Roman"/>
          <w:i/>
          <w:sz w:val="24"/>
          <w:szCs w:val="24"/>
        </w:rPr>
        <w:t>09 – Vzdelávanie</w:t>
      </w:r>
      <w:r w:rsidRPr="00E81F99">
        <w:rPr>
          <w:rFonts w:ascii="Times New Roman" w:hAnsi="Times New Roman" w:cs="Times New Roman"/>
          <w:sz w:val="24"/>
          <w:szCs w:val="24"/>
        </w:rPr>
        <w:t xml:space="preserve"> boli financované výdavky na vzdelávanie zamestnancov </w:t>
      </w:r>
      <w:r w:rsidR="003113B5" w:rsidRPr="00E81F99">
        <w:rPr>
          <w:rFonts w:ascii="Times New Roman" w:hAnsi="Times New Roman" w:cs="Times New Roman"/>
          <w:sz w:val="24"/>
          <w:szCs w:val="24"/>
        </w:rPr>
        <w:t xml:space="preserve">kapitoly MH SR </w:t>
      </w:r>
      <w:r w:rsidR="00B33AAE" w:rsidRPr="00E81F99">
        <w:rPr>
          <w:rFonts w:ascii="Times New Roman" w:hAnsi="Times New Roman" w:cs="Times New Roman"/>
          <w:sz w:val="24"/>
          <w:szCs w:val="24"/>
        </w:rPr>
        <w:t xml:space="preserve">v celkovej </w:t>
      </w:r>
      <w:r w:rsidR="00DE20E8">
        <w:rPr>
          <w:rFonts w:ascii="Times New Roman" w:hAnsi="Times New Roman" w:cs="Times New Roman"/>
          <w:sz w:val="24"/>
          <w:szCs w:val="24"/>
        </w:rPr>
        <w:t>sume</w:t>
      </w:r>
      <w:r w:rsidR="00B33AAE" w:rsidRPr="00E81F99">
        <w:rPr>
          <w:rFonts w:ascii="Times New Roman" w:hAnsi="Times New Roman" w:cs="Times New Roman"/>
          <w:sz w:val="24"/>
          <w:szCs w:val="24"/>
        </w:rPr>
        <w:t xml:space="preserve"> </w:t>
      </w:r>
      <w:r w:rsidR="00DE20E8">
        <w:rPr>
          <w:rFonts w:ascii="Times New Roman" w:hAnsi="Times New Roman" w:cs="Times New Roman"/>
          <w:sz w:val="24"/>
          <w:szCs w:val="24"/>
          <w:lang w:eastAsia="sk-SK"/>
        </w:rPr>
        <w:t xml:space="preserve">145 781,00 </w:t>
      </w:r>
      <w:r w:rsidR="00DE257F" w:rsidRPr="00E81F99">
        <w:rPr>
          <w:rFonts w:ascii="Times New Roman" w:hAnsi="Times New Roman" w:cs="Times New Roman"/>
          <w:sz w:val="24"/>
          <w:szCs w:val="24"/>
          <w:lang w:eastAsia="sk-SK"/>
        </w:rPr>
        <w:t>e</w:t>
      </w:r>
      <w:r w:rsidRPr="00E81F99">
        <w:rPr>
          <w:rFonts w:ascii="Times New Roman" w:hAnsi="Times New Roman" w:cs="Times New Roman"/>
          <w:sz w:val="24"/>
          <w:szCs w:val="24"/>
          <w:lang w:eastAsia="sk-SK"/>
        </w:rPr>
        <w:t>ur.</w:t>
      </w:r>
    </w:p>
    <w:p w:rsidR="00725F8A" w:rsidRDefault="00725F8A" w:rsidP="00DE20E8">
      <w:pPr>
        <w:spacing w:after="0" w:line="240" w:lineRule="auto"/>
        <w:ind w:firstLine="540"/>
        <w:jc w:val="both"/>
        <w:rPr>
          <w:rFonts w:ascii="Times New Roman" w:hAnsi="Times New Roman" w:cs="Times New Roman"/>
          <w:sz w:val="24"/>
          <w:szCs w:val="24"/>
        </w:rPr>
      </w:pPr>
    </w:p>
    <w:p w:rsidR="0012367D" w:rsidRPr="000265AA" w:rsidRDefault="0012367D" w:rsidP="00570FAE">
      <w:pPr>
        <w:pStyle w:val="Nadpis3"/>
        <w:numPr>
          <w:ilvl w:val="2"/>
          <w:numId w:val="14"/>
        </w:numPr>
        <w:spacing w:before="0" w:line="240" w:lineRule="auto"/>
        <w:ind w:left="1276" w:hanging="567"/>
        <w:jc w:val="both"/>
        <w:rPr>
          <w:rFonts w:ascii="Times New Roman" w:hAnsi="Times New Roman" w:cs="Times New Roman"/>
        </w:rPr>
      </w:pPr>
      <w:bookmarkStart w:id="12" w:name="_Toc415553102"/>
      <w:r w:rsidRPr="000265AA">
        <w:rPr>
          <w:rFonts w:ascii="Times New Roman" w:hAnsi="Times New Roman" w:cs="Times New Roman"/>
        </w:rPr>
        <w:t>Výdavky kapitoly</w:t>
      </w:r>
      <w:r w:rsidR="00D865CB" w:rsidRPr="000265AA">
        <w:rPr>
          <w:rFonts w:ascii="Times New Roman" w:hAnsi="Times New Roman" w:cs="Times New Roman"/>
        </w:rPr>
        <w:t xml:space="preserve"> hradené z európskych prostriedkov a spolufinancovania k nim</w:t>
      </w:r>
      <w:bookmarkEnd w:id="12"/>
    </w:p>
    <w:p w:rsidR="0012367D" w:rsidRDefault="0012367D" w:rsidP="00E81F99">
      <w:pPr>
        <w:pStyle w:val="Odsekzoznamu"/>
        <w:tabs>
          <w:tab w:val="left" w:pos="-5400"/>
        </w:tabs>
        <w:spacing w:after="0" w:line="240" w:lineRule="auto"/>
        <w:ind w:left="0"/>
        <w:jc w:val="both"/>
        <w:rPr>
          <w:rFonts w:ascii="Times New Roman" w:hAnsi="Times New Roman" w:cs="Times New Roman"/>
          <w:color w:val="00FF00"/>
          <w:sz w:val="24"/>
          <w:szCs w:val="24"/>
        </w:rPr>
      </w:pPr>
    </w:p>
    <w:p w:rsidR="0012367D" w:rsidRPr="00E81F99" w:rsidRDefault="0012367D" w:rsidP="00570FAE">
      <w:pPr>
        <w:spacing w:after="0" w:line="240" w:lineRule="auto"/>
        <w:ind w:left="709"/>
        <w:jc w:val="both"/>
        <w:rPr>
          <w:rFonts w:ascii="Times New Roman" w:hAnsi="Times New Roman" w:cs="Times New Roman"/>
          <w:b/>
          <w:bCs/>
          <w:i/>
          <w:sz w:val="24"/>
          <w:szCs w:val="24"/>
        </w:rPr>
      </w:pPr>
      <w:r w:rsidRPr="00E81F99">
        <w:rPr>
          <w:rFonts w:ascii="Times New Roman" w:hAnsi="Times New Roman" w:cs="Times New Roman"/>
          <w:b/>
          <w:bCs/>
          <w:i/>
          <w:sz w:val="24"/>
          <w:szCs w:val="24"/>
        </w:rPr>
        <w:t xml:space="preserve">Výdavky kapitoly na spoločné programy Slovenskej republiky a Európskej únie zaradené do výdavkov štátneho rozpočtu </w:t>
      </w:r>
    </w:p>
    <w:p w:rsidR="0012367D" w:rsidRDefault="0012367D" w:rsidP="00E81F99">
      <w:pPr>
        <w:spacing w:after="0" w:line="240" w:lineRule="auto"/>
        <w:ind w:left="567"/>
        <w:jc w:val="both"/>
        <w:rPr>
          <w:rFonts w:ascii="Times New Roman" w:hAnsi="Times New Roman" w:cs="Times New Roman"/>
          <w:b/>
          <w:bCs/>
          <w:color w:val="00FF00"/>
          <w:sz w:val="24"/>
          <w:szCs w:val="24"/>
        </w:rPr>
      </w:pPr>
    </w:p>
    <w:p w:rsidR="00072035" w:rsidRPr="00072035" w:rsidRDefault="00072035" w:rsidP="00072035">
      <w:pPr>
        <w:pStyle w:val="Zkladntext"/>
        <w:spacing w:after="0" w:line="240" w:lineRule="auto"/>
        <w:ind w:firstLine="567"/>
        <w:rPr>
          <w:rFonts w:ascii="Times New Roman" w:hAnsi="Times New Roman" w:cs="Times New Roman"/>
          <w:color w:val="000000"/>
          <w:sz w:val="24"/>
          <w:szCs w:val="24"/>
        </w:rPr>
      </w:pPr>
      <w:r w:rsidRPr="00072035">
        <w:rPr>
          <w:rFonts w:ascii="Times New Roman" w:hAnsi="Times New Roman" w:cs="Times New Roman"/>
          <w:color w:val="000000"/>
          <w:sz w:val="24"/>
          <w:szCs w:val="24"/>
        </w:rPr>
        <w:t>MH SR zo zdrojov EÚ a spolufinancovania zo štátneho rozpočtu  realizovalo v roku 2015  projekty v rámci týchto operačných programov:</w:t>
      </w:r>
    </w:p>
    <w:p w:rsidR="00072035" w:rsidRPr="00072035" w:rsidRDefault="00072035" w:rsidP="00072035">
      <w:pPr>
        <w:pStyle w:val="Zkladntext"/>
        <w:numPr>
          <w:ilvl w:val="0"/>
          <w:numId w:val="6"/>
        </w:numPr>
        <w:tabs>
          <w:tab w:val="clear" w:pos="720"/>
        </w:tabs>
        <w:spacing w:after="0" w:line="240" w:lineRule="auto"/>
        <w:ind w:left="426" w:hanging="426"/>
        <w:rPr>
          <w:rFonts w:ascii="Times New Roman" w:hAnsi="Times New Roman" w:cs="Times New Roman"/>
          <w:color w:val="000000"/>
          <w:sz w:val="24"/>
          <w:szCs w:val="24"/>
        </w:rPr>
      </w:pPr>
      <w:r w:rsidRPr="00072035">
        <w:rPr>
          <w:rFonts w:ascii="Times New Roman" w:hAnsi="Times New Roman" w:cs="Times New Roman"/>
          <w:color w:val="000000"/>
          <w:sz w:val="24"/>
          <w:szCs w:val="24"/>
        </w:rPr>
        <w:t>Operačný program Konkurencieschopnosť a hospodársky rast,</w:t>
      </w:r>
    </w:p>
    <w:p w:rsidR="00072035" w:rsidRPr="00072035" w:rsidRDefault="00072035" w:rsidP="00072035">
      <w:pPr>
        <w:pStyle w:val="Zkladntext2"/>
        <w:numPr>
          <w:ilvl w:val="0"/>
          <w:numId w:val="6"/>
        </w:numPr>
        <w:tabs>
          <w:tab w:val="clear" w:pos="720"/>
        </w:tabs>
        <w:spacing w:after="0" w:line="240" w:lineRule="auto"/>
        <w:ind w:left="426" w:hanging="426"/>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Operačný program INTERREG,</w:t>
      </w:r>
    </w:p>
    <w:p w:rsidR="00072035" w:rsidRPr="00072035" w:rsidRDefault="00072035" w:rsidP="00072035">
      <w:pPr>
        <w:numPr>
          <w:ilvl w:val="0"/>
          <w:numId w:val="6"/>
        </w:numPr>
        <w:tabs>
          <w:tab w:val="clear" w:pos="720"/>
        </w:tabs>
        <w:autoSpaceDE w:val="0"/>
        <w:autoSpaceDN w:val="0"/>
        <w:adjustRightInd w:val="0"/>
        <w:spacing w:after="0" w:line="240" w:lineRule="auto"/>
        <w:ind w:left="426" w:hanging="426"/>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Operačný program INTERACT,</w:t>
      </w:r>
    </w:p>
    <w:p w:rsidR="00072035" w:rsidRPr="00072035" w:rsidRDefault="00072035" w:rsidP="00072035">
      <w:pPr>
        <w:pStyle w:val="Zkladntext2"/>
        <w:numPr>
          <w:ilvl w:val="0"/>
          <w:numId w:val="6"/>
        </w:numPr>
        <w:tabs>
          <w:tab w:val="clear" w:pos="720"/>
        </w:tabs>
        <w:spacing w:after="0" w:line="240" w:lineRule="auto"/>
        <w:ind w:left="426" w:hanging="426"/>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Operačný program Výskum a inovácie,</w:t>
      </w:r>
    </w:p>
    <w:p w:rsidR="00072035" w:rsidRPr="00072035" w:rsidRDefault="00072035" w:rsidP="00072035">
      <w:pPr>
        <w:pStyle w:val="Zkladntext2"/>
        <w:numPr>
          <w:ilvl w:val="0"/>
          <w:numId w:val="6"/>
        </w:numPr>
        <w:tabs>
          <w:tab w:val="clear" w:pos="720"/>
        </w:tabs>
        <w:spacing w:after="0" w:line="240" w:lineRule="auto"/>
        <w:ind w:left="426" w:hanging="426"/>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Operačný program Informatizácia spoločnosti.</w:t>
      </w:r>
    </w:p>
    <w:p w:rsidR="00072035" w:rsidRPr="00072035" w:rsidRDefault="00072035" w:rsidP="00072035">
      <w:pPr>
        <w:pStyle w:val="Zkladntext"/>
        <w:spacing w:after="0" w:line="240" w:lineRule="auto"/>
        <w:ind w:left="720"/>
        <w:rPr>
          <w:rFonts w:ascii="Times New Roman" w:hAnsi="Times New Roman" w:cs="Times New Roman"/>
          <w:color w:val="000000"/>
          <w:sz w:val="24"/>
          <w:szCs w:val="24"/>
        </w:rPr>
      </w:pPr>
    </w:p>
    <w:p w:rsidR="00072035" w:rsidRPr="00072035" w:rsidRDefault="00072035" w:rsidP="00072035">
      <w:pPr>
        <w:pStyle w:val="Zkladntext"/>
        <w:spacing w:after="0" w:line="240" w:lineRule="auto"/>
        <w:ind w:firstLine="567"/>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MH SR zo zdrojov EÚ (zdroje 11S1, 11U1, 1AA1, 13S1) a spolufinancovania zo ŠR (zdroje 11S2, 11S3, 11U2, 1AA2, 1AJ2, 11B5, 13S2, 13S3) za rok 2015 vyčerpalo 323 002 261,59 eur, čo predstavuje 100,00 % z upraveného rozpočtu príslušných zdrojov v sume 323 002 261,59 eur. </w:t>
      </w:r>
    </w:p>
    <w:p w:rsidR="00072035" w:rsidRPr="00072035" w:rsidRDefault="00072035" w:rsidP="00072035">
      <w:pPr>
        <w:pStyle w:val="Zkladntext"/>
        <w:spacing w:after="0" w:line="240" w:lineRule="auto"/>
        <w:ind w:firstLine="567"/>
        <w:rPr>
          <w:rFonts w:ascii="Times New Roman" w:hAnsi="Times New Roman" w:cs="Times New Roman"/>
          <w:color w:val="000000"/>
          <w:sz w:val="24"/>
          <w:szCs w:val="24"/>
        </w:rPr>
      </w:pPr>
    </w:p>
    <w:p w:rsidR="00072035" w:rsidRPr="00072035" w:rsidRDefault="00072035" w:rsidP="00072035">
      <w:pPr>
        <w:pStyle w:val="Zkladntext"/>
        <w:spacing w:after="0" w:line="240" w:lineRule="auto"/>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Čerpanie výdavkov v roku 2015 </w:t>
      </w:r>
      <w:r w:rsidR="00F04EAE">
        <w:rPr>
          <w:rFonts w:ascii="Times New Roman" w:hAnsi="Times New Roman" w:cs="Times New Roman"/>
          <w:color w:val="000000"/>
          <w:sz w:val="24"/>
          <w:szCs w:val="24"/>
        </w:rPr>
        <w:t xml:space="preserve">v </w:t>
      </w:r>
      <w:r w:rsidRPr="00072035">
        <w:rPr>
          <w:rFonts w:ascii="Times New Roman" w:hAnsi="Times New Roman" w:cs="Times New Roman"/>
          <w:color w:val="000000"/>
          <w:sz w:val="24"/>
          <w:szCs w:val="24"/>
        </w:rPr>
        <w:t>jednotlivých operačných programo</w:t>
      </w:r>
      <w:r w:rsidR="00F04EAE">
        <w:rPr>
          <w:rFonts w:ascii="Times New Roman" w:hAnsi="Times New Roman" w:cs="Times New Roman"/>
          <w:color w:val="000000"/>
          <w:sz w:val="24"/>
          <w:szCs w:val="24"/>
        </w:rPr>
        <w:t>ch</w:t>
      </w:r>
      <w:r w:rsidRPr="00072035">
        <w:rPr>
          <w:rFonts w:ascii="Times New Roman" w:hAnsi="Times New Roman" w:cs="Times New Roman"/>
          <w:color w:val="000000"/>
          <w:sz w:val="24"/>
          <w:szCs w:val="24"/>
        </w:rPr>
        <w:t xml:space="preserve"> bolo nasledovné:</w:t>
      </w:r>
    </w:p>
    <w:p w:rsidR="00072035" w:rsidRDefault="00072035" w:rsidP="00072035">
      <w:pPr>
        <w:pStyle w:val="Zkladntext"/>
        <w:spacing w:after="0" w:line="240" w:lineRule="auto"/>
        <w:ind w:firstLine="567"/>
        <w:rPr>
          <w:rFonts w:ascii="Times New Roman" w:hAnsi="Times New Roman" w:cs="Times New Roman"/>
          <w:color w:val="000000"/>
          <w:sz w:val="24"/>
          <w:szCs w:val="24"/>
        </w:rPr>
      </w:pPr>
    </w:p>
    <w:p w:rsidR="00072035" w:rsidRPr="00072035" w:rsidRDefault="00072035" w:rsidP="00072035">
      <w:pPr>
        <w:pStyle w:val="Zkladntext"/>
        <w:spacing w:after="0" w:line="240" w:lineRule="auto"/>
        <w:rPr>
          <w:rFonts w:ascii="Times New Roman" w:hAnsi="Times New Roman" w:cs="Times New Roman"/>
          <w:b/>
          <w:color w:val="000000"/>
          <w:sz w:val="24"/>
          <w:szCs w:val="24"/>
        </w:rPr>
      </w:pPr>
      <w:r w:rsidRPr="00072035">
        <w:rPr>
          <w:rFonts w:ascii="Times New Roman" w:hAnsi="Times New Roman" w:cs="Times New Roman"/>
          <w:b/>
          <w:color w:val="000000"/>
          <w:sz w:val="24"/>
          <w:szCs w:val="24"/>
        </w:rPr>
        <w:t>Operačný program Konkurencieschopnosť a hospodársky rast</w:t>
      </w:r>
    </w:p>
    <w:p w:rsidR="00072035" w:rsidRPr="00072035" w:rsidRDefault="00072035" w:rsidP="00072035">
      <w:pPr>
        <w:pStyle w:val="Zkladntext"/>
        <w:spacing w:after="0" w:line="240" w:lineRule="auto"/>
        <w:ind w:firstLine="567"/>
        <w:rPr>
          <w:rFonts w:ascii="Times New Roman" w:hAnsi="Times New Roman" w:cs="Times New Roman"/>
          <w:color w:val="000000"/>
          <w:sz w:val="24"/>
          <w:szCs w:val="24"/>
        </w:rPr>
      </w:pPr>
    </w:p>
    <w:p w:rsidR="00072035" w:rsidRPr="00072035" w:rsidRDefault="00072035" w:rsidP="00072035">
      <w:pPr>
        <w:pStyle w:val="Zkladntext"/>
        <w:spacing w:after="0" w:line="240" w:lineRule="auto"/>
        <w:ind w:firstLine="567"/>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Na uvedený operačný program bol na rok 2015 schválený rozpočet </w:t>
      </w:r>
      <w:r w:rsidR="003F42AE" w:rsidRPr="00072035">
        <w:rPr>
          <w:rFonts w:ascii="Times New Roman" w:hAnsi="Times New Roman" w:cs="Times New Roman"/>
          <w:sz w:val="24"/>
          <w:szCs w:val="24"/>
        </w:rPr>
        <w:t xml:space="preserve">v sume </w:t>
      </w:r>
      <w:r w:rsidR="003F42AE">
        <w:rPr>
          <w:rFonts w:ascii="Times New Roman" w:hAnsi="Times New Roman" w:cs="Times New Roman"/>
          <w:sz w:val="24"/>
          <w:szCs w:val="24"/>
        </w:rPr>
        <w:t xml:space="preserve">                     </w:t>
      </w:r>
      <w:r w:rsidRPr="00072035">
        <w:rPr>
          <w:rFonts w:ascii="Times New Roman" w:hAnsi="Times New Roman" w:cs="Times New Roman"/>
          <w:color w:val="000000"/>
          <w:sz w:val="24"/>
          <w:szCs w:val="24"/>
        </w:rPr>
        <w:t xml:space="preserve">128 828 482,00 eur. Rozpočtovými opatreniami MF SR bol rozpočet k 31.12.2015 upravený </w:t>
      </w:r>
      <w:r w:rsidR="00F04EAE">
        <w:rPr>
          <w:rFonts w:ascii="Times New Roman" w:hAnsi="Times New Roman" w:cs="Times New Roman"/>
          <w:color w:val="000000"/>
          <w:sz w:val="24"/>
          <w:szCs w:val="24"/>
        </w:rPr>
        <w:t>na</w:t>
      </w:r>
      <w:r w:rsidR="00F04EAE">
        <w:rPr>
          <w:rFonts w:ascii="Times New Roman" w:hAnsi="Times New Roman" w:cs="Times New Roman"/>
          <w:sz w:val="24"/>
          <w:szCs w:val="24"/>
        </w:rPr>
        <w:t xml:space="preserve"> sumu</w:t>
      </w:r>
      <w:r w:rsidR="003F42AE" w:rsidRPr="00072035">
        <w:rPr>
          <w:rFonts w:ascii="Times New Roman" w:hAnsi="Times New Roman" w:cs="Times New Roman"/>
          <w:sz w:val="24"/>
          <w:szCs w:val="24"/>
        </w:rPr>
        <w:t xml:space="preserve"> </w:t>
      </w:r>
      <w:r w:rsidRPr="00072035">
        <w:rPr>
          <w:rFonts w:ascii="Times New Roman" w:hAnsi="Times New Roman" w:cs="Times New Roman"/>
          <w:color w:val="000000"/>
          <w:sz w:val="24"/>
          <w:szCs w:val="24"/>
        </w:rPr>
        <w:t>319 168 133,80 eur.</w:t>
      </w:r>
    </w:p>
    <w:p w:rsidR="00072035" w:rsidRPr="00072035" w:rsidRDefault="00072035" w:rsidP="00072035">
      <w:pPr>
        <w:pStyle w:val="Zkladntext"/>
        <w:spacing w:after="0" w:line="240" w:lineRule="auto"/>
        <w:ind w:firstLine="567"/>
        <w:rPr>
          <w:rFonts w:ascii="Times New Roman" w:hAnsi="Times New Roman" w:cs="Times New Roman"/>
          <w:color w:val="000000"/>
          <w:sz w:val="24"/>
          <w:szCs w:val="24"/>
        </w:rPr>
      </w:pPr>
      <w:r w:rsidRPr="00072035">
        <w:rPr>
          <w:rFonts w:ascii="Times New Roman" w:hAnsi="Times New Roman" w:cs="Times New Roman"/>
          <w:color w:val="000000"/>
          <w:sz w:val="24"/>
          <w:szCs w:val="24"/>
        </w:rPr>
        <w:t>K 31.12.2015 bolo na opatrenia OP KaHR vyčerpaných  319 168 133,80 eur, čo predstavuje 100,00 % z upraveného rozpočtu k 3</w:t>
      </w:r>
      <w:r w:rsidR="00F04EAE">
        <w:rPr>
          <w:rFonts w:ascii="Times New Roman" w:hAnsi="Times New Roman" w:cs="Times New Roman"/>
          <w:color w:val="000000"/>
          <w:sz w:val="24"/>
          <w:szCs w:val="24"/>
        </w:rPr>
        <w:t>1</w:t>
      </w:r>
      <w:r w:rsidRPr="00072035">
        <w:rPr>
          <w:rFonts w:ascii="Times New Roman" w:hAnsi="Times New Roman" w:cs="Times New Roman"/>
          <w:color w:val="000000"/>
          <w:sz w:val="24"/>
          <w:szCs w:val="24"/>
        </w:rPr>
        <w:t>.</w:t>
      </w:r>
      <w:r w:rsidR="00F04EAE">
        <w:rPr>
          <w:rFonts w:ascii="Times New Roman" w:hAnsi="Times New Roman" w:cs="Times New Roman"/>
          <w:color w:val="000000"/>
          <w:sz w:val="24"/>
          <w:szCs w:val="24"/>
        </w:rPr>
        <w:t>12</w:t>
      </w:r>
      <w:r w:rsidRPr="00072035">
        <w:rPr>
          <w:rFonts w:ascii="Times New Roman" w:hAnsi="Times New Roman" w:cs="Times New Roman"/>
          <w:color w:val="000000"/>
          <w:sz w:val="24"/>
          <w:szCs w:val="24"/>
        </w:rPr>
        <w:t xml:space="preserve">.2015 pre uvedený operačný program. </w:t>
      </w:r>
    </w:p>
    <w:p w:rsidR="00E76D53" w:rsidRDefault="00E76D53" w:rsidP="00E76D53">
      <w:pPr>
        <w:spacing w:after="0" w:line="240" w:lineRule="auto"/>
        <w:jc w:val="both"/>
        <w:rPr>
          <w:rFonts w:ascii="Times New Roman" w:hAnsi="Times New Roman" w:cs="Times New Roman"/>
          <w:color w:val="000000"/>
          <w:sz w:val="24"/>
          <w:szCs w:val="24"/>
        </w:rPr>
      </w:pPr>
    </w:p>
    <w:p w:rsidR="00F04EAE" w:rsidRDefault="00072035" w:rsidP="00E76D53">
      <w:pPr>
        <w:spacing w:after="0" w:line="240" w:lineRule="auto"/>
        <w:ind w:firstLine="567"/>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Čerpanie výdavkov v jednotlivých proj</w:t>
      </w:r>
      <w:r w:rsidR="00E76D53">
        <w:rPr>
          <w:rFonts w:ascii="Times New Roman" w:hAnsi="Times New Roman" w:cs="Times New Roman"/>
          <w:color w:val="000000"/>
          <w:sz w:val="24"/>
          <w:szCs w:val="24"/>
        </w:rPr>
        <w:t>ektoch opatrenia je nasledovný:</w:t>
      </w:r>
    </w:p>
    <w:p w:rsidR="00E76D53" w:rsidRDefault="00E76D53" w:rsidP="00E76D53">
      <w:pPr>
        <w:spacing w:after="0" w:line="240" w:lineRule="auto"/>
        <w:ind w:firstLine="567"/>
        <w:jc w:val="both"/>
        <w:rPr>
          <w:rFonts w:ascii="Times New Roman" w:hAnsi="Times New Roman" w:cs="Times New Roman"/>
          <w:color w:val="000000"/>
          <w:sz w:val="24"/>
          <w:szCs w:val="24"/>
        </w:rPr>
      </w:pPr>
    </w:p>
    <w:p w:rsidR="00072035" w:rsidRPr="00072035" w:rsidRDefault="00072035" w:rsidP="00624EB0">
      <w:pPr>
        <w:spacing w:after="0" w:line="240" w:lineRule="auto"/>
        <w:jc w:val="both"/>
        <w:rPr>
          <w:rFonts w:ascii="Times New Roman" w:hAnsi="Times New Roman" w:cs="Times New Roman"/>
          <w:bCs/>
          <w:i/>
          <w:color w:val="000000"/>
          <w:sz w:val="24"/>
          <w:szCs w:val="24"/>
        </w:rPr>
      </w:pPr>
      <w:r w:rsidRPr="00072035">
        <w:rPr>
          <w:rFonts w:ascii="Times New Roman" w:hAnsi="Times New Roman" w:cs="Times New Roman"/>
          <w:color w:val="000000"/>
          <w:sz w:val="24"/>
          <w:szCs w:val="24"/>
        </w:rPr>
        <w:t xml:space="preserve"> </w:t>
      </w:r>
      <w:r w:rsidRPr="00072035">
        <w:rPr>
          <w:rFonts w:ascii="Times New Roman" w:hAnsi="Times New Roman" w:cs="Times New Roman"/>
          <w:bCs/>
          <w:i/>
          <w:color w:val="000000"/>
          <w:sz w:val="24"/>
          <w:szCs w:val="24"/>
        </w:rPr>
        <w:t>07K021C Podpora spoločných služieb pre podnikateľov  (opatrenie 1.2 - OP KaHR)</w:t>
      </w:r>
    </w:p>
    <w:p w:rsidR="00072035" w:rsidRPr="00072035" w:rsidRDefault="00072035" w:rsidP="00072035">
      <w:pPr>
        <w:autoSpaceDE w:val="0"/>
        <w:autoSpaceDN w:val="0"/>
        <w:adjustRightInd w:val="0"/>
        <w:spacing w:after="0" w:line="240" w:lineRule="auto"/>
        <w:rPr>
          <w:rFonts w:ascii="Times New Roman" w:hAnsi="Times New Roman" w:cs="Times New Roman"/>
          <w:color w:val="000000"/>
          <w:sz w:val="24"/>
          <w:szCs w:val="24"/>
        </w:rPr>
      </w:pPr>
    </w:p>
    <w:p w:rsidR="00072035" w:rsidRPr="00072035" w:rsidRDefault="00072035" w:rsidP="00072035">
      <w:pPr>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Cieľom poskytnutia pomoci je podpora verejného sektora pri budovaní infraštruktúry pre rozvoj podnikania v oblasti priemyslu a služieb prostredníctvom revitalizácie bývalých priemyselných a podnikateľských lokalít s pozitívnym dopadom na tvorbu nových pracovných príležitostí a podnikateľských aktivít v regiónoch.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 xml:space="preserve">3 211 401,51 eur. </w:t>
      </w:r>
    </w:p>
    <w:p w:rsidR="00072035" w:rsidRPr="00072035" w:rsidRDefault="00072035" w:rsidP="00072035">
      <w:pPr>
        <w:spacing w:after="0" w:line="240" w:lineRule="auto"/>
        <w:jc w:val="both"/>
        <w:rPr>
          <w:rFonts w:ascii="Times New Roman" w:hAnsi="Times New Roman" w:cs="Times New Roman"/>
          <w:color w:val="000000"/>
          <w:sz w:val="24"/>
          <w:szCs w:val="24"/>
        </w:rPr>
      </w:pPr>
    </w:p>
    <w:p w:rsidR="00072035" w:rsidRPr="00072035" w:rsidRDefault="00072035" w:rsidP="00072035">
      <w:pPr>
        <w:pStyle w:val="Zkladntext2"/>
        <w:spacing w:after="0" w:line="240" w:lineRule="auto"/>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07K030D  Podpora podnikateľských aktivít v cestovnom ruchu (opatrenie 3.1 - OP KaHR)</w:t>
      </w:r>
    </w:p>
    <w:p w:rsidR="00072035" w:rsidRPr="00072035" w:rsidRDefault="00072035" w:rsidP="00072035">
      <w:pPr>
        <w:autoSpaceDE w:val="0"/>
        <w:autoSpaceDN w:val="0"/>
        <w:adjustRightInd w:val="0"/>
        <w:spacing w:after="0" w:line="240" w:lineRule="auto"/>
        <w:rPr>
          <w:rFonts w:ascii="Times New Roman" w:hAnsi="Times New Roman" w:cs="Times New Roman"/>
          <w:color w:val="000000"/>
          <w:sz w:val="24"/>
          <w:szCs w:val="24"/>
        </w:rPr>
      </w:pPr>
    </w:p>
    <w:p w:rsidR="00072035" w:rsidRPr="00072035" w:rsidRDefault="00072035" w:rsidP="00072035">
      <w:pPr>
        <w:spacing w:after="0" w:line="240" w:lineRule="auto"/>
        <w:ind w:firstLine="540"/>
        <w:jc w:val="both"/>
        <w:rPr>
          <w:rFonts w:ascii="Times New Roman" w:hAnsi="Times New Roman" w:cs="Times New Roman"/>
          <w:noProof/>
          <w:sz w:val="24"/>
          <w:szCs w:val="24"/>
        </w:rPr>
      </w:pPr>
      <w:r w:rsidRPr="00072035">
        <w:rPr>
          <w:rFonts w:ascii="Times New Roman" w:hAnsi="Times New Roman" w:cs="Times New Roman"/>
          <w:color w:val="000000"/>
          <w:sz w:val="24"/>
          <w:szCs w:val="24"/>
        </w:rPr>
        <w:t xml:space="preserve">Účelom opatrenia je rast konkurencieschopnosti cestovného ruchu (CR) v oblasti poskytovaných služieb podporou investičných a neinvestičných aktivít v súkromnom sektore a podpora budovania komplexných služieb CR s celoročným využitím.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29 375 202,49  eur.</w:t>
      </w:r>
    </w:p>
    <w:p w:rsidR="00072035" w:rsidRPr="00072035" w:rsidRDefault="00072035" w:rsidP="00072035">
      <w:pPr>
        <w:pStyle w:val="Zkladntext2"/>
        <w:spacing w:after="0" w:line="240" w:lineRule="auto"/>
        <w:ind w:firstLine="540"/>
        <w:rPr>
          <w:rFonts w:ascii="Times New Roman" w:hAnsi="Times New Roman" w:cs="Times New Roman"/>
          <w:bCs/>
          <w:color w:val="000000"/>
          <w:sz w:val="24"/>
          <w:szCs w:val="24"/>
        </w:rPr>
      </w:pPr>
    </w:p>
    <w:p w:rsidR="00072035" w:rsidRPr="00072035" w:rsidRDefault="00072035" w:rsidP="00F04EAE">
      <w:pPr>
        <w:pStyle w:val="Zkladntext2"/>
        <w:spacing w:after="0" w:line="240" w:lineRule="auto"/>
        <w:ind w:left="993" w:hanging="993"/>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07K030E Rozvoj informačných služieb cestovného ruchu, prezentácie regiónov a</w:t>
      </w:r>
      <w:r>
        <w:rPr>
          <w:rFonts w:ascii="Times New Roman" w:hAnsi="Times New Roman" w:cs="Times New Roman"/>
          <w:bCs/>
          <w:i/>
          <w:color w:val="000000"/>
          <w:sz w:val="24"/>
          <w:szCs w:val="24"/>
        </w:rPr>
        <w:t> </w:t>
      </w:r>
      <w:r w:rsidRPr="00072035">
        <w:rPr>
          <w:rFonts w:ascii="Times New Roman" w:hAnsi="Times New Roman" w:cs="Times New Roman"/>
          <w:bCs/>
          <w:i/>
          <w:color w:val="000000"/>
          <w:sz w:val="24"/>
          <w:szCs w:val="24"/>
        </w:rPr>
        <w:t>Slovenska</w:t>
      </w:r>
      <w:r>
        <w:rPr>
          <w:rFonts w:ascii="Times New Roman" w:hAnsi="Times New Roman" w:cs="Times New Roman"/>
          <w:bCs/>
          <w:i/>
          <w:color w:val="000000"/>
          <w:sz w:val="24"/>
          <w:szCs w:val="24"/>
        </w:rPr>
        <w:t xml:space="preserve"> </w:t>
      </w:r>
      <w:r w:rsidRPr="00072035">
        <w:rPr>
          <w:rFonts w:ascii="Times New Roman" w:hAnsi="Times New Roman" w:cs="Times New Roman"/>
          <w:bCs/>
          <w:i/>
          <w:color w:val="000000"/>
          <w:sz w:val="24"/>
          <w:szCs w:val="24"/>
        </w:rPr>
        <w:t>(opatrenie 3.2 - OP KaHR)</w:t>
      </w:r>
    </w:p>
    <w:p w:rsidR="00072035" w:rsidRPr="00072035" w:rsidRDefault="00072035" w:rsidP="00072035">
      <w:pPr>
        <w:pStyle w:val="Zkladntext2"/>
        <w:spacing w:after="0" w:line="240" w:lineRule="auto"/>
        <w:rPr>
          <w:rFonts w:ascii="Times New Roman" w:hAnsi="Times New Roman" w:cs="Times New Roman"/>
          <w:color w:val="000000"/>
          <w:sz w:val="24"/>
          <w:szCs w:val="24"/>
        </w:rPr>
      </w:pPr>
    </w:p>
    <w:p w:rsidR="00072035" w:rsidRPr="00072035" w:rsidRDefault="00072035" w:rsidP="00072035">
      <w:pPr>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Cieľom opatrenia je zlepšenie úrovne prezentácie Slovenska a dobudovanie jednotného informačného systému cestovného ruchu. Podpora propagácie slovenského cestovného ruchu doma i v zahraničí má prispieť k vytvoreniu priaznivého obrazu o Slovensku ako krajine cestovného ruchu s bohatým kultúrnym a historickým dedičstvom s množstvom prírodných krás.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5 959 748,95  eur.</w:t>
      </w:r>
    </w:p>
    <w:p w:rsidR="00072035" w:rsidRPr="00072035" w:rsidRDefault="00072035" w:rsidP="00072035">
      <w:pPr>
        <w:autoSpaceDE w:val="0"/>
        <w:autoSpaceDN w:val="0"/>
        <w:adjustRightInd w:val="0"/>
        <w:spacing w:after="0" w:line="240" w:lineRule="auto"/>
        <w:ind w:firstLine="540"/>
        <w:jc w:val="both"/>
        <w:rPr>
          <w:rFonts w:ascii="Times New Roman" w:hAnsi="Times New Roman" w:cs="Times New Roman"/>
          <w:color w:val="FF0000"/>
          <w:sz w:val="24"/>
          <w:szCs w:val="24"/>
        </w:rPr>
      </w:pPr>
    </w:p>
    <w:p w:rsidR="00072035" w:rsidRPr="00072035" w:rsidRDefault="00072035" w:rsidP="00F04EAE">
      <w:pPr>
        <w:pStyle w:val="Zkladntext2"/>
        <w:spacing w:after="0" w:line="240" w:lineRule="auto"/>
        <w:ind w:left="993" w:hanging="993"/>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07K0D01 Zvyšovanie energetickej efektívnosti na strane výroby aj spotreby a zavádzanie progresívnych technológií v energetike (opatrenie 2.1 - OP KaHR)</w:t>
      </w:r>
    </w:p>
    <w:p w:rsidR="00072035" w:rsidRPr="00072035" w:rsidRDefault="00072035" w:rsidP="00072035">
      <w:pPr>
        <w:autoSpaceDE w:val="0"/>
        <w:autoSpaceDN w:val="0"/>
        <w:adjustRightInd w:val="0"/>
        <w:spacing w:after="0" w:line="240" w:lineRule="auto"/>
        <w:rPr>
          <w:rFonts w:ascii="Times New Roman" w:hAnsi="Times New Roman" w:cs="Times New Roman"/>
          <w:b/>
          <w:bCs/>
          <w:color w:val="00FF00"/>
          <w:sz w:val="24"/>
          <w:szCs w:val="24"/>
        </w:rPr>
      </w:pPr>
    </w:p>
    <w:p w:rsidR="00072035" w:rsidRPr="00072035" w:rsidRDefault="00072035" w:rsidP="00072035">
      <w:pPr>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Účelom tohto opatrenia je priblíženie energetickej náročnosti úrovni porovnateľnej   s  EÚ 15, dosiahnutie úspor energie, zvyšovanie účinností využitia primárnych energetických zdrojov za účelom zníženia nákladov za energiu, ako aj zvýšenie podielu spotreby obnoviteľných zdrojov energie na celkovej spotrebe energie.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73 905 967,90  eur.</w:t>
      </w:r>
    </w:p>
    <w:p w:rsidR="00072035" w:rsidRPr="00072035" w:rsidRDefault="00072035" w:rsidP="00072035">
      <w:pPr>
        <w:autoSpaceDE w:val="0"/>
        <w:autoSpaceDN w:val="0"/>
        <w:adjustRightInd w:val="0"/>
        <w:spacing w:after="0" w:line="240" w:lineRule="auto"/>
        <w:ind w:left="1134" w:hanging="1134"/>
        <w:jc w:val="both"/>
        <w:rPr>
          <w:rFonts w:ascii="Times New Roman" w:hAnsi="Times New Roman" w:cs="Times New Roman"/>
          <w:i/>
          <w:color w:val="000000"/>
          <w:sz w:val="24"/>
          <w:szCs w:val="24"/>
        </w:rPr>
      </w:pPr>
    </w:p>
    <w:p w:rsidR="00072035" w:rsidRPr="00072035" w:rsidRDefault="00072035" w:rsidP="00F04EAE">
      <w:pPr>
        <w:autoSpaceDE w:val="0"/>
        <w:autoSpaceDN w:val="0"/>
        <w:adjustRightInd w:val="0"/>
        <w:spacing w:after="0" w:line="240" w:lineRule="auto"/>
        <w:ind w:left="1134" w:hanging="1134"/>
        <w:jc w:val="both"/>
        <w:rPr>
          <w:rFonts w:ascii="Times New Roman" w:hAnsi="Times New Roman" w:cs="Times New Roman"/>
          <w:i/>
          <w:color w:val="000000"/>
          <w:sz w:val="24"/>
          <w:szCs w:val="24"/>
        </w:rPr>
      </w:pPr>
      <w:r w:rsidRPr="00072035">
        <w:rPr>
          <w:rFonts w:ascii="Times New Roman" w:hAnsi="Times New Roman" w:cs="Times New Roman"/>
          <w:i/>
          <w:color w:val="000000"/>
          <w:sz w:val="24"/>
          <w:szCs w:val="24"/>
        </w:rPr>
        <w:t>07K0D02 Budovanie a modernizácia verejného osvetlenia pre mestá a obce a poskytovanie poradenstva v oblasti energetických úspor (opatrenie 2.2 - OP KaHR)</w:t>
      </w:r>
    </w:p>
    <w:p w:rsidR="00072035" w:rsidRPr="00072035" w:rsidRDefault="00072035" w:rsidP="00072035">
      <w:pPr>
        <w:autoSpaceDE w:val="0"/>
        <w:autoSpaceDN w:val="0"/>
        <w:adjustRightInd w:val="0"/>
        <w:spacing w:after="0" w:line="240" w:lineRule="auto"/>
        <w:rPr>
          <w:rFonts w:ascii="Times New Roman" w:hAnsi="Times New Roman" w:cs="Times New Roman"/>
          <w:color w:val="000000"/>
          <w:sz w:val="24"/>
          <w:szCs w:val="24"/>
        </w:rPr>
      </w:pPr>
    </w:p>
    <w:p w:rsidR="00072035" w:rsidRPr="00072035" w:rsidRDefault="00072035" w:rsidP="00072035">
      <w:pPr>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Účelom opatrenia je podpora verejného sektora pri budovaní a modernizácii verejného osvetlenia v mestách a obciach.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 xml:space="preserve">22 223 488,03  eur. </w:t>
      </w:r>
    </w:p>
    <w:p w:rsidR="00072035" w:rsidRPr="00072035" w:rsidRDefault="00072035" w:rsidP="00072035">
      <w:pPr>
        <w:spacing w:after="0" w:line="240" w:lineRule="auto"/>
        <w:jc w:val="both"/>
        <w:rPr>
          <w:rFonts w:ascii="Times New Roman" w:hAnsi="Times New Roman" w:cs="Times New Roman"/>
          <w:color w:val="000000"/>
          <w:sz w:val="24"/>
          <w:szCs w:val="24"/>
        </w:rPr>
      </w:pPr>
    </w:p>
    <w:p w:rsidR="00072035" w:rsidRPr="00072035" w:rsidRDefault="00072035" w:rsidP="00072035">
      <w:pPr>
        <w:pStyle w:val="Zkladntext2"/>
        <w:spacing w:after="0" w:line="240" w:lineRule="auto"/>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07K0E01 Inovácie a technologické transfery (opatrenie 1.1 - OP KaHR)</w:t>
      </w:r>
    </w:p>
    <w:p w:rsidR="00072035" w:rsidRPr="00072035" w:rsidRDefault="00072035" w:rsidP="00072035">
      <w:pPr>
        <w:autoSpaceDE w:val="0"/>
        <w:autoSpaceDN w:val="0"/>
        <w:adjustRightInd w:val="0"/>
        <w:spacing w:after="0" w:line="240" w:lineRule="auto"/>
        <w:rPr>
          <w:rFonts w:ascii="Times New Roman" w:hAnsi="Times New Roman" w:cs="Times New Roman"/>
          <w:color w:val="000000"/>
          <w:sz w:val="24"/>
          <w:szCs w:val="24"/>
        </w:rPr>
      </w:pPr>
    </w:p>
    <w:p w:rsidR="00072035" w:rsidRPr="00072035" w:rsidRDefault="00072035" w:rsidP="00072035">
      <w:pPr>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Zámerom tohto opatrenia je podpora zavádzania inovatívnych a vyspelých technológií pre zvýšenie konkurencieschopnosti priemyslu a služieb, zabezpečenie trvalo udržateľnej priemyselnej výroby a dosiahnutie úrovne porovnateľnej s krajinami EÚ a účasť slovenských výrobcov na veľtrhoch, výstavách, obchodných misiách v rámci samostatnej schémy pomoci.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 xml:space="preserve">162 289 844,24 eur. </w:t>
      </w:r>
    </w:p>
    <w:p w:rsidR="00072035" w:rsidRPr="00072035" w:rsidRDefault="00072035" w:rsidP="00072035">
      <w:pPr>
        <w:pStyle w:val="Zkladntext2"/>
        <w:spacing w:after="0" w:line="240" w:lineRule="auto"/>
        <w:rPr>
          <w:rFonts w:ascii="Times New Roman" w:hAnsi="Times New Roman" w:cs="Times New Roman"/>
          <w:b/>
          <w:bCs/>
          <w:i/>
          <w:color w:val="000000"/>
          <w:sz w:val="24"/>
          <w:szCs w:val="24"/>
        </w:rPr>
      </w:pPr>
    </w:p>
    <w:p w:rsidR="00072035" w:rsidRPr="00072035" w:rsidRDefault="00072035" w:rsidP="00072035">
      <w:pPr>
        <w:pStyle w:val="Zkladntext2"/>
        <w:spacing w:after="0" w:line="240" w:lineRule="auto"/>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07K0E02  Podpora inovačných aktivít v podnikoch (opatrenie 1.3 - OP KaHR)</w:t>
      </w:r>
    </w:p>
    <w:p w:rsidR="00072035" w:rsidRPr="00072035" w:rsidRDefault="00072035" w:rsidP="00072035">
      <w:pPr>
        <w:spacing w:after="0" w:line="240" w:lineRule="auto"/>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w:t>
      </w:r>
    </w:p>
    <w:p w:rsidR="00072035" w:rsidRPr="00072035" w:rsidRDefault="00072035" w:rsidP="00072035">
      <w:pPr>
        <w:autoSpaceDE w:val="0"/>
        <w:autoSpaceDN w:val="0"/>
        <w:adjustRightInd w:val="0"/>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Hlavným účelom opatrenia je zvýšenie konkurencieschopnosti priemyslu prostredníctvom podpory inovačných aktivít a súvisiaceho aplikovaného výskumu u podnikateľov podporou zavádzania nových inovácií pre technológie (nie ich nákup), postupy alebo výrobky. Účelom je aj podpora implementácie najlepších postupov a výrobných metód svetovej úrovne do nových a jestvujúcich spoločností, ochrana duševného vlastníctva, priemyselného dizajnu, ktoré zvyšujú konkurencieschopnosť podnikateľov. V rámci tohto opatrenia boli prostriedky čerpané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15 044 196,45 eur.</w:t>
      </w:r>
    </w:p>
    <w:p w:rsidR="00072035" w:rsidRPr="00072035" w:rsidRDefault="00072035" w:rsidP="00072035">
      <w:pPr>
        <w:autoSpaceDE w:val="0"/>
        <w:autoSpaceDN w:val="0"/>
        <w:adjustRightInd w:val="0"/>
        <w:spacing w:after="0" w:line="240" w:lineRule="auto"/>
        <w:ind w:firstLine="540"/>
        <w:jc w:val="both"/>
        <w:rPr>
          <w:rFonts w:ascii="Times New Roman" w:hAnsi="Times New Roman" w:cs="Times New Roman"/>
          <w:color w:val="000000"/>
          <w:sz w:val="24"/>
          <w:szCs w:val="24"/>
        </w:rPr>
      </w:pPr>
    </w:p>
    <w:p w:rsidR="00072035" w:rsidRPr="00072035" w:rsidRDefault="00072035" w:rsidP="00072035">
      <w:pPr>
        <w:pStyle w:val="Zkladntext2"/>
        <w:spacing w:after="0" w:line="240" w:lineRule="auto"/>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07L09 Technická pomoc pre OP KaHR (opatrenie 4.1 - OP KaHR)</w:t>
      </w:r>
    </w:p>
    <w:p w:rsidR="00072035" w:rsidRPr="00072035" w:rsidRDefault="00072035" w:rsidP="00072035">
      <w:pPr>
        <w:pStyle w:val="Zkladntext2"/>
        <w:spacing w:after="0" w:line="240" w:lineRule="auto"/>
        <w:rPr>
          <w:rFonts w:ascii="Times New Roman" w:hAnsi="Times New Roman" w:cs="Times New Roman"/>
          <w:b/>
          <w:bCs/>
          <w:i/>
          <w:color w:val="000000"/>
          <w:sz w:val="24"/>
          <w:szCs w:val="24"/>
        </w:rPr>
      </w:pPr>
    </w:p>
    <w:p w:rsidR="00072035" w:rsidRPr="00072035" w:rsidRDefault="00072035" w:rsidP="00072035">
      <w:pPr>
        <w:autoSpaceDE w:val="0"/>
        <w:autoSpaceDN w:val="0"/>
        <w:spacing w:after="0" w:line="240" w:lineRule="auto"/>
        <w:ind w:firstLine="540"/>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V rámci tohto opatrenia boli v sledovanom období  predložené a zrealizované žiadosti o platbu </w:t>
      </w:r>
      <w:r w:rsidR="003F42AE" w:rsidRPr="00072035">
        <w:rPr>
          <w:rFonts w:ascii="Times New Roman" w:hAnsi="Times New Roman" w:cs="Times New Roman"/>
          <w:sz w:val="24"/>
          <w:szCs w:val="24"/>
        </w:rPr>
        <w:t xml:space="preserve">v sume </w:t>
      </w:r>
      <w:r w:rsidRPr="00072035">
        <w:rPr>
          <w:rFonts w:ascii="Times New Roman" w:hAnsi="Times New Roman" w:cs="Times New Roman"/>
          <w:color w:val="000000"/>
          <w:sz w:val="24"/>
          <w:szCs w:val="24"/>
        </w:rPr>
        <w:t>7 158 284,23 eur. Výdavky boli použité na refundáciu mzdových výdavkov (hrubé mzdy, odmeny a odvody zamestnávateľa) zamestnancov podieľajúcich sa na riadení, implementácii, monitorovaní, hodnotení, informovaní, kontrole, audite OP KaHR a činnostiach súvisiacich s prípravou programového obdobia 2014 – 2020, na financovanie materiálno – technického vybavenia oprávnených zamestnancov, výdavkov prípravy programového obdobia 2014-2020,  služieb advokátskej kancelárie pre OP KaHR, nákupu štatistického systému  pre Windows v rámci zabezpečenia technického vybavenia pre podporu procesov OP KaHR, tlačených informačných materiálov o OP KaHR, vzdelávania zamestnancov Riadiaceho orgánu pre OP KaHR a výdavkov na zakúpenie vysielacieho času pre odvysielanie propagačných spotov o OP KaHR v celoplošných a regionálnych televíziách.</w:t>
      </w:r>
    </w:p>
    <w:p w:rsidR="00072035" w:rsidRPr="00072035" w:rsidRDefault="00072035" w:rsidP="00072035">
      <w:pPr>
        <w:pStyle w:val="Zkladntext2"/>
        <w:spacing w:after="0" w:line="240" w:lineRule="auto"/>
        <w:rPr>
          <w:rFonts w:ascii="Times New Roman" w:hAnsi="Times New Roman" w:cs="Times New Roman"/>
          <w:bCs/>
          <w:color w:val="000000"/>
          <w:sz w:val="24"/>
          <w:szCs w:val="24"/>
        </w:rPr>
      </w:pPr>
    </w:p>
    <w:p w:rsidR="00072035" w:rsidRPr="00072035" w:rsidRDefault="00072035" w:rsidP="00072035">
      <w:pPr>
        <w:pStyle w:val="Zkladntext2"/>
        <w:spacing w:after="0" w:line="240" w:lineRule="auto"/>
        <w:rPr>
          <w:rFonts w:ascii="Times New Roman" w:hAnsi="Times New Roman" w:cs="Times New Roman"/>
          <w:b/>
          <w:bCs/>
          <w:color w:val="000000"/>
          <w:sz w:val="24"/>
          <w:szCs w:val="24"/>
        </w:rPr>
      </w:pPr>
      <w:r w:rsidRPr="00072035">
        <w:rPr>
          <w:rFonts w:ascii="Times New Roman" w:hAnsi="Times New Roman" w:cs="Times New Roman"/>
          <w:b/>
          <w:bCs/>
          <w:color w:val="000000"/>
          <w:sz w:val="24"/>
          <w:szCs w:val="24"/>
        </w:rPr>
        <w:t>Operačný program INTERREG</w:t>
      </w:r>
    </w:p>
    <w:tbl>
      <w:tblPr>
        <w:tblW w:w="0" w:type="auto"/>
        <w:tblLayout w:type="fixed"/>
        <w:tblCellMar>
          <w:left w:w="0" w:type="dxa"/>
          <w:right w:w="0" w:type="dxa"/>
        </w:tblCellMar>
        <w:tblLook w:val="0000" w:firstRow="0" w:lastRow="0" w:firstColumn="0" w:lastColumn="0" w:noHBand="0" w:noVBand="0"/>
      </w:tblPr>
      <w:tblGrid>
        <w:gridCol w:w="1920"/>
        <w:gridCol w:w="1920"/>
        <w:gridCol w:w="1920"/>
        <w:gridCol w:w="1536"/>
        <w:gridCol w:w="960"/>
        <w:gridCol w:w="140"/>
        <w:gridCol w:w="140"/>
      </w:tblGrid>
      <w:tr w:rsidR="00072035" w:rsidRPr="00072035" w:rsidTr="000500C7">
        <w:tc>
          <w:tcPr>
            <w:tcW w:w="1920"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c>
          <w:tcPr>
            <w:tcW w:w="1920"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c>
          <w:tcPr>
            <w:tcW w:w="1920"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c>
          <w:tcPr>
            <w:tcW w:w="1536"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c>
          <w:tcPr>
            <w:tcW w:w="960"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c>
          <w:tcPr>
            <w:tcW w:w="140"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c>
          <w:tcPr>
            <w:tcW w:w="140" w:type="dxa"/>
            <w:tcBorders>
              <w:top w:val="nil"/>
              <w:left w:val="nil"/>
              <w:bottom w:val="nil"/>
              <w:right w:val="nil"/>
            </w:tcBorders>
            <w:vAlign w:val="center"/>
          </w:tcPr>
          <w:p w:rsidR="00072035" w:rsidRPr="00072035" w:rsidRDefault="00072035" w:rsidP="00072035">
            <w:pPr>
              <w:autoSpaceDE w:val="0"/>
              <w:autoSpaceDN w:val="0"/>
              <w:adjustRightInd w:val="0"/>
              <w:spacing w:after="0" w:line="240" w:lineRule="auto"/>
              <w:rPr>
                <w:rFonts w:ascii="Times New Roman" w:hAnsi="Times New Roman" w:cs="Times New Roman"/>
                <w:sz w:val="24"/>
                <w:szCs w:val="24"/>
                <w:lang w:eastAsia="sk-SK"/>
              </w:rPr>
            </w:pPr>
          </w:p>
        </w:tc>
      </w:tr>
    </w:tbl>
    <w:p w:rsidR="00072035" w:rsidRPr="00072035" w:rsidRDefault="00072035" w:rsidP="003F42AE">
      <w:pPr>
        <w:pStyle w:val="Zkladntext2"/>
        <w:spacing w:after="0" w:line="240" w:lineRule="auto"/>
        <w:ind w:firstLine="567"/>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 xml:space="preserve">Na tento operačný program boli na rok 2015 schválené rozpočtové výdavky v sume   33 352,00 eur. </w:t>
      </w:r>
      <w:r w:rsidRPr="00072035">
        <w:rPr>
          <w:rFonts w:ascii="Times New Roman" w:hAnsi="Times New Roman" w:cs="Times New Roman"/>
          <w:bCs/>
          <w:color w:val="000000"/>
          <w:sz w:val="24"/>
          <w:szCs w:val="24"/>
        </w:rPr>
        <w:tab/>
      </w:r>
    </w:p>
    <w:p w:rsidR="00072035" w:rsidRPr="00072035" w:rsidRDefault="00072035" w:rsidP="003F42AE">
      <w:pPr>
        <w:pStyle w:val="Zkladntext2"/>
        <w:spacing w:after="0" w:line="240" w:lineRule="auto"/>
        <w:ind w:firstLine="567"/>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V rámci uvedeného operačného programu bolo k </w:t>
      </w:r>
      <w:r w:rsidR="00190A08">
        <w:rPr>
          <w:rFonts w:ascii="Times New Roman" w:hAnsi="Times New Roman" w:cs="Times New Roman"/>
          <w:bCs/>
          <w:color w:val="000000"/>
          <w:sz w:val="24"/>
          <w:szCs w:val="24"/>
        </w:rPr>
        <w:t xml:space="preserve"> </w:t>
      </w:r>
      <w:r w:rsidRPr="00072035">
        <w:rPr>
          <w:rFonts w:ascii="Times New Roman" w:hAnsi="Times New Roman" w:cs="Times New Roman"/>
          <w:bCs/>
          <w:color w:val="000000"/>
          <w:sz w:val="24"/>
          <w:szCs w:val="24"/>
        </w:rPr>
        <w:t>31.</w:t>
      </w:r>
      <w:r w:rsidR="00190A08">
        <w:rPr>
          <w:rFonts w:ascii="Times New Roman" w:hAnsi="Times New Roman" w:cs="Times New Roman"/>
          <w:bCs/>
          <w:color w:val="000000"/>
          <w:sz w:val="24"/>
          <w:szCs w:val="24"/>
        </w:rPr>
        <w:t xml:space="preserve"> </w:t>
      </w:r>
      <w:r w:rsidRPr="00072035">
        <w:rPr>
          <w:rFonts w:ascii="Times New Roman" w:hAnsi="Times New Roman" w:cs="Times New Roman"/>
          <w:bCs/>
          <w:color w:val="000000"/>
          <w:sz w:val="24"/>
          <w:szCs w:val="24"/>
        </w:rPr>
        <w:t>12.</w:t>
      </w:r>
      <w:r w:rsidR="00190A08">
        <w:rPr>
          <w:rFonts w:ascii="Times New Roman" w:hAnsi="Times New Roman" w:cs="Times New Roman"/>
          <w:bCs/>
          <w:color w:val="000000"/>
          <w:sz w:val="24"/>
          <w:szCs w:val="24"/>
        </w:rPr>
        <w:t xml:space="preserve"> </w:t>
      </w:r>
      <w:r w:rsidRPr="00072035">
        <w:rPr>
          <w:rFonts w:ascii="Times New Roman" w:hAnsi="Times New Roman" w:cs="Times New Roman"/>
          <w:bCs/>
          <w:color w:val="000000"/>
          <w:sz w:val="24"/>
          <w:szCs w:val="24"/>
        </w:rPr>
        <w:t>2015 vyčerpaných                    33 349,00 eur, čo je 99,99 % z upraveného rozpočtu.</w:t>
      </w:r>
    </w:p>
    <w:p w:rsidR="00072035" w:rsidRPr="00072035" w:rsidRDefault="00072035" w:rsidP="00072035">
      <w:pPr>
        <w:pStyle w:val="Zkladntext2"/>
        <w:spacing w:after="0" w:line="240" w:lineRule="auto"/>
        <w:rPr>
          <w:rFonts w:ascii="Times New Roman" w:hAnsi="Times New Roman" w:cs="Times New Roman"/>
          <w:b/>
          <w:bCs/>
          <w:color w:val="000000"/>
          <w:sz w:val="24"/>
          <w:szCs w:val="24"/>
        </w:rPr>
      </w:pPr>
    </w:p>
    <w:p w:rsidR="00072035" w:rsidRPr="00072035" w:rsidRDefault="00072035" w:rsidP="00072035">
      <w:pPr>
        <w:pStyle w:val="Zkladntext2"/>
        <w:spacing w:after="0" w:line="240" w:lineRule="auto"/>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 xml:space="preserve">07K0B  INTERREG IVC </w:t>
      </w:r>
    </w:p>
    <w:p w:rsidR="00072035" w:rsidRPr="00072035" w:rsidRDefault="00072035" w:rsidP="00072035">
      <w:pPr>
        <w:pStyle w:val="Zkladntext2"/>
        <w:spacing w:after="0" w:line="240" w:lineRule="auto"/>
        <w:rPr>
          <w:rFonts w:ascii="Times New Roman" w:hAnsi="Times New Roman" w:cs="Times New Roman"/>
          <w:b/>
          <w:bCs/>
          <w:color w:val="000000"/>
          <w:sz w:val="24"/>
          <w:szCs w:val="24"/>
        </w:rPr>
      </w:pPr>
    </w:p>
    <w:p w:rsidR="00072035" w:rsidRPr="00072035" w:rsidRDefault="00072035" w:rsidP="003F42AE">
      <w:pPr>
        <w:pStyle w:val="Zkladntext2"/>
        <w:spacing w:after="0" w:line="240" w:lineRule="auto"/>
        <w:ind w:firstLine="567"/>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Cieľom programu INTERREG IVC je posilniť v programovom období 2007 - 2013 medziregionálnu spoluprácu európskych regiónov. V  rámci finančných prostriedkov vyčlenených na úhradu povinného príspevku do Spoločného technického sekretariátu pre program INTERREG  IVC došlo  k čerpaniu v zmysle účelu ich použitia. Na základe výzvy STS v Lille bolo prostredníctvom štátnej pokladne uhradených celkovo 10 071,00 eur  ako povinný príspevok za rok 2015.</w:t>
      </w:r>
    </w:p>
    <w:p w:rsidR="00072035" w:rsidRPr="00072035" w:rsidRDefault="00072035" w:rsidP="00072035">
      <w:pPr>
        <w:pStyle w:val="Zkladntext2"/>
        <w:spacing w:after="0" w:line="240" w:lineRule="auto"/>
        <w:rPr>
          <w:rFonts w:ascii="Times New Roman" w:hAnsi="Times New Roman" w:cs="Times New Roman"/>
          <w:bCs/>
          <w:color w:val="000000"/>
          <w:sz w:val="24"/>
          <w:szCs w:val="24"/>
        </w:rPr>
      </w:pPr>
    </w:p>
    <w:p w:rsidR="00072035" w:rsidRPr="00072035" w:rsidRDefault="00072035" w:rsidP="00072035">
      <w:pPr>
        <w:pStyle w:val="Zkladntext2"/>
        <w:spacing w:after="0" w:line="240" w:lineRule="auto"/>
        <w:rPr>
          <w:rFonts w:ascii="Times New Roman" w:hAnsi="Times New Roman" w:cs="Times New Roman"/>
          <w:bCs/>
          <w:i/>
          <w:sz w:val="24"/>
          <w:szCs w:val="24"/>
        </w:rPr>
      </w:pPr>
      <w:r w:rsidRPr="00072035">
        <w:rPr>
          <w:rFonts w:ascii="Times New Roman" w:hAnsi="Times New Roman" w:cs="Times New Roman"/>
          <w:bCs/>
          <w:i/>
          <w:sz w:val="24"/>
          <w:szCs w:val="24"/>
        </w:rPr>
        <w:t>07K0G  INTERREG EUROPE</w:t>
      </w:r>
    </w:p>
    <w:p w:rsidR="00072035" w:rsidRPr="00072035" w:rsidRDefault="00072035" w:rsidP="00072035">
      <w:pPr>
        <w:spacing w:after="0" w:line="240" w:lineRule="auto"/>
        <w:jc w:val="both"/>
        <w:rPr>
          <w:rFonts w:ascii="Times New Roman" w:hAnsi="Times New Roman" w:cs="Times New Roman"/>
          <w:bCs/>
          <w:sz w:val="24"/>
          <w:szCs w:val="24"/>
          <w:u w:val="single"/>
          <w:lang w:eastAsia="sk-SK"/>
        </w:rPr>
      </w:pPr>
    </w:p>
    <w:p w:rsidR="00072035" w:rsidRDefault="00072035" w:rsidP="003F42AE">
      <w:pPr>
        <w:pStyle w:val="Zkladntext2"/>
        <w:spacing w:after="0" w:line="240" w:lineRule="auto"/>
        <w:ind w:firstLine="708"/>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 xml:space="preserve">Program spolupráce INTERREG EUROPE 2014 – 2020 (ďalej len ako INTERREG EUROPE) je programom medzirezortnej spolupráce v rámci cieľa Európska územná spolupráca a bol vytvorený za účelom podporiť príslušné organizácie vytvárajúce politiky v štúdiu politík s cieľom zlepšiť účinnosť politík a programov regionálneho rozvoja, predovšetkým programov štrukturálnych fondov  a prípadne aj programov európskej územnej spolupráce. V rámci finančných prostriedkov vyčlenených na úhradu povinného príspevku do Spoločného sekretariátu pre program INTERREG EUROPE bolo  k 31.12.2015 vyčerpaných </w:t>
      </w:r>
      <w:r w:rsidRPr="00072035">
        <w:rPr>
          <w:rFonts w:ascii="Times New Roman" w:hAnsi="Times New Roman" w:cs="Times New Roman"/>
          <w:bCs/>
          <w:sz w:val="24"/>
          <w:szCs w:val="24"/>
        </w:rPr>
        <w:t>23 278,00 eur.</w:t>
      </w:r>
      <w:r w:rsidRPr="00072035">
        <w:rPr>
          <w:rFonts w:ascii="Times New Roman" w:hAnsi="Times New Roman" w:cs="Times New Roman"/>
          <w:bCs/>
          <w:color w:val="000000"/>
          <w:sz w:val="24"/>
          <w:szCs w:val="24"/>
        </w:rPr>
        <w:t xml:space="preserve">     </w:t>
      </w:r>
    </w:p>
    <w:p w:rsidR="009B6D10" w:rsidRPr="00072035" w:rsidRDefault="009B6D10" w:rsidP="003F42AE">
      <w:pPr>
        <w:pStyle w:val="Zkladntext2"/>
        <w:spacing w:after="0" w:line="240" w:lineRule="auto"/>
        <w:ind w:firstLine="708"/>
        <w:jc w:val="both"/>
        <w:rPr>
          <w:rFonts w:ascii="Times New Roman" w:hAnsi="Times New Roman" w:cs="Times New Roman"/>
          <w:bCs/>
          <w:color w:val="000000"/>
          <w:sz w:val="24"/>
          <w:szCs w:val="24"/>
        </w:rPr>
      </w:pPr>
    </w:p>
    <w:p w:rsidR="00072035" w:rsidRPr="00072035" w:rsidRDefault="00072035" w:rsidP="00072035">
      <w:pPr>
        <w:autoSpaceDE w:val="0"/>
        <w:autoSpaceDN w:val="0"/>
        <w:adjustRightInd w:val="0"/>
        <w:spacing w:after="0" w:line="240" w:lineRule="auto"/>
        <w:jc w:val="both"/>
        <w:rPr>
          <w:rFonts w:ascii="Times New Roman" w:hAnsi="Times New Roman" w:cs="Times New Roman"/>
          <w:b/>
          <w:color w:val="000000"/>
          <w:sz w:val="24"/>
          <w:szCs w:val="24"/>
          <w:lang w:eastAsia="sk-SK"/>
        </w:rPr>
      </w:pPr>
      <w:r w:rsidRPr="00072035">
        <w:rPr>
          <w:rFonts w:ascii="Times New Roman" w:hAnsi="Times New Roman" w:cs="Times New Roman"/>
          <w:b/>
          <w:color w:val="000000"/>
          <w:sz w:val="24"/>
          <w:szCs w:val="24"/>
          <w:lang w:eastAsia="sk-SK"/>
        </w:rPr>
        <w:t xml:space="preserve">Operačný program INTERACT </w:t>
      </w:r>
    </w:p>
    <w:p w:rsidR="00072035" w:rsidRPr="00072035" w:rsidRDefault="00072035" w:rsidP="00072035">
      <w:pPr>
        <w:autoSpaceDE w:val="0"/>
        <w:autoSpaceDN w:val="0"/>
        <w:adjustRightInd w:val="0"/>
        <w:spacing w:after="0" w:line="240" w:lineRule="auto"/>
        <w:jc w:val="both"/>
        <w:rPr>
          <w:rFonts w:ascii="Times New Roman" w:hAnsi="Times New Roman" w:cs="Times New Roman"/>
          <w:bCs/>
          <w:color w:val="000000"/>
          <w:sz w:val="24"/>
          <w:szCs w:val="24"/>
        </w:rPr>
      </w:pPr>
    </w:p>
    <w:p w:rsidR="00072035" w:rsidRPr="00072035" w:rsidRDefault="00072035" w:rsidP="00190A08">
      <w:pPr>
        <w:pStyle w:val="Zkladntext2"/>
        <w:spacing w:after="0" w:line="240" w:lineRule="auto"/>
        <w:ind w:firstLine="567"/>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Na tento operačný program boli na rok 2015 schválené rozpočtové výdavky v </w:t>
      </w:r>
      <w:r w:rsidR="00190A08">
        <w:rPr>
          <w:rFonts w:ascii="Times New Roman" w:hAnsi="Times New Roman" w:cs="Times New Roman"/>
          <w:bCs/>
          <w:color w:val="000000"/>
          <w:sz w:val="24"/>
          <w:szCs w:val="24"/>
        </w:rPr>
        <w:t>sume</w:t>
      </w:r>
      <w:r w:rsidRPr="00072035">
        <w:rPr>
          <w:rFonts w:ascii="Times New Roman" w:hAnsi="Times New Roman" w:cs="Times New Roman"/>
          <w:bCs/>
          <w:color w:val="000000"/>
          <w:sz w:val="24"/>
          <w:szCs w:val="24"/>
        </w:rPr>
        <w:t xml:space="preserve">   94 123,00 eur. </w:t>
      </w:r>
      <w:r w:rsidRPr="00072035">
        <w:rPr>
          <w:rFonts w:ascii="Times New Roman" w:hAnsi="Times New Roman" w:cs="Times New Roman"/>
          <w:bCs/>
          <w:color w:val="000000"/>
          <w:sz w:val="24"/>
          <w:szCs w:val="24"/>
        </w:rPr>
        <w:tab/>
      </w:r>
    </w:p>
    <w:p w:rsidR="00072035" w:rsidRPr="00072035" w:rsidRDefault="00072035" w:rsidP="00190A08">
      <w:pPr>
        <w:pStyle w:val="Zkladntext2"/>
        <w:spacing w:after="0" w:line="240" w:lineRule="auto"/>
        <w:ind w:firstLine="567"/>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V rámci uvedeného operačného programu bolo k 31.12.2015 vyčerpaných                     92 151,50 eur, čo je 97,91 % zo schváleného rozpočtu.</w:t>
      </w:r>
    </w:p>
    <w:p w:rsidR="00072035" w:rsidRPr="00072035" w:rsidRDefault="00072035" w:rsidP="00072035">
      <w:pPr>
        <w:pStyle w:val="Zkladntext2"/>
        <w:spacing w:after="0" w:line="240" w:lineRule="auto"/>
        <w:ind w:firstLine="567"/>
        <w:rPr>
          <w:rFonts w:ascii="Times New Roman" w:hAnsi="Times New Roman" w:cs="Times New Roman"/>
          <w:b/>
          <w:bCs/>
          <w:color w:val="FF0000"/>
          <w:sz w:val="24"/>
          <w:szCs w:val="24"/>
        </w:rPr>
      </w:pPr>
    </w:p>
    <w:p w:rsidR="00072035" w:rsidRPr="00072035" w:rsidRDefault="00072035" w:rsidP="00072035">
      <w:pPr>
        <w:autoSpaceDE w:val="0"/>
        <w:autoSpaceDN w:val="0"/>
        <w:adjustRightInd w:val="0"/>
        <w:spacing w:after="0" w:line="240" w:lineRule="auto"/>
        <w:jc w:val="both"/>
        <w:rPr>
          <w:rFonts w:ascii="Times New Roman" w:hAnsi="Times New Roman" w:cs="Times New Roman"/>
          <w:bCs/>
          <w:i/>
          <w:color w:val="000000"/>
          <w:sz w:val="24"/>
          <w:szCs w:val="24"/>
        </w:rPr>
      </w:pPr>
      <w:r w:rsidRPr="00072035">
        <w:rPr>
          <w:rFonts w:ascii="Times New Roman" w:hAnsi="Times New Roman" w:cs="Times New Roman"/>
          <w:bCs/>
          <w:i/>
          <w:color w:val="000000"/>
          <w:sz w:val="24"/>
          <w:szCs w:val="24"/>
        </w:rPr>
        <w:t xml:space="preserve">07K0H  INTERACT III </w:t>
      </w:r>
    </w:p>
    <w:p w:rsidR="00072035" w:rsidRPr="00072035" w:rsidRDefault="00072035" w:rsidP="00072035">
      <w:pPr>
        <w:spacing w:before="240" w:after="0" w:line="240" w:lineRule="auto"/>
        <w:ind w:firstLine="539"/>
        <w:jc w:val="both"/>
        <w:rPr>
          <w:rFonts w:ascii="Times New Roman" w:hAnsi="Times New Roman" w:cs="Times New Roman"/>
          <w:bCs/>
          <w:color w:val="000000"/>
          <w:sz w:val="24"/>
          <w:szCs w:val="24"/>
        </w:rPr>
      </w:pPr>
      <w:r w:rsidRPr="00072035">
        <w:rPr>
          <w:rFonts w:ascii="Times New Roman" w:hAnsi="Times New Roman" w:cs="Times New Roman"/>
          <w:bCs/>
          <w:color w:val="000000"/>
          <w:sz w:val="24"/>
          <w:szCs w:val="24"/>
        </w:rPr>
        <w:t xml:space="preserve">Program spolupráce  INTERACT III 2014 - 2020 (ďalej len ako INTERACT III) je programom medziregionálnej  spolupráce v rámci  cieľa Európska územná spolupráca a bol založený s cieľom posilniť účinnosť politiky súdržnosti podporovaním výmeny skúseností týkajúcich sa identifikácie, prenosu a šírenia osvedčených postupov a inovatívnych prístupov v súvislosti s realizáciou programov územnej spolupráce a činnosťami súvisiacimi s územnou spoluprácou a využitím EZÚS. Jeho cieľom je zabezpečiť inteligentný, udržateľný a inkluzívny rast stratégie Európa 2020 podporovaním programov územnej spolupráce a využívať metódy vytvárania sietí, ktoré podporujú spoluprácu, ako spôsob, ktorým prispeje k inovatívnemu integrovanému prístupu. V rámci finančných prostriedkov vyčlenených na úhradu povinného príspevku  pre program INTERACT III  bolo k  31.12.2015 vyčerpaných 92 151,50 eur.  </w:t>
      </w:r>
    </w:p>
    <w:p w:rsidR="00072035" w:rsidRPr="00072035" w:rsidRDefault="00072035" w:rsidP="00072035">
      <w:pPr>
        <w:pStyle w:val="Zkladntext2"/>
        <w:spacing w:after="0" w:line="240" w:lineRule="auto"/>
        <w:rPr>
          <w:rFonts w:ascii="Times New Roman" w:hAnsi="Times New Roman" w:cs="Times New Roman"/>
          <w:bCs/>
          <w:color w:val="000000"/>
          <w:sz w:val="24"/>
          <w:szCs w:val="24"/>
        </w:rPr>
      </w:pPr>
    </w:p>
    <w:p w:rsidR="00072035" w:rsidRPr="00072035" w:rsidRDefault="00072035" w:rsidP="00072035">
      <w:pPr>
        <w:pStyle w:val="Zkladntext2"/>
        <w:spacing w:after="0" w:line="240" w:lineRule="auto"/>
        <w:rPr>
          <w:rFonts w:ascii="Times New Roman" w:hAnsi="Times New Roman" w:cs="Times New Roman"/>
          <w:b/>
          <w:bCs/>
          <w:color w:val="000000"/>
          <w:sz w:val="24"/>
          <w:szCs w:val="24"/>
        </w:rPr>
      </w:pPr>
      <w:r w:rsidRPr="00072035">
        <w:rPr>
          <w:rFonts w:ascii="Times New Roman" w:hAnsi="Times New Roman" w:cs="Times New Roman"/>
          <w:b/>
          <w:bCs/>
          <w:color w:val="000000"/>
          <w:sz w:val="24"/>
          <w:szCs w:val="24"/>
        </w:rPr>
        <w:t>Operačný program Výskum a inovácie</w:t>
      </w:r>
    </w:p>
    <w:p w:rsidR="00072035" w:rsidRPr="00072035" w:rsidRDefault="00072035" w:rsidP="00072035">
      <w:pPr>
        <w:pStyle w:val="Zkladntext2"/>
        <w:spacing w:after="0" w:line="240" w:lineRule="auto"/>
        <w:rPr>
          <w:rFonts w:ascii="Times New Roman" w:hAnsi="Times New Roman" w:cs="Times New Roman"/>
          <w:bCs/>
          <w:color w:val="000000"/>
          <w:sz w:val="24"/>
          <w:szCs w:val="24"/>
        </w:rPr>
      </w:pPr>
    </w:p>
    <w:p w:rsidR="00072035" w:rsidRPr="00072035" w:rsidRDefault="00072035" w:rsidP="00072035">
      <w:pPr>
        <w:pStyle w:val="Zkladntext2"/>
        <w:spacing w:after="0" w:line="240" w:lineRule="auto"/>
        <w:ind w:firstLine="567"/>
        <w:jc w:val="both"/>
        <w:rPr>
          <w:rFonts w:ascii="Times New Roman" w:hAnsi="Times New Roman" w:cs="Times New Roman"/>
          <w:color w:val="000000"/>
          <w:sz w:val="24"/>
          <w:szCs w:val="24"/>
        </w:rPr>
      </w:pPr>
      <w:r w:rsidRPr="00072035">
        <w:rPr>
          <w:rFonts w:ascii="Times New Roman" w:hAnsi="Times New Roman" w:cs="Times New Roman"/>
          <w:color w:val="000000"/>
          <w:sz w:val="24"/>
          <w:szCs w:val="24"/>
        </w:rPr>
        <w:t xml:space="preserve">Operačný program Výskum a inovácie (OP VaI) predstavuje spoločný programový dokument  Ministerstva školstva, vedy, výskumu a športu Slovenskej republiky a Ministerstva hospodárstva Slovenskej republiky pre poskytnutie podpory z Európskych štrukturálnych a investičných fondov v programovom období 2014 – 2020 v oblasti zameranej na vytvorenie stabilného prostredia priaznivého pre inovácie pre všetky relevantné subjekty a podporu zvýšenia efektívnosti a výkonnosti systému výskumu, vývoja a inovácií, ako základného piliera pre zvyšovanie konkurencieschopnosti, udržateľného hospodárskeho rastu a zamestnanosti. </w:t>
      </w:r>
    </w:p>
    <w:p w:rsidR="00072035" w:rsidRPr="00072035" w:rsidRDefault="00072035" w:rsidP="00072035">
      <w:pPr>
        <w:autoSpaceDE w:val="0"/>
        <w:autoSpaceDN w:val="0"/>
        <w:adjustRightInd w:val="0"/>
        <w:spacing w:after="0" w:line="240" w:lineRule="auto"/>
        <w:jc w:val="both"/>
        <w:rPr>
          <w:rFonts w:ascii="Times New Roman" w:hAnsi="Times New Roman" w:cs="Times New Roman"/>
          <w:sz w:val="24"/>
          <w:szCs w:val="24"/>
          <w:lang w:eastAsia="sk-SK"/>
        </w:rPr>
      </w:pPr>
      <w:r w:rsidRPr="00072035">
        <w:rPr>
          <w:rFonts w:ascii="Times New Roman" w:hAnsi="Times New Roman" w:cs="Times New Roman"/>
          <w:color w:val="000000"/>
          <w:sz w:val="24"/>
          <w:szCs w:val="24"/>
        </w:rPr>
        <w:t xml:space="preserve">Na uvedený operačný </w:t>
      </w:r>
      <w:r w:rsidRPr="00072035">
        <w:rPr>
          <w:rFonts w:ascii="Times New Roman" w:hAnsi="Times New Roman" w:cs="Times New Roman"/>
          <w:bCs/>
          <w:color w:val="000000"/>
          <w:sz w:val="24"/>
          <w:szCs w:val="24"/>
          <w:lang w:eastAsia="sk-SK"/>
        </w:rPr>
        <w:t xml:space="preserve">program boli schválené rozpočtové prostriedky v sume                           </w:t>
      </w:r>
      <w:r w:rsidRPr="00072035">
        <w:rPr>
          <w:rFonts w:ascii="Times New Roman" w:hAnsi="Times New Roman" w:cs="Times New Roman"/>
          <w:sz w:val="24"/>
          <w:szCs w:val="24"/>
          <w:lang w:eastAsia="sk-SK"/>
        </w:rPr>
        <w:t>63 583 510,00</w:t>
      </w:r>
      <w:r w:rsidRPr="00072035">
        <w:rPr>
          <w:rFonts w:ascii="Times New Roman" w:hAnsi="Times New Roman" w:cs="Times New Roman"/>
          <w:bCs/>
          <w:color w:val="000000"/>
          <w:sz w:val="24"/>
          <w:szCs w:val="24"/>
          <w:lang w:eastAsia="sk-SK"/>
        </w:rPr>
        <w:t xml:space="preserve"> eur. Rozpočtovým opatrením MF SR bol rozpočet upravený na 0,00 eur.</w:t>
      </w:r>
    </w:p>
    <w:p w:rsidR="00072035" w:rsidRPr="00072035" w:rsidRDefault="00072035" w:rsidP="00072035">
      <w:pPr>
        <w:pStyle w:val="Zkladntext2"/>
        <w:spacing w:after="0" w:line="240" w:lineRule="auto"/>
        <w:ind w:firstLine="567"/>
        <w:rPr>
          <w:rFonts w:ascii="Times New Roman" w:hAnsi="Times New Roman" w:cs="Times New Roman"/>
          <w:b/>
          <w:color w:val="000000"/>
          <w:sz w:val="24"/>
          <w:szCs w:val="24"/>
        </w:rPr>
      </w:pPr>
    </w:p>
    <w:p w:rsidR="00072035" w:rsidRPr="00072035" w:rsidRDefault="00072035" w:rsidP="00072035">
      <w:pPr>
        <w:pStyle w:val="Zkladntext2"/>
        <w:spacing w:after="0" w:line="240" w:lineRule="auto"/>
        <w:ind w:firstLine="567"/>
        <w:rPr>
          <w:rFonts w:ascii="Times New Roman" w:hAnsi="Times New Roman" w:cs="Times New Roman"/>
          <w:color w:val="000000"/>
          <w:sz w:val="24"/>
          <w:szCs w:val="24"/>
        </w:rPr>
      </w:pPr>
      <w:r w:rsidRPr="00072035">
        <w:rPr>
          <w:rFonts w:ascii="Times New Roman" w:hAnsi="Times New Roman" w:cs="Times New Roman"/>
          <w:color w:val="000000"/>
          <w:sz w:val="24"/>
          <w:szCs w:val="24"/>
        </w:rPr>
        <w:t>V rámci operačného programu Výskum a inovácie bol v roku 2015 schválený rozpočet na jednotlivé prvky nasledovne:</w:t>
      </w:r>
    </w:p>
    <w:p w:rsidR="00072035" w:rsidRPr="00072035" w:rsidRDefault="00072035" w:rsidP="00072035">
      <w:pPr>
        <w:pStyle w:val="Zkladntext2"/>
        <w:spacing w:after="0" w:line="240" w:lineRule="auto"/>
        <w:ind w:firstLine="567"/>
        <w:rPr>
          <w:rFonts w:ascii="Times New Roman" w:hAnsi="Times New Roman" w:cs="Times New Roman"/>
          <w:b/>
          <w:color w:val="000000"/>
          <w:sz w:val="24"/>
          <w:szCs w:val="24"/>
        </w:rPr>
      </w:pPr>
    </w:p>
    <w:p w:rsidR="00072035" w:rsidRPr="00072035" w:rsidRDefault="00072035" w:rsidP="00072035">
      <w:pPr>
        <w:numPr>
          <w:ilvl w:val="0"/>
          <w:numId w:val="6"/>
        </w:numPr>
        <w:tabs>
          <w:tab w:val="clear" w:pos="720"/>
        </w:tabs>
        <w:autoSpaceDE w:val="0"/>
        <w:autoSpaceDN w:val="0"/>
        <w:adjustRightInd w:val="0"/>
        <w:spacing w:after="0" w:line="240" w:lineRule="auto"/>
        <w:ind w:left="284" w:hanging="284"/>
        <w:jc w:val="both"/>
        <w:rPr>
          <w:rFonts w:ascii="Times New Roman" w:hAnsi="Times New Roman" w:cs="Times New Roman"/>
          <w:sz w:val="24"/>
          <w:szCs w:val="24"/>
          <w:lang w:eastAsia="sk-SK"/>
        </w:rPr>
      </w:pPr>
      <w:proofErr w:type="spellStart"/>
      <w:r w:rsidRPr="00072035">
        <w:rPr>
          <w:rFonts w:ascii="Times New Roman" w:hAnsi="Times New Roman" w:cs="Times New Roman"/>
          <w:sz w:val="24"/>
          <w:szCs w:val="24"/>
          <w:lang w:eastAsia="sk-SK"/>
        </w:rPr>
        <w:t>0EA0201</w:t>
      </w:r>
      <w:proofErr w:type="spellEnd"/>
      <w:r w:rsidRPr="00072035">
        <w:rPr>
          <w:rFonts w:ascii="Times New Roman" w:hAnsi="Times New Roman" w:cs="Times New Roman"/>
          <w:sz w:val="24"/>
          <w:szCs w:val="24"/>
          <w:lang w:eastAsia="sk-SK"/>
        </w:rPr>
        <w:t xml:space="preserve"> Podpora výskumu, vývoja a inovácií – špecifický cieľ 1.2.2 v sume                   38  121 504,00 eur,</w:t>
      </w:r>
    </w:p>
    <w:p w:rsidR="00072035" w:rsidRPr="00072035" w:rsidRDefault="00072035" w:rsidP="00072035">
      <w:pPr>
        <w:numPr>
          <w:ilvl w:val="0"/>
          <w:numId w:val="6"/>
        </w:numPr>
        <w:tabs>
          <w:tab w:val="clear" w:pos="720"/>
        </w:tabs>
        <w:autoSpaceDE w:val="0"/>
        <w:autoSpaceDN w:val="0"/>
        <w:adjustRightInd w:val="0"/>
        <w:spacing w:after="0" w:line="240" w:lineRule="auto"/>
        <w:ind w:left="284" w:hanging="284"/>
        <w:jc w:val="both"/>
        <w:rPr>
          <w:rFonts w:ascii="Times New Roman" w:hAnsi="Times New Roman" w:cs="Times New Roman"/>
          <w:sz w:val="24"/>
          <w:szCs w:val="24"/>
          <w:lang w:eastAsia="sk-SK"/>
        </w:rPr>
      </w:pPr>
      <w:proofErr w:type="spellStart"/>
      <w:r w:rsidRPr="00072035">
        <w:rPr>
          <w:rFonts w:ascii="Times New Roman" w:hAnsi="Times New Roman" w:cs="Times New Roman"/>
          <w:sz w:val="24"/>
          <w:szCs w:val="24"/>
          <w:lang w:eastAsia="sk-SK"/>
        </w:rPr>
        <w:t>0EA0202</w:t>
      </w:r>
      <w:proofErr w:type="spellEnd"/>
      <w:r w:rsidRPr="00072035">
        <w:rPr>
          <w:rFonts w:ascii="Times New Roman" w:hAnsi="Times New Roman" w:cs="Times New Roman"/>
          <w:sz w:val="24"/>
          <w:szCs w:val="24"/>
          <w:lang w:eastAsia="sk-SK"/>
        </w:rPr>
        <w:t xml:space="preserve"> Podpora výskumu, vývoja a inovácií v Bratislavskom kraji – špecifický cieľ 2.2.2 v sume  2 138 732,00 eur,           </w:t>
      </w:r>
    </w:p>
    <w:p w:rsidR="00072035" w:rsidRPr="00072035" w:rsidRDefault="00072035" w:rsidP="00072035">
      <w:pPr>
        <w:numPr>
          <w:ilvl w:val="0"/>
          <w:numId w:val="6"/>
        </w:numPr>
        <w:tabs>
          <w:tab w:val="clear" w:pos="720"/>
        </w:tabs>
        <w:autoSpaceDE w:val="0"/>
        <w:autoSpaceDN w:val="0"/>
        <w:adjustRightInd w:val="0"/>
        <w:spacing w:after="0" w:line="240" w:lineRule="auto"/>
        <w:ind w:left="284" w:hanging="284"/>
        <w:jc w:val="both"/>
        <w:rPr>
          <w:rFonts w:ascii="Times New Roman" w:hAnsi="Times New Roman" w:cs="Times New Roman"/>
          <w:sz w:val="24"/>
          <w:szCs w:val="24"/>
          <w:lang w:eastAsia="sk-SK"/>
        </w:rPr>
      </w:pPr>
      <w:proofErr w:type="spellStart"/>
      <w:r w:rsidRPr="00072035">
        <w:rPr>
          <w:rFonts w:ascii="Times New Roman" w:hAnsi="Times New Roman" w:cs="Times New Roman"/>
          <w:sz w:val="24"/>
          <w:szCs w:val="24"/>
          <w:lang w:eastAsia="sk-SK"/>
        </w:rPr>
        <w:t>0EA0203</w:t>
      </w:r>
      <w:proofErr w:type="spellEnd"/>
      <w:r w:rsidRPr="00072035">
        <w:rPr>
          <w:rFonts w:ascii="Times New Roman" w:hAnsi="Times New Roman" w:cs="Times New Roman"/>
          <w:sz w:val="24"/>
          <w:szCs w:val="24"/>
          <w:lang w:eastAsia="sk-SK"/>
        </w:rPr>
        <w:t xml:space="preserve"> Posilnenie konkurencieschopnosti a rastu MSP – prioritná os 3 v sume                   19 406 824,00 eur,            </w:t>
      </w:r>
    </w:p>
    <w:p w:rsidR="00072035" w:rsidRPr="00072035" w:rsidRDefault="00072035" w:rsidP="00072035">
      <w:pPr>
        <w:numPr>
          <w:ilvl w:val="0"/>
          <w:numId w:val="6"/>
        </w:numPr>
        <w:tabs>
          <w:tab w:val="clear" w:pos="720"/>
        </w:tabs>
        <w:autoSpaceDE w:val="0"/>
        <w:autoSpaceDN w:val="0"/>
        <w:adjustRightInd w:val="0"/>
        <w:spacing w:after="0" w:line="240" w:lineRule="auto"/>
        <w:ind w:left="284" w:hanging="284"/>
        <w:jc w:val="both"/>
        <w:rPr>
          <w:rFonts w:ascii="Times New Roman" w:hAnsi="Times New Roman" w:cs="Times New Roman"/>
          <w:sz w:val="24"/>
          <w:szCs w:val="24"/>
          <w:lang w:eastAsia="sk-SK"/>
        </w:rPr>
      </w:pPr>
      <w:proofErr w:type="spellStart"/>
      <w:r w:rsidRPr="00072035">
        <w:rPr>
          <w:rFonts w:ascii="Times New Roman" w:hAnsi="Times New Roman" w:cs="Times New Roman"/>
          <w:sz w:val="24"/>
          <w:szCs w:val="24"/>
          <w:lang w:eastAsia="sk-SK"/>
        </w:rPr>
        <w:t>0EA0204</w:t>
      </w:r>
      <w:proofErr w:type="spellEnd"/>
      <w:r w:rsidRPr="00072035">
        <w:rPr>
          <w:rFonts w:ascii="Times New Roman" w:hAnsi="Times New Roman" w:cs="Times New Roman"/>
          <w:sz w:val="24"/>
          <w:szCs w:val="24"/>
          <w:lang w:eastAsia="sk-SK"/>
        </w:rPr>
        <w:t xml:space="preserve"> Rozvoj konkurencieschopných MSP v Bratislavskom kraji - prioritná os 4 v sume 1 931 247,00 eur,         </w:t>
      </w:r>
    </w:p>
    <w:p w:rsidR="00072035" w:rsidRPr="00072035" w:rsidRDefault="00072035" w:rsidP="00072035">
      <w:pPr>
        <w:numPr>
          <w:ilvl w:val="0"/>
          <w:numId w:val="6"/>
        </w:numPr>
        <w:tabs>
          <w:tab w:val="clear" w:pos="720"/>
        </w:tabs>
        <w:autoSpaceDE w:val="0"/>
        <w:autoSpaceDN w:val="0"/>
        <w:adjustRightInd w:val="0"/>
        <w:spacing w:after="0" w:line="240" w:lineRule="auto"/>
        <w:ind w:left="284" w:hanging="284"/>
        <w:jc w:val="both"/>
        <w:rPr>
          <w:rFonts w:ascii="Times New Roman" w:hAnsi="Times New Roman" w:cs="Times New Roman"/>
          <w:sz w:val="24"/>
          <w:szCs w:val="24"/>
          <w:lang w:eastAsia="sk-SK"/>
        </w:rPr>
      </w:pPr>
      <w:proofErr w:type="spellStart"/>
      <w:r w:rsidRPr="00072035">
        <w:rPr>
          <w:rFonts w:ascii="Times New Roman" w:hAnsi="Times New Roman" w:cs="Times New Roman"/>
          <w:sz w:val="24"/>
          <w:szCs w:val="24"/>
          <w:lang w:eastAsia="sk-SK"/>
        </w:rPr>
        <w:t>0EA0205</w:t>
      </w:r>
      <w:proofErr w:type="spellEnd"/>
      <w:r w:rsidRPr="00072035">
        <w:rPr>
          <w:rFonts w:ascii="Times New Roman" w:hAnsi="Times New Roman" w:cs="Times New Roman"/>
          <w:sz w:val="24"/>
          <w:szCs w:val="24"/>
          <w:lang w:eastAsia="sk-SK"/>
        </w:rPr>
        <w:t xml:space="preserve"> Technická pomoc – prioritná os 5 v sume  1 985 203,00 eur.      </w:t>
      </w:r>
    </w:p>
    <w:p w:rsidR="00072035" w:rsidRPr="00072035" w:rsidRDefault="00072035" w:rsidP="00D23240">
      <w:pPr>
        <w:autoSpaceDE w:val="0"/>
        <w:autoSpaceDN w:val="0"/>
        <w:adjustRightInd w:val="0"/>
        <w:spacing w:after="0" w:line="240" w:lineRule="auto"/>
        <w:ind w:left="284"/>
        <w:jc w:val="both"/>
        <w:rPr>
          <w:rFonts w:ascii="Times New Roman" w:hAnsi="Times New Roman" w:cs="Times New Roman"/>
          <w:color w:val="000000"/>
          <w:sz w:val="24"/>
          <w:szCs w:val="24"/>
        </w:rPr>
      </w:pPr>
      <w:r w:rsidRPr="00072035">
        <w:rPr>
          <w:rFonts w:ascii="Times New Roman" w:hAnsi="Times New Roman" w:cs="Times New Roman"/>
          <w:sz w:val="24"/>
          <w:szCs w:val="24"/>
          <w:lang w:eastAsia="sk-SK"/>
        </w:rPr>
        <w:t xml:space="preserve">     </w:t>
      </w:r>
      <w:r w:rsidRPr="00072035">
        <w:rPr>
          <w:rFonts w:ascii="Times New Roman" w:hAnsi="Times New Roman" w:cs="Times New Roman"/>
          <w:color w:val="000000"/>
          <w:sz w:val="24"/>
          <w:szCs w:val="24"/>
        </w:rPr>
        <w:t>Čerpanie prostriedkov OP VaI  je naplánované na 1. štvrťrok 2016.</w:t>
      </w:r>
    </w:p>
    <w:p w:rsidR="00F04EAE" w:rsidRDefault="00F04EAE" w:rsidP="00072035">
      <w:pPr>
        <w:autoSpaceDE w:val="0"/>
        <w:autoSpaceDN w:val="0"/>
        <w:adjustRightInd w:val="0"/>
        <w:spacing w:after="0" w:line="240" w:lineRule="auto"/>
        <w:jc w:val="both"/>
        <w:rPr>
          <w:rFonts w:ascii="Times New Roman" w:hAnsi="Times New Roman" w:cs="Times New Roman"/>
          <w:b/>
          <w:bCs/>
          <w:color w:val="000000"/>
          <w:sz w:val="24"/>
          <w:szCs w:val="24"/>
        </w:rPr>
      </w:pPr>
    </w:p>
    <w:p w:rsidR="00072035" w:rsidRPr="00072035" w:rsidRDefault="00072035" w:rsidP="00072035">
      <w:pPr>
        <w:autoSpaceDE w:val="0"/>
        <w:autoSpaceDN w:val="0"/>
        <w:adjustRightInd w:val="0"/>
        <w:spacing w:after="0" w:line="240" w:lineRule="auto"/>
        <w:jc w:val="both"/>
        <w:rPr>
          <w:rFonts w:ascii="Times New Roman" w:hAnsi="Times New Roman" w:cs="Times New Roman"/>
          <w:b/>
          <w:bCs/>
          <w:color w:val="000000"/>
          <w:sz w:val="24"/>
          <w:szCs w:val="24"/>
        </w:rPr>
      </w:pPr>
      <w:r w:rsidRPr="00072035">
        <w:rPr>
          <w:rFonts w:ascii="Times New Roman" w:hAnsi="Times New Roman" w:cs="Times New Roman"/>
          <w:b/>
          <w:bCs/>
          <w:color w:val="000000"/>
          <w:sz w:val="24"/>
          <w:szCs w:val="24"/>
        </w:rPr>
        <w:t>Operačný program Informatizácia spoločnosti</w:t>
      </w:r>
    </w:p>
    <w:p w:rsidR="00072035" w:rsidRPr="00072035" w:rsidRDefault="00072035" w:rsidP="00072035">
      <w:pPr>
        <w:pStyle w:val="Zkladntext"/>
        <w:tabs>
          <w:tab w:val="left" w:pos="-4962"/>
          <w:tab w:val="left" w:pos="0"/>
          <w:tab w:val="right" w:pos="8460"/>
        </w:tabs>
        <w:spacing w:after="0" w:line="240" w:lineRule="auto"/>
        <w:rPr>
          <w:rFonts w:ascii="Times New Roman" w:hAnsi="Times New Roman" w:cs="Times New Roman"/>
          <w:b/>
          <w:sz w:val="24"/>
          <w:szCs w:val="24"/>
        </w:rPr>
      </w:pPr>
    </w:p>
    <w:p w:rsidR="00072035" w:rsidRPr="00072035" w:rsidRDefault="00072035" w:rsidP="00072035">
      <w:pPr>
        <w:pStyle w:val="Zkladntext2"/>
        <w:spacing w:after="0" w:line="240" w:lineRule="auto"/>
        <w:rPr>
          <w:rFonts w:ascii="Times New Roman" w:hAnsi="Times New Roman" w:cs="Times New Roman"/>
          <w:bCs/>
          <w:i/>
          <w:sz w:val="24"/>
          <w:szCs w:val="24"/>
        </w:rPr>
      </w:pPr>
      <w:proofErr w:type="spellStart"/>
      <w:r w:rsidRPr="00072035">
        <w:rPr>
          <w:rFonts w:ascii="Times New Roman" w:hAnsi="Times New Roman" w:cs="Times New Roman"/>
          <w:bCs/>
          <w:i/>
          <w:sz w:val="24"/>
          <w:szCs w:val="24"/>
        </w:rPr>
        <w:t>0A90G1</w:t>
      </w:r>
      <w:proofErr w:type="spellEnd"/>
      <w:r w:rsidRPr="00072035">
        <w:rPr>
          <w:rFonts w:ascii="Times New Roman" w:hAnsi="Times New Roman" w:cs="Times New Roman"/>
          <w:bCs/>
          <w:i/>
          <w:sz w:val="24"/>
          <w:szCs w:val="24"/>
        </w:rPr>
        <w:t xml:space="preserve"> Elektronizácia služieb MH SR </w:t>
      </w:r>
    </w:p>
    <w:p w:rsidR="00072035" w:rsidRPr="00072035" w:rsidRDefault="00072035" w:rsidP="00072035">
      <w:pPr>
        <w:pStyle w:val="Zkladntext2"/>
        <w:spacing w:after="0" w:line="240" w:lineRule="auto"/>
        <w:rPr>
          <w:rFonts w:ascii="Times New Roman" w:hAnsi="Times New Roman" w:cs="Times New Roman"/>
          <w:bCs/>
          <w:sz w:val="24"/>
          <w:szCs w:val="24"/>
        </w:rPr>
      </w:pPr>
    </w:p>
    <w:p w:rsidR="00072035" w:rsidRPr="00072035" w:rsidRDefault="00072035" w:rsidP="00072035">
      <w:pPr>
        <w:autoSpaceDE w:val="0"/>
        <w:autoSpaceDN w:val="0"/>
        <w:adjustRightInd w:val="0"/>
        <w:spacing w:after="0" w:line="240" w:lineRule="auto"/>
        <w:ind w:firstLine="567"/>
        <w:jc w:val="both"/>
        <w:rPr>
          <w:rFonts w:ascii="Times New Roman" w:hAnsi="Times New Roman" w:cs="Times New Roman"/>
          <w:bCs/>
          <w:sz w:val="24"/>
          <w:szCs w:val="24"/>
        </w:rPr>
      </w:pPr>
      <w:r w:rsidRPr="00072035">
        <w:rPr>
          <w:rFonts w:ascii="Times New Roman" w:hAnsi="Times New Roman" w:cs="Times New Roman"/>
          <w:bCs/>
          <w:sz w:val="24"/>
          <w:szCs w:val="24"/>
        </w:rPr>
        <w:t>Rozpočtovými opatreniami MF SR boli kapitole MH SR navýšené rozpočtové prostriedky zo zdrojov EÚ, prostriedky na spolufinancovanie a  prostriedky pro rata v celkovej sume 3 699 677,29</w:t>
      </w:r>
      <w:r w:rsidRPr="00072035">
        <w:rPr>
          <w:rFonts w:ascii="Times New Roman" w:hAnsi="Times New Roman" w:cs="Times New Roman"/>
          <w:sz w:val="24"/>
          <w:szCs w:val="24"/>
          <w:lang w:eastAsia="sk-SK"/>
        </w:rPr>
        <w:t xml:space="preserve"> </w:t>
      </w:r>
      <w:r w:rsidRPr="00072035">
        <w:rPr>
          <w:rFonts w:ascii="Times New Roman" w:hAnsi="Times New Roman" w:cs="Times New Roman"/>
          <w:bCs/>
          <w:sz w:val="24"/>
          <w:szCs w:val="24"/>
        </w:rPr>
        <w:t>eur. Rozpočtové prostriedky boli v roku 2015 určené na financovanie projektu „Elektronizácia služieb MH SR“ v rámci podprogramu „Elektronizácia verejnej správy a rozvoj elektronických služieb na centrálnej úrovni “ v rámci Operačného programu „Informatizácia spoločnosti“. Cieľom  projektu bolo zvyšovanie konkurencieschopnosti ekonomiky a regiónov prostredníctvom rozvoja informatizácie spoločnosti. Za hodnotené obdobie boli rozpočtové prostriedky čerpané v</w:t>
      </w:r>
      <w:r>
        <w:rPr>
          <w:rFonts w:ascii="Times New Roman" w:hAnsi="Times New Roman" w:cs="Times New Roman"/>
          <w:bCs/>
          <w:sz w:val="24"/>
          <w:szCs w:val="24"/>
        </w:rPr>
        <w:t> </w:t>
      </w:r>
      <w:r w:rsidRPr="00072035">
        <w:rPr>
          <w:rFonts w:ascii="Times New Roman" w:hAnsi="Times New Roman" w:cs="Times New Roman"/>
          <w:bCs/>
          <w:sz w:val="24"/>
          <w:szCs w:val="24"/>
        </w:rPr>
        <w:t>sume</w:t>
      </w:r>
      <w:r>
        <w:rPr>
          <w:rFonts w:ascii="Times New Roman" w:hAnsi="Times New Roman" w:cs="Times New Roman"/>
          <w:bCs/>
          <w:sz w:val="24"/>
          <w:szCs w:val="24"/>
        </w:rPr>
        <w:t xml:space="preserve">    </w:t>
      </w:r>
      <w:r w:rsidRPr="00072035">
        <w:rPr>
          <w:rFonts w:ascii="Times New Roman" w:hAnsi="Times New Roman" w:cs="Times New Roman"/>
          <w:bCs/>
          <w:sz w:val="24"/>
          <w:szCs w:val="24"/>
        </w:rPr>
        <w:t xml:space="preserve"> 3 699 677,29 eur, čo je 100,00 % k upravenému rozpočtu. Rozpočtové prostriedky boli použité na projekt Elektronických služieb MH SR OPIS – nákup výpočtovej techniky, komunikačnej infraštruktúry, špeciálnych služieb, softvéru a licencií, </w:t>
      </w:r>
      <w:r w:rsidR="00F04EAE">
        <w:rPr>
          <w:rFonts w:ascii="Times New Roman" w:hAnsi="Times New Roman" w:cs="Times New Roman"/>
          <w:bCs/>
          <w:sz w:val="24"/>
          <w:szCs w:val="24"/>
        </w:rPr>
        <w:t xml:space="preserve">na </w:t>
      </w:r>
      <w:r w:rsidRPr="00072035">
        <w:rPr>
          <w:rFonts w:ascii="Times New Roman" w:hAnsi="Times New Roman" w:cs="Times New Roman"/>
          <w:bCs/>
          <w:sz w:val="24"/>
          <w:szCs w:val="24"/>
        </w:rPr>
        <w:t>propagáci</w:t>
      </w:r>
      <w:r w:rsidR="00F04EAE">
        <w:rPr>
          <w:rFonts w:ascii="Times New Roman" w:hAnsi="Times New Roman" w:cs="Times New Roman"/>
          <w:bCs/>
          <w:sz w:val="24"/>
          <w:szCs w:val="24"/>
        </w:rPr>
        <w:t>u</w:t>
      </w:r>
      <w:r w:rsidRPr="00072035">
        <w:rPr>
          <w:rFonts w:ascii="Times New Roman" w:hAnsi="Times New Roman" w:cs="Times New Roman"/>
          <w:bCs/>
          <w:sz w:val="24"/>
          <w:szCs w:val="24"/>
        </w:rPr>
        <w:t xml:space="preserve"> a inzerci</w:t>
      </w:r>
      <w:r w:rsidR="00F04EAE">
        <w:rPr>
          <w:rFonts w:ascii="Times New Roman" w:hAnsi="Times New Roman" w:cs="Times New Roman"/>
          <w:bCs/>
          <w:sz w:val="24"/>
          <w:szCs w:val="24"/>
        </w:rPr>
        <w:t>u</w:t>
      </w:r>
      <w:r w:rsidRPr="00072035">
        <w:rPr>
          <w:rFonts w:ascii="Times New Roman" w:hAnsi="Times New Roman" w:cs="Times New Roman"/>
          <w:bCs/>
          <w:sz w:val="24"/>
          <w:szCs w:val="24"/>
        </w:rPr>
        <w:t>.</w:t>
      </w:r>
    </w:p>
    <w:p w:rsidR="00072035" w:rsidRPr="00072035" w:rsidRDefault="00072035" w:rsidP="00072035">
      <w:pPr>
        <w:pStyle w:val="Zkladntext2"/>
        <w:spacing w:after="0" w:line="240" w:lineRule="auto"/>
        <w:rPr>
          <w:rFonts w:ascii="Times New Roman" w:hAnsi="Times New Roman" w:cs="Times New Roman"/>
          <w:bCs/>
          <w:color w:val="000000"/>
          <w:sz w:val="24"/>
          <w:szCs w:val="24"/>
        </w:rPr>
      </w:pPr>
    </w:p>
    <w:p w:rsidR="00072035" w:rsidRPr="00072035" w:rsidRDefault="00072035" w:rsidP="00072035">
      <w:pPr>
        <w:spacing w:after="0" w:line="240" w:lineRule="auto"/>
        <w:jc w:val="both"/>
        <w:rPr>
          <w:rFonts w:ascii="Times New Roman" w:hAnsi="Times New Roman" w:cs="Times New Roman"/>
          <w:i/>
          <w:sz w:val="24"/>
          <w:szCs w:val="24"/>
        </w:rPr>
      </w:pPr>
      <w:r w:rsidRPr="00072035">
        <w:rPr>
          <w:rFonts w:ascii="Times New Roman" w:hAnsi="Times New Roman" w:cs="Times New Roman"/>
          <w:i/>
          <w:sz w:val="24"/>
          <w:szCs w:val="24"/>
        </w:rPr>
        <w:t xml:space="preserve">07L04 Podpora programov rezortu MH SR </w:t>
      </w:r>
    </w:p>
    <w:p w:rsidR="00072035" w:rsidRPr="00072035" w:rsidRDefault="00072035" w:rsidP="00072035">
      <w:pPr>
        <w:pStyle w:val="Zkladntext2"/>
        <w:spacing w:after="0" w:line="240" w:lineRule="auto"/>
        <w:rPr>
          <w:rFonts w:ascii="Times New Roman" w:hAnsi="Times New Roman" w:cs="Times New Roman"/>
          <w:bCs/>
          <w:color w:val="000000"/>
          <w:sz w:val="24"/>
          <w:szCs w:val="24"/>
        </w:rPr>
      </w:pPr>
    </w:p>
    <w:p w:rsidR="00072035" w:rsidRPr="00072035" w:rsidRDefault="00072035" w:rsidP="00072035">
      <w:pPr>
        <w:pStyle w:val="Zkladntext2"/>
        <w:spacing w:after="0" w:line="240" w:lineRule="auto"/>
        <w:ind w:firstLine="567"/>
        <w:jc w:val="both"/>
        <w:rPr>
          <w:rFonts w:ascii="Times New Roman" w:hAnsi="Times New Roman" w:cs="Times New Roman"/>
          <w:sz w:val="24"/>
          <w:szCs w:val="24"/>
        </w:rPr>
      </w:pPr>
      <w:r w:rsidRPr="00072035">
        <w:rPr>
          <w:rFonts w:ascii="Times New Roman" w:hAnsi="Times New Roman" w:cs="Times New Roman"/>
          <w:sz w:val="24"/>
          <w:szCs w:val="24"/>
        </w:rPr>
        <w:t xml:space="preserve">Na uvedený podprogram neboli v rozpočte na rok 2015 schválené výdavky. Rozpočtovým opatrením MF SR bol k 31.12.2015 navýšený  rozpočet o  prostriedky Kohézneho fondu v sume 8 950,00 eur. Rozpočtové prostriedky boli MH SR poskytnuté vo forme nenávratného finančného príspevku na základe „Žiadosti o nenávratný finančný príspevok č. </w:t>
      </w:r>
      <w:proofErr w:type="spellStart"/>
      <w:r w:rsidRPr="00072035">
        <w:rPr>
          <w:rFonts w:ascii="Times New Roman" w:hAnsi="Times New Roman" w:cs="Times New Roman"/>
          <w:sz w:val="24"/>
          <w:szCs w:val="24"/>
        </w:rPr>
        <w:t>NFP</w:t>
      </w:r>
      <w:proofErr w:type="spellEnd"/>
      <w:r w:rsidRPr="00072035">
        <w:rPr>
          <w:rFonts w:ascii="Times New Roman" w:hAnsi="Times New Roman" w:cs="Times New Roman"/>
          <w:sz w:val="24"/>
          <w:szCs w:val="24"/>
        </w:rPr>
        <w:t xml:space="preserve"> 24140111569“. Z uvedených prostriedkov bol hradený nákup zberných nádob v rámci Operačného programu Životné prostredie so zameraním na podporu aktivít v oblasti separovaného zberu, ktorého cieľom je zavedenie triedeného zberu na úrovni subjektov štátnej správy. Rozpočtové prostriedky boli vyčerpané vo výške 100,00 % z upraveného rozpočtu.</w:t>
      </w:r>
    </w:p>
    <w:p w:rsidR="00072035" w:rsidRPr="00E81F99" w:rsidRDefault="00072035" w:rsidP="00E81F99">
      <w:pPr>
        <w:spacing w:after="0" w:line="240" w:lineRule="auto"/>
        <w:ind w:left="567"/>
        <w:jc w:val="both"/>
        <w:rPr>
          <w:rFonts w:ascii="Times New Roman" w:hAnsi="Times New Roman" w:cs="Times New Roman"/>
          <w:b/>
          <w:bCs/>
          <w:color w:val="00FF00"/>
          <w:sz w:val="24"/>
          <w:szCs w:val="24"/>
        </w:rPr>
      </w:pPr>
    </w:p>
    <w:p w:rsidR="00206A4D" w:rsidRPr="00E81F99" w:rsidRDefault="00206A4D" w:rsidP="00E81F99">
      <w:pPr>
        <w:pStyle w:val="Zarkazkladnhotextu"/>
        <w:tabs>
          <w:tab w:val="left" w:pos="1440"/>
        </w:tabs>
        <w:spacing w:after="0" w:line="240" w:lineRule="auto"/>
        <w:ind w:left="0" w:firstLine="540"/>
        <w:jc w:val="both"/>
        <w:rPr>
          <w:rFonts w:ascii="Times New Roman" w:hAnsi="Times New Roman" w:cs="Times New Roman"/>
          <w:b/>
          <w:sz w:val="24"/>
          <w:szCs w:val="24"/>
        </w:rPr>
      </w:pPr>
    </w:p>
    <w:p w:rsidR="006E0E2F" w:rsidRPr="00E81F99" w:rsidRDefault="006E0E2F" w:rsidP="00570FAE">
      <w:pPr>
        <w:spacing w:after="0" w:line="240" w:lineRule="auto"/>
        <w:ind w:left="709"/>
        <w:jc w:val="both"/>
        <w:rPr>
          <w:rFonts w:ascii="Times New Roman" w:hAnsi="Times New Roman" w:cs="Times New Roman"/>
          <w:b/>
          <w:bCs/>
          <w:i/>
          <w:sz w:val="24"/>
          <w:szCs w:val="24"/>
        </w:rPr>
      </w:pPr>
      <w:r w:rsidRPr="00190A08">
        <w:rPr>
          <w:rFonts w:ascii="Times New Roman" w:hAnsi="Times New Roman" w:cs="Times New Roman"/>
          <w:b/>
          <w:bCs/>
          <w:i/>
          <w:sz w:val="24"/>
          <w:szCs w:val="24"/>
        </w:rPr>
        <w:t>Výdavky kapitoly na spoločné programy Slovenskej republiky a Európskej únie nezaradené do výdavkov štátneho rozpočtu</w:t>
      </w:r>
      <w:r w:rsidRPr="00E81F99">
        <w:rPr>
          <w:rFonts w:ascii="Times New Roman" w:hAnsi="Times New Roman" w:cs="Times New Roman"/>
          <w:b/>
          <w:bCs/>
          <w:i/>
          <w:sz w:val="24"/>
          <w:szCs w:val="24"/>
        </w:rPr>
        <w:t xml:space="preserve"> </w:t>
      </w:r>
    </w:p>
    <w:p w:rsidR="006E0E2F" w:rsidRPr="00E81F99" w:rsidRDefault="006E0E2F" w:rsidP="00E81F99">
      <w:pPr>
        <w:pStyle w:val="Zarkazkladnhotextu"/>
        <w:tabs>
          <w:tab w:val="left" w:pos="1440"/>
        </w:tabs>
        <w:spacing w:after="0" w:line="240" w:lineRule="auto"/>
        <w:ind w:left="0" w:firstLine="540"/>
        <w:jc w:val="both"/>
        <w:rPr>
          <w:rFonts w:ascii="Times New Roman" w:hAnsi="Times New Roman" w:cs="Times New Roman"/>
          <w:b/>
          <w:sz w:val="24"/>
          <w:szCs w:val="24"/>
        </w:rPr>
      </w:pPr>
    </w:p>
    <w:p w:rsidR="004A7C9B" w:rsidRPr="00E81F99" w:rsidRDefault="004A7C9B" w:rsidP="00E81F99">
      <w:pPr>
        <w:spacing w:line="240" w:lineRule="auto"/>
        <w:jc w:val="both"/>
        <w:rPr>
          <w:rFonts w:ascii="Times New Roman" w:hAnsi="Times New Roman" w:cs="Times New Roman"/>
          <w:b/>
          <w:i/>
          <w:sz w:val="24"/>
          <w:szCs w:val="24"/>
        </w:rPr>
      </w:pPr>
      <w:r w:rsidRPr="00E81F99">
        <w:rPr>
          <w:rFonts w:ascii="Times New Roman" w:hAnsi="Times New Roman" w:cs="Times New Roman"/>
          <w:b/>
          <w:i/>
          <w:sz w:val="24"/>
          <w:szCs w:val="24"/>
        </w:rPr>
        <w:t xml:space="preserve">Výdavky na </w:t>
      </w:r>
      <w:r w:rsidR="00CB0991" w:rsidRPr="00E81F99">
        <w:rPr>
          <w:rFonts w:ascii="Times New Roman" w:hAnsi="Times New Roman" w:cs="Times New Roman"/>
          <w:b/>
          <w:i/>
          <w:sz w:val="24"/>
          <w:szCs w:val="24"/>
        </w:rPr>
        <w:t>f</w:t>
      </w:r>
      <w:r w:rsidRPr="00E81F99">
        <w:rPr>
          <w:rFonts w:ascii="Times New Roman" w:hAnsi="Times New Roman" w:cs="Times New Roman"/>
          <w:b/>
          <w:i/>
          <w:sz w:val="24"/>
          <w:szCs w:val="24"/>
        </w:rPr>
        <w:t>inancovanie aktivít v rámci zdrojov európskeho fondu regionálneho rozvoja:</w:t>
      </w:r>
    </w:p>
    <w:p w:rsidR="002834DF" w:rsidRPr="002834DF" w:rsidRDefault="002834DF" w:rsidP="002834DF">
      <w:pPr>
        <w:numPr>
          <w:ilvl w:val="0"/>
          <w:numId w:val="33"/>
        </w:numPr>
        <w:spacing w:after="0" w:line="240" w:lineRule="auto"/>
        <w:jc w:val="both"/>
        <w:rPr>
          <w:rFonts w:ascii="Times New Roman" w:hAnsi="Times New Roman" w:cs="Times New Roman"/>
          <w:b/>
          <w:sz w:val="24"/>
          <w:szCs w:val="24"/>
        </w:rPr>
      </w:pPr>
      <w:r w:rsidRPr="002834DF">
        <w:rPr>
          <w:rFonts w:ascii="Times New Roman" w:hAnsi="Times New Roman" w:cs="Times New Roman"/>
          <w:b/>
          <w:sz w:val="24"/>
          <w:szCs w:val="24"/>
        </w:rPr>
        <w:t xml:space="preserve">Technická pomoc </w:t>
      </w:r>
    </w:p>
    <w:p w:rsidR="002834DF" w:rsidRPr="002834DF" w:rsidRDefault="002834DF" w:rsidP="00190A08">
      <w:pPr>
        <w:spacing w:before="240" w:line="240" w:lineRule="auto"/>
        <w:ind w:firstLine="709"/>
        <w:jc w:val="both"/>
        <w:rPr>
          <w:rFonts w:ascii="Times New Roman" w:hAnsi="Times New Roman" w:cs="Times New Roman"/>
          <w:b/>
          <w:sz w:val="24"/>
          <w:szCs w:val="24"/>
        </w:rPr>
      </w:pPr>
      <w:r w:rsidRPr="002834DF">
        <w:rPr>
          <w:rFonts w:ascii="Times New Roman" w:hAnsi="Times New Roman" w:cs="Times New Roman"/>
          <w:sz w:val="24"/>
          <w:szCs w:val="24"/>
        </w:rPr>
        <w:t>Do 31.12.2015 prijala S</w:t>
      </w:r>
      <w:r w:rsidR="00190A08">
        <w:rPr>
          <w:rFonts w:ascii="Times New Roman" w:hAnsi="Times New Roman" w:cs="Times New Roman"/>
          <w:sz w:val="24"/>
          <w:szCs w:val="24"/>
        </w:rPr>
        <w:t>lovenská inovačná a energetická agentúra (</w:t>
      </w:r>
      <w:proofErr w:type="spellStart"/>
      <w:r w:rsidR="00190A08">
        <w:rPr>
          <w:rFonts w:ascii="Times New Roman" w:hAnsi="Times New Roman" w:cs="Times New Roman"/>
          <w:sz w:val="24"/>
          <w:szCs w:val="24"/>
        </w:rPr>
        <w:t>S</w:t>
      </w:r>
      <w:r w:rsidRPr="002834DF">
        <w:rPr>
          <w:rFonts w:ascii="Times New Roman" w:hAnsi="Times New Roman" w:cs="Times New Roman"/>
          <w:sz w:val="24"/>
          <w:szCs w:val="24"/>
        </w:rPr>
        <w:t>IEA</w:t>
      </w:r>
      <w:proofErr w:type="spellEnd"/>
      <w:r w:rsidR="00190A08">
        <w:rPr>
          <w:rFonts w:ascii="Times New Roman" w:hAnsi="Times New Roman" w:cs="Times New Roman"/>
          <w:sz w:val="24"/>
          <w:szCs w:val="24"/>
        </w:rPr>
        <w:t>)</w:t>
      </w:r>
      <w:r w:rsidRPr="002834DF">
        <w:rPr>
          <w:rFonts w:ascii="Times New Roman" w:hAnsi="Times New Roman" w:cs="Times New Roman"/>
          <w:sz w:val="24"/>
          <w:szCs w:val="24"/>
        </w:rPr>
        <w:t xml:space="preserve"> nenávratný finančný príspevok (ďalej len „</w:t>
      </w:r>
      <w:proofErr w:type="spellStart"/>
      <w:r w:rsidRPr="002834DF">
        <w:rPr>
          <w:rFonts w:ascii="Times New Roman" w:hAnsi="Times New Roman" w:cs="Times New Roman"/>
          <w:sz w:val="24"/>
          <w:szCs w:val="24"/>
        </w:rPr>
        <w:t>NFP</w:t>
      </w:r>
      <w:proofErr w:type="spellEnd"/>
      <w:r w:rsidRPr="002834DF">
        <w:rPr>
          <w:rFonts w:ascii="Times New Roman" w:hAnsi="Times New Roman" w:cs="Times New Roman"/>
          <w:sz w:val="24"/>
          <w:szCs w:val="24"/>
        </w:rPr>
        <w:t xml:space="preserve">“) pre projekt 25140120092 v rámci zálohových platieb </w:t>
      </w:r>
      <w:r w:rsidRPr="002834DF">
        <w:rPr>
          <w:rFonts w:ascii="Times New Roman" w:hAnsi="Times New Roman" w:cs="Times New Roman"/>
          <w:i/>
          <w:sz w:val="24"/>
          <w:szCs w:val="24"/>
        </w:rPr>
        <w:t xml:space="preserve">„Financovanie hrubých miezd, odmien a odvodov zamestnávateľa za oprávnených zamestnancov </w:t>
      </w:r>
      <w:proofErr w:type="spellStart"/>
      <w:r w:rsidRPr="002834DF">
        <w:rPr>
          <w:rFonts w:ascii="Times New Roman" w:hAnsi="Times New Roman" w:cs="Times New Roman"/>
          <w:i/>
          <w:sz w:val="24"/>
          <w:szCs w:val="24"/>
        </w:rPr>
        <w:t>SIEA</w:t>
      </w:r>
      <w:proofErr w:type="spellEnd"/>
      <w:r w:rsidRPr="002834DF">
        <w:rPr>
          <w:rFonts w:ascii="Times New Roman" w:hAnsi="Times New Roman" w:cs="Times New Roman"/>
          <w:i/>
          <w:sz w:val="24"/>
          <w:szCs w:val="24"/>
        </w:rPr>
        <w:t xml:space="preserve"> systémom kombinácie zálohových platieb a refundácie pre obdobie 01-12/2015“</w:t>
      </w:r>
      <w:r w:rsidRPr="002834DF">
        <w:rPr>
          <w:rFonts w:ascii="Times New Roman" w:hAnsi="Times New Roman" w:cs="Times New Roman"/>
          <w:sz w:val="24"/>
          <w:szCs w:val="24"/>
        </w:rPr>
        <w:t xml:space="preserve"> vo výške celkovo 3 063</w:t>
      </w:r>
      <w:r w:rsidR="00A5149A">
        <w:rPr>
          <w:rFonts w:ascii="Times New Roman" w:hAnsi="Times New Roman" w:cs="Times New Roman"/>
          <w:sz w:val="24"/>
          <w:szCs w:val="24"/>
        </w:rPr>
        <w:t> </w:t>
      </w:r>
      <w:r w:rsidRPr="002834DF">
        <w:rPr>
          <w:rFonts w:ascii="Times New Roman" w:hAnsi="Times New Roman" w:cs="Times New Roman"/>
          <w:sz w:val="24"/>
          <w:szCs w:val="24"/>
        </w:rPr>
        <w:t>365</w:t>
      </w:r>
      <w:r w:rsidR="00A5149A">
        <w:rPr>
          <w:rFonts w:ascii="Times New Roman" w:hAnsi="Times New Roman" w:cs="Times New Roman"/>
          <w:sz w:val="24"/>
          <w:szCs w:val="24"/>
        </w:rPr>
        <w:t>,00</w:t>
      </w:r>
      <w:r w:rsidRPr="002834DF">
        <w:rPr>
          <w:rFonts w:ascii="Times New Roman" w:hAnsi="Times New Roman" w:cs="Times New Roman"/>
          <w:sz w:val="24"/>
          <w:szCs w:val="24"/>
        </w:rPr>
        <w:t xml:space="preserve"> </w:t>
      </w:r>
      <w:r>
        <w:rPr>
          <w:rFonts w:ascii="Times New Roman" w:hAnsi="Times New Roman" w:cs="Times New Roman"/>
          <w:sz w:val="24"/>
          <w:szCs w:val="24"/>
        </w:rPr>
        <w:t>eur</w:t>
      </w:r>
      <w:r w:rsidRPr="002834DF">
        <w:rPr>
          <w:rFonts w:ascii="Times New Roman" w:hAnsi="Times New Roman" w:cs="Times New Roman"/>
          <w:sz w:val="24"/>
          <w:szCs w:val="24"/>
        </w:rPr>
        <w:t xml:space="preserve"> na financovanie miezd a odvodov zamestnancov podieľajúcich sa na implementácii, riadení a kontrole štrukturálnych fondov (ďalej len „</w:t>
      </w:r>
      <w:proofErr w:type="spellStart"/>
      <w:r w:rsidRPr="002834DF">
        <w:rPr>
          <w:rFonts w:ascii="Times New Roman" w:hAnsi="Times New Roman" w:cs="Times New Roman"/>
          <w:sz w:val="24"/>
          <w:szCs w:val="24"/>
        </w:rPr>
        <w:t>ŠF</w:t>
      </w:r>
      <w:proofErr w:type="spellEnd"/>
      <w:r w:rsidRPr="002834DF">
        <w:rPr>
          <w:rFonts w:ascii="Times New Roman" w:hAnsi="Times New Roman" w:cs="Times New Roman"/>
          <w:sz w:val="24"/>
          <w:szCs w:val="24"/>
        </w:rPr>
        <w:t xml:space="preserve">“). Zároveň v rámci uvedeného projektu bola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poskytnutá refundácia oprávnenej časti miezd a odvodov zamestnancov zapojených do implementácie </w:t>
      </w:r>
      <w:proofErr w:type="spellStart"/>
      <w:r w:rsidRPr="002834DF">
        <w:rPr>
          <w:rFonts w:ascii="Times New Roman" w:hAnsi="Times New Roman" w:cs="Times New Roman"/>
          <w:sz w:val="24"/>
          <w:szCs w:val="24"/>
        </w:rPr>
        <w:t>ŠF</w:t>
      </w:r>
      <w:proofErr w:type="spellEnd"/>
      <w:r w:rsidRPr="002834DF">
        <w:rPr>
          <w:rFonts w:ascii="Times New Roman" w:hAnsi="Times New Roman" w:cs="Times New Roman"/>
          <w:sz w:val="24"/>
          <w:szCs w:val="24"/>
        </w:rPr>
        <w:t xml:space="preserve"> </w:t>
      </w:r>
      <w:r>
        <w:rPr>
          <w:rFonts w:ascii="Times New Roman" w:hAnsi="Times New Roman" w:cs="Times New Roman"/>
          <w:sz w:val="24"/>
          <w:szCs w:val="24"/>
        </w:rPr>
        <w:t>v sume</w:t>
      </w:r>
      <w:r w:rsidRPr="002834DF">
        <w:rPr>
          <w:rFonts w:ascii="Times New Roman" w:hAnsi="Times New Roman" w:cs="Times New Roman"/>
          <w:sz w:val="24"/>
          <w:szCs w:val="24"/>
        </w:rPr>
        <w:t xml:space="preserve"> 174 769,36 eur.</w:t>
      </w:r>
    </w:p>
    <w:p w:rsidR="002834DF" w:rsidRPr="002834DF" w:rsidRDefault="002834DF" w:rsidP="00190A08">
      <w:pPr>
        <w:spacing w:line="240" w:lineRule="auto"/>
        <w:ind w:firstLine="709"/>
        <w:jc w:val="both"/>
        <w:rPr>
          <w:rFonts w:ascii="Times New Roman" w:hAnsi="Times New Roman" w:cs="Times New Roman"/>
          <w:sz w:val="24"/>
          <w:szCs w:val="24"/>
        </w:rPr>
      </w:pPr>
      <w:r w:rsidRPr="002834DF">
        <w:rPr>
          <w:rFonts w:ascii="Times New Roman" w:hAnsi="Times New Roman" w:cs="Times New Roman"/>
          <w:sz w:val="24"/>
          <w:szCs w:val="24"/>
        </w:rPr>
        <w:t xml:space="preserve">Výdavky na </w:t>
      </w:r>
      <w:r w:rsidR="00A5149A">
        <w:rPr>
          <w:rFonts w:ascii="Times New Roman" w:hAnsi="Times New Roman" w:cs="Times New Roman"/>
          <w:sz w:val="24"/>
          <w:szCs w:val="24"/>
        </w:rPr>
        <w:t>štrukturálne fondy</w:t>
      </w:r>
      <w:r w:rsidRPr="002834DF">
        <w:rPr>
          <w:rFonts w:ascii="Times New Roman" w:hAnsi="Times New Roman" w:cs="Times New Roman"/>
          <w:sz w:val="24"/>
          <w:szCs w:val="24"/>
        </w:rPr>
        <w:t xml:space="preserve"> k 31.12.2015 boli celkovo </w:t>
      </w:r>
      <w:r>
        <w:rPr>
          <w:rFonts w:ascii="Times New Roman" w:hAnsi="Times New Roman" w:cs="Times New Roman"/>
          <w:sz w:val="24"/>
          <w:szCs w:val="24"/>
        </w:rPr>
        <w:t>v sume</w:t>
      </w:r>
      <w:r w:rsidRPr="002834DF">
        <w:rPr>
          <w:rFonts w:ascii="Times New Roman" w:hAnsi="Times New Roman" w:cs="Times New Roman"/>
          <w:sz w:val="24"/>
          <w:szCs w:val="24"/>
        </w:rPr>
        <w:t xml:space="preserve"> </w:t>
      </w:r>
      <w:r w:rsidRPr="003E4AA9">
        <w:rPr>
          <w:rFonts w:ascii="Times New Roman" w:hAnsi="Times New Roman" w:cs="Times New Roman"/>
          <w:sz w:val="24"/>
          <w:szCs w:val="24"/>
        </w:rPr>
        <w:t xml:space="preserve">3 963 504,47 </w:t>
      </w:r>
      <w:r w:rsidR="003E4AA9" w:rsidRPr="002834DF">
        <w:rPr>
          <w:rFonts w:ascii="Times New Roman" w:hAnsi="Times New Roman" w:cs="Times New Roman"/>
          <w:sz w:val="24"/>
          <w:szCs w:val="24"/>
        </w:rPr>
        <w:t>eur</w:t>
      </w:r>
      <w:r w:rsidRPr="002834DF">
        <w:rPr>
          <w:rFonts w:ascii="Times New Roman" w:hAnsi="Times New Roman" w:cs="Times New Roman"/>
          <w:sz w:val="24"/>
          <w:szCs w:val="24"/>
        </w:rPr>
        <w:t xml:space="preserve"> a boli financované nasledovným spôsobom:</w:t>
      </w:r>
    </w:p>
    <w:p w:rsidR="002834DF" w:rsidRPr="002834DF" w:rsidRDefault="002834DF" w:rsidP="002834DF">
      <w:pPr>
        <w:numPr>
          <w:ilvl w:val="0"/>
          <w:numId w:val="15"/>
        </w:numPr>
        <w:spacing w:after="0" w:line="240" w:lineRule="auto"/>
        <w:jc w:val="both"/>
        <w:rPr>
          <w:rFonts w:ascii="Times New Roman" w:hAnsi="Times New Roman" w:cs="Times New Roman"/>
          <w:sz w:val="24"/>
          <w:szCs w:val="24"/>
        </w:rPr>
      </w:pPr>
      <w:r w:rsidRPr="002834DF">
        <w:rPr>
          <w:rFonts w:ascii="Times New Roman" w:hAnsi="Times New Roman" w:cs="Times New Roman"/>
          <w:sz w:val="24"/>
          <w:szCs w:val="24"/>
          <w:u w:val="single"/>
        </w:rPr>
        <w:t xml:space="preserve">2 856 646,72 </w:t>
      </w:r>
      <w:r w:rsidR="003E4AA9" w:rsidRPr="002834DF">
        <w:rPr>
          <w:rFonts w:ascii="Times New Roman" w:hAnsi="Times New Roman" w:cs="Times New Roman"/>
          <w:sz w:val="24"/>
          <w:szCs w:val="24"/>
        </w:rPr>
        <w:t>eur</w:t>
      </w:r>
      <w:r w:rsidRPr="002834DF">
        <w:rPr>
          <w:rFonts w:ascii="Times New Roman" w:hAnsi="Times New Roman" w:cs="Times New Roman"/>
          <w:sz w:val="24"/>
          <w:szCs w:val="24"/>
        </w:rPr>
        <w:t xml:space="preserve"> bolo uhradených zo zálohovej platby (zdroj 11S1). Suma predstavovala oprávnenú časť miezd a odvodov za február až december 2015;</w:t>
      </w:r>
    </w:p>
    <w:p w:rsidR="002834DF" w:rsidRPr="002834DF" w:rsidRDefault="002834DF" w:rsidP="002834DF">
      <w:pPr>
        <w:numPr>
          <w:ilvl w:val="0"/>
          <w:numId w:val="15"/>
        </w:numPr>
        <w:spacing w:after="0" w:line="240" w:lineRule="auto"/>
        <w:jc w:val="both"/>
        <w:rPr>
          <w:rFonts w:ascii="Times New Roman" w:hAnsi="Times New Roman" w:cs="Times New Roman"/>
          <w:sz w:val="24"/>
          <w:szCs w:val="24"/>
        </w:rPr>
      </w:pPr>
      <w:r w:rsidRPr="002834DF">
        <w:rPr>
          <w:rFonts w:ascii="Times New Roman" w:hAnsi="Times New Roman" w:cs="Times New Roman"/>
          <w:sz w:val="24"/>
          <w:szCs w:val="24"/>
          <w:u w:val="single"/>
        </w:rPr>
        <w:t xml:space="preserve">55 874,10 </w:t>
      </w:r>
      <w:r w:rsidR="003E4AA9" w:rsidRPr="002834DF">
        <w:rPr>
          <w:rFonts w:ascii="Times New Roman" w:hAnsi="Times New Roman" w:cs="Times New Roman"/>
          <w:sz w:val="24"/>
          <w:szCs w:val="24"/>
        </w:rPr>
        <w:t>eur</w:t>
      </w:r>
      <w:r w:rsidRPr="002834DF">
        <w:rPr>
          <w:rFonts w:ascii="Times New Roman" w:hAnsi="Times New Roman" w:cs="Times New Roman"/>
          <w:sz w:val="24"/>
          <w:szCs w:val="24"/>
        </w:rPr>
        <w:t xml:space="preserve"> tvorili výdavky na tovary a služby vynaložené v súvislosti s implementáciou </w:t>
      </w:r>
      <w:proofErr w:type="spellStart"/>
      <w:r w:rsidRPr="002834DF">
        <w:rPr>
          <w:rFonts w:ascii="Times New Roman" w:hAnsi="Times New Roman" w:cs="Times New Roman"/>
          <w:sz w:val="24"/>
          <w:szCs w:val="24"/>
        </w:rPr>
        <w:t>ŠF</w:t>
      </w:r>
      <w:proofErr w:type="spellEnd"/>
      <w:r w:rsidRPr="002834DF">
        <w:rPr>
          <w:rFonts w:ascii="Times New Roman" w:hAnsi="Times New Roman" w:cs="Times New Roman"/>
          <w:sz w:val="24"/>
          <w:szCs w:val="24"/>
        </w:rPr>
        <w:t xml:space="preserve"> EÚ. Tieto výdavky boli hradené z nevyčerpaného bežného transferu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z roku 2014 (zdroj 131E);</w:t>
      </w:r>
    </w:p>
    <w:p w:rsidR="002834DF" w:rsidRPr="002834DF" w:rsidRDefault="002834DF" w:rsidP="002834DF">
      <w:pPr>
        <w:numPr>
          <w:ilvl w:val="0"/>
          <w:numId w:val="15"/>
        </w:numPr>
        <w:spacing w:after="0" w:line="240" w:lineRule="auto"/>
        <w:jc w:val="both"/>
        <w:rPr>
          <w:rFonts w:ascii="Times New Roman" w:hAnsi="Times New Roman" w:cs="Times New Roman"/>
          <w:sz w:val="24"/>
          <w:szCs w:val="24"/>
        </w:rPr>
      </w:pPr>
      <w:r w:rsidRPr="002834DF">
        <w:rPr>
          <w:rFonts w:ascii="Times New Roman" w:hAnsi="Times New Roman" w:cs="Times New Roman"/>
          <w:sz w:val="24"/>
          <w:szCs w:val="24"/>
          <w:u w:val="single"/>
        </w:rPr>
        <w:t xml:space="preserve">174 769,36 </w:t>
      </w:r>
      <w:r w:rsidR="003E4AA9" w:rsidRPr="002834DF">
        <w:rPr>
          <w:rFonts w:ascii="Times New Roman" w:hAnsi="Times New Roman" w:cs="Times New Roman"/>
          <w:sz w:val="24"/>
          <w:szCs w:val="24"/>
        </w:rPr>
        <w:t>eur</w:t>
      </w:r>
      <w:r w:rsidRPr="002834DF">
        <w:rPr>
          <w:rFonts w:ascii="Times New Roman" w:hAnsi="Times New Roman" w:cs="Times New Roman"/>
          <w:sz w:val="24"/>
          <w:szCs w:val="24"/>
        </w:rPr>
        <w:t xml:space="preserve"> predstavovalo oprávnenú časť miezd a odvodov za január 2015. Táto čiastka bola refundovaná a výdavky zaúčtované v rámci zdroja 11S1.</w:t>
      </w:r>
    </w:p>
    <w:p w:rsidR="002834DF" w:rsidRPr="002834DF" w:rsidRDefault="002834DF" w:rsidP="002834DF">
      <w:pPr>
        <w:numPr>
          <w:ilvl w:val="0"/>
          <w:numId w:val="15"/>
        </w:numPr>
        <w:spacing w:after="0" w:line="240" w:lineRule="auto"/>
        <w:jc w:val="both"/>
        <w:rPr>
          <w:rFonts w:ascii="Times New Roman" w:hAnsi="Times New Roman" w:cs="Times New Roman"/>
          <w:sz w:val="24"/>
          <w:szCs w:val="24"/>
        </w:rPr>
      </w:pPr>
      <w:r w:rsidRPr="002834DF">
        <w:rPr>
          <w:rFonts w:ascii="Times New Roman" w:hAnsi="Times New Roman" w:cs="Times New Roman"/>
          <w:sz w:val="24"/>
          <w:szCs w:val="24"/>
          <w:u w:val="single"/>
        </w:rPr>
        <w:t xml:space="preserve">167 796,41 </w:t>
      </w:r>
      <w:r w:rsidR="003E4AA9" w:rsidRPr="002834DF">
        <w:rPr>
          <w:rFonts w:ascii="Times New Roman" w:hAnsi="Times New Roman" w:cs="Times New Roman"/>
          <w:sz w:val="24"/>
          <w:szCs w:val="24"/>
        </w:rPr>
        <w:t>eur</w:t>
      </w:r>
      <w:r w:rsidRPr="002834DF">
        <w:rPr>
          <w:rFonts w:ascii="Times New Roman" w:hAnsi="Times New Roman" w:cs="Times New Roman"/>
          <w:sz w:val="24"/>
          <w:szCs w:val="24"/>
        </w:rPr>
        <w:t xml:space="preserve"> predstavovali finančné prostriedky z refundácie materiálno-technického zabezpečenia a refundácie odmien externým a interným hodnotiteľom a expertom VO (viď časť vysporiadanie finančných vzťahov). Z uvedenej čiastky boli čiastočne hradené výdavky materiálno-technické zabezpečenie a odmeny interným a externým hodnotiteľom a expertom VO v roku 2015.</w:t>
      </w:r>
    </w:p>
    <w:p w:rsidR="002834DF" w:rsidRPr="002834DF" w:rsidRDefault="002834DF" w:rsidP="002834DF">
      <w:pPr>
        <w:numPr>
          <w:ilvl w:val="0"/>
          <w:numId w:val="15"/>
        </w:numPr>
        <w:spacing w:after="0" w:line="240" w:lineRule="auto"/>
        <w:jc w:val="both"/>
        <w:rPr>
          <w:rFonts w:ascii="Times New Roman" w:hAnsi="Times New Roman" w:cs="Times New Roman"/>
          <w:sz w:val="24"/>
          <w:szCs w:val="24"/>
        </w:rPr>
      </w:pPr>
      <w:r w:rsidRPr="002834DF">
        <w:rPr>
          <w:rFonts w:ascii="Times New Roman" w:hAnsi="Times New Roman" w:cs="Times New Roman"/>
          <w:sz w:val="24"/>
          <w:szCs w:val="24"/>
          <w:u w:val="single"/>
        </w:rPr>
        <w:t xml:space="preserve">708 417,88 </w:t>
      </w:r>
      <w:r w:rsidR="003E4AA9" w:rsidRPr="002834DF">
        <w:rPr>
          <w:rFonts w:ascii="Times New Roman" w:hAnsi="Times New Roman" w:cs="Times New Roman"/>
          <w:sz w:val="24"/>
          <w:szCs w:val="24"/>
        </w:rPr>
        <w:t>eur</w:t>
      </w:r>
      <w:r w:rsidRPr="002834DF">
        <w:rPr>
          <w:rFonts w:ascii="Times New Roman" w:hAnsi="Times New Roman" w:cs="Times New Roman"/>
          <w:sz w:val="24"/>
          <w:szCs w:val="24"/>
        </w:rPr>
        <w:t xml:space="preserve"> predstavovali výdavky na neoprávnenú časť miezd a odvodov </w:t>
      </w:r>
      <w:proofErr w:type="spellStart"/>
      <w:r w:rsidRPr="002834DF">
        <w:rPr>
          <w:rFonts w:ascii="Times New Roman" w:hAnsi="Times New Roman" w:cs="Times New Roman"/>
          <w:sz w:val="24"/>
          <w:szCs w:val="24"/>
        </w:rPr>
        <w:t>SŠF</w:t>
      </w:r>
      <w:proofErr w:type="spellEnd"/>
      <w:r w:rsidRPr="002834DF">
        <w:rPr>
          <w:rFonts w:ascii="Times New Roman" w:hAnsi="Times New Roman" w:cs="Times New Roman"/>
          <w:sz w:val="24"/>
          <w:szCs w:val="24"/>
        </w:rPr>
        <w:t xml:space="preserve"> za január až december 2015 a ostatné výdavky na tovary a služby hradené z bežného transferu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na rok 2015 (zdroj 111). Výdavky na tovary a služby predstavujú predovšetkým výdavky na nákup kancelárskych potrieb, kancelárskeho vybavenia, výpočtovej a telekomunikačnej techniky (počítače, notebooky, telefóny, príslušenstvo) a tiež servis tejto techniky, výdavky súvisiace s prevádzkou motorových vozidiel – </w:t>
      </w:r>
      <w:proofErr w:type="spellStart"/>
      <w:r w:rsidRPr="002834DF">
        <w:rPr>
          <w:rFonts w:ascii="Times New Roman" w:hAnsi="Times New Roman" w:cs="Times New Roman"/>
          <w:sz w:val="24"/>
          <w:szCs w:val="24"/>
        </w:rPr>
        <w:t>PHL</w:t>
      </w:r>
      <w:proofErr w:type="spellEnd"/>
      <w:r w:rsidRPr="002834DF">
        <w:rPr>
          <w:rFonts w:ascii="Times New Roman" w:hAnsi="Times New Roman" w:cs="Times New Roman"/>
          <w:sz w:val="24"/>
          <w:szCs w:val="24"/>
        </w:rPr>
        <w:t xml:space="preserve">, servis, prezúvanie pneumatík, </w:t>
      </w:r>
      <w:proofErr w:type="spellStart"/>
      <w:r w:rsidRPr="002834DF">
        <w:rPr>
          <w:rFonts w:ascii="Times New Roman" w:hAnsi="Times New Roman" w:cs="Times New Roman"/>
          <w:sz w:val="24"/>
          <w:szCs w:val="24"/>
        </w:rPr>
        <w:t>PZP</w:t>
      </w:r>
      <w:proofErr w:type="spellEnd"/>
      <w:r w:rsidRPr="002834DF">
        <w:rPr>
          <w:rFonts w:ascii="Times New Roman" w:hAnsi="Times New Roman" w:cs="Times New Roman"/>
          <w:sz w:val="24"/>
          <w:szCs w:val="24"/>
        </w:rPr>
        <w:t xml:space="preserve">, havarijné poistenie, diaľničné známky, poistenie majetku, výdavky na reprezentáciu, výdavky na vzdelávanie zamestnancov, na propagáciu a reklamu, na obstaranie stravných lístkov, príspevky na doplnkové dôchodkové poistenie zamestnancov, príspevky do sociálneho fondu pre zamestnancov, výdavky na nemocenské dávky počas </w:t>
      </w:r>
      <w:proofErr w:type="spellStart"/>
      <w:r w:rsidRPr="002834DF">
        <w:rPr>
          <w:rFonts w:ascii="Times New Roman" w:hAnsi="Times New Roman" w:cs="Times New Roman"/>
          <w:sz w:val="24"/>
          <w:szCs w:val="24"/>
        </w:rPr>
        <w:t>PN</w:t>
      </w:r>
      <w:proofErr w:type="spellEnd"/>
      <w:r w:rsidRPr="002834DF">
        <w:rPr>
          <w:rFonts w:ascii="Times New Roman" w:hAnsi="Times New Roman" w:cs="Times New Roman"/>
          <w:sz w:val="24"/>
          <w:szCs w:val="24"/>
        </w:rPr>
        <w:t xml:space="preserve"> zamestnancov, výdavky vynaložené v súvislosti s účasťou zamestnancov na tuzemských a zahraničných pracovných cestách, výdavky na telefónne poplatky, výdavky na administratívnu kontrolu projektov, výdavky na nájomné a služby spojené s nájmom pri zamestnancoch, ktorí sú umiestnení na regionálnych pobočkách a podobne. Taktiež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v rámci nového programového obdobia začala s implementáciou projektov z Európskych investičných a štrukturálnych fondov, pričom výdavky (oprávnené aj neoprávnené) s tým súvisiace hradí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z prostriedkov kontraktu – zdroj 111.</w:t>
      </w:r>
    </w:p>
    <w:p w:rsidR="002834DF" w:rsidRPr="002834DF" w:rsidRDefault="002834DF" w:rsidP="002834DF">
      <w:pPr>
        <w:spacing w:line="240" w:lineRule="auto"/>
        <w:ind w:left="720"/>
        <w:jc w:val="both"/>
        <w:rPr>
          <w:rFonts w:ascii="Times New Roman" w:hAnsi="Times New Roman" w:cs="Times New Roman"/>
          <w:sz w:val="24"/>
          <w:szCs w:val="24"/>
        </w:rPr>
      </w:pPr>
      <w:r w:rsidRPr="002834DF">
        <w:rPr>
          <w:rFonts w:ascii="Times New Roman" w:hAnsi="Times New Roman" w:cs="Times New Roman"/>
          <w:sz w:val="24"/>
          <w:szCs w:val="24"/>
        </w:rPr>
        <w:t xml:space="preserve">Uvedená výška výdavkov však neodzrkadľuje všetky výdavky, nakoľko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vznikajú v súvislosti so sekciou </w:t>
      </w:r>
      <w:proofErr w:type="spellStart"/>
      <w:r w:rsidRPr="002834DF">
        <w:rPr>
          <w:rFonts w:ascii="Times New Roman" w:hAnsi="Times New Roman" w:cs="Times New Roman"/>
          <w:sz w:val="24"/>
          <w:szCs w:val="24"/>
        </w:rPr>
        <w:t>ŠF</w:t>
      </w:r>
      <w:proofErr w:type="spellEnd"/>
      <w:r w:rsidRPr="002834DF">
        <w:rPr>
          <w:rFonts w:ascii="Times New Roman" w:hAnsi="Times New Roman" w:cs="Times New Roman"/>
          <w:sz w:val="24"/>
          <w:szCs w:val="24"/>
        </w:rPr>
        <w:t xml:space="preserve"> aj výdavky, ktoré hradí z vlastných prostriedkov (zdroj 46). Patria sem napríklad výdavky na energie, vodné a stočné, zrážky, platby za odvoz odpadu, opravy kancelárskych priestorov, služby súvisiace so správou budovy (vrátnica, strážna služba, </w:t>
      </w:r>
      <w:proofErr w:type="spellStart"/>
      <w:r w:rsidRPr="002834DF">
        <w:rPr>
          <w:rFonts w:ascii="Times New Roman" w:hAnsi="Times New Roman" w:cs="Times New Roman"/>
          <w:sz w:val="24"/>
          <w:szCs w:val="24"/>
        </w:rPr>
        <w:t>BOZP</w:t>
      </w:r>
      <w:proofErr w:type="spellEnd"/>
      <w:r w:rsidRPr="002834DF">
        <w:rPr>
          <w:rFonts w:ascii="Times New Roman" w:hAnsi="Times New Roman" w:cs="Times New Roman"/>
          <w:sz w:val="24"/>
          <w:szCs w:val="24"/>
        </w:rPr>
        <w:t>, PO, CO,...).</w:t>
      </w:r>
    </w:p>
    <w:p w:rsidR="002834DF" w:rsidRPr="002834DF" w:rsidRDefault="002834DF" w:rsidP="002834DF">
      <w:pPr>
        <w:pStyle w:val="WW-Zkladntextodsazen2"/>
        <w:tabs>
          <w:tab w:val="left" w:pos="1080"/>
          <w:tab w:val="left" w:pos="1260"/>
        </w:tabs>
        <w:ind w:firstLine="0"/>
        <w:rPr>
          <w:b/>
          <w:i/>
          <w:szCs w:val="24"/>
        </w:rPr>
      </w:pPr>
      <w:r w:rsidRPr="002834DF">
        <w:rPr>
          <w:b/>
          <w:i/>
          <w:szCs w:val="24"/>
        </w:rPr>
        <w:t>Vysporiadani</w:t>
      </w:r>
      <w:r w:rsidR="003E4AA9">
        <w:rPr>
          <w:b/>
          <w:i/>
          <w:szCs w:val="24"/>
        </w:rPr>
        <w:t>e</w:t>
      </w:r>
      <w:r w:rsidRPr="002834DF">
        <w:rPr>
          <w:b/>
          <w:i/>
          <w:szCs w:val="24"/>
        </w:rPr>
        <w:t xml:space="preserve"> finančných vzťahov:</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3E4AA9">
      <w:pPr>
        <w:pStyle w:val="WW-Zkladntextodsazen2"/>
        <w:rPr>
          <w:szCs w:val="24"/>
        </w:rPr>
      </w:pPr>
      <w:r w:rsidRPr="002834DF">
        <w:rPr>
          <w:szCs w:val="24"/>
        </w:rPr>
        <w:t xml:space="preserve">V rámci projektu č. 25140120084 </w:t>
      </w:r>
      <w:r w:rsidRPr="002834DF">
        <w:rPr>
          <w:i/>
          <w:szCs w:val="24"/>
        </w:rPr>
        <w:t xml:space="preserve">„Financovanie hrubých miezd, odmien a odvodov zamestnávateľa za oprávnených zamestnancov </w:t>
      </w:r>
      <w:proofErr w:type="spellStart"/>
      <w:r w:rsidRPr="002834DF">
        <w:rPr>
          <w:i/>
          <w:szCs w:val="24"/>
        </w:rPr>
        <w:t>SIEA</w:t>
      </w:r>
      <w:proofErr w:type="spellEnd"/>
      <w:r w:rsidRPr="002834DF">
        <w:rPr>
          <w:i/>
          <w:szCs w:val="24"/>
        </w:rPr>
        <w:t xml:space="preserve"> systémom kombinácie zálohových platieb a refundácie pre obdobie 01-12/2014“</w:t>
      </w:r>
      <w:r w:rsidRPr="002834DF">
        <w:rPr>
          <w:szCs w:val="24"/>
        </w:rPr>
        <w:t xml:space="preserve"> </w:t>
      </w:r>
      <w:proofErr w:type="spellStart"/>
      <w:r w:rsidRPr="002834DF">
        <w:rPr>
          <w:szCs w:val="24"/>
        </w:rPr>
        <w:t>SIEA</w:t>
      </w:r>
      <w:proofErr w:type="spellEnd"/>
      <w:r w:rsidRPr="002834DF">
        <w:rPr>
          <w:szCs w:val="24"/>
        </w:rPr>
        <w:t xml:space="preserve"> na základe oznámenia o </w:t>
      </w:r>
      <w:proofErr w:type="spellStart"/>
      <w:r w:rsidRPr="002834DF">
        <w:rPr>
          <w:szCs w:val="24"/>
        </w:rPr>
        <w:t>vysporiadaní</w:t>
      </w:r>
      <w:proofErr w:type="spellEnd"/>
      <w:r w:rsidRPr="002834DF">
        <w:rPr>
          <w:szCs w:val="24"/>
        </w:rPr>
        <w:t xml:space="preserve"> z titulu vrátenia nezúčtovanej zálohovej platby vrátila dňa 20.03.2015 finančné prostriedky </w:t>
      </w:r>
      <w:r w:rsidR="003E4AA9">
        <w:rPr>
          <w:szCs w:val="24"/>
        </w:rPr>
        <w:t>v sume</w:t>
      </w:r>
      <w:r w:rsidRPr="002834DF">
        <w:rPr>
          <w:szCs w:val="24"/>
        </w:rPr>
        <w:t xml:space="preserve"> </w:t>
      </w:r>
      <w:r w:rsidRPr="003E4AA9">
        <w:rPr>
          <w:szCs w:val="24"/>
        </w:rPr>
        <w:t xml:space="preserve">200 539,40 </w:t>
      </w:r>
      <w:r w:rsidR="003E4AA9">
        <w:rPr>
          <w:szCs w:val="24"/>
        </w:rPr>
        <w:t>eur</w:t>
      </w:r>
      <w:r w:rsidRPr="003E4AA9">
        <w:rPr>
          <w:szCs w:val="24"/>
        </w:rPr>
        <w:t>.</w:t>
      </w:r>
    </w:p>
    <w:p w:rsidR="002834DF" w:rsidRPr="002834DF" w:rsidRDefault="002834DF" w:rsidP="002834DF">
      <w:pPr>
        <w:pStyle w:val="WW-Zkladntextodsazen2"/>
        <w:tabs>
          <w:tab w:val="left" w:pos="1080"/>
          <w:tab w:val="left" w:pos="1260"/>
        </w:tabs>
        <w:ind w:firstLine="0"/>
        <w:rPr>
          <w:szCs w:val="24"/>
          <w:highlight w:val="yellow"/>
        </w:rPr>
      </w:pPr>
    </w:p>
    <w:p w:rsidR="002834DF" w:rsidRPr="002834DF" w:rsidRDefault="002834DF" w:rsidP="00A718AE">
      <w:pPr>
        <w:pStyle w:val="WW-Zkladntextodsazen2"/>
        <w:rPr>
          <w:szCs w:val="24"/>
        </w:rPr>
      </w:pPr>
      <w:r w:rsidRPr="002834DF">
        <w:rPr>
          <w:szCs w:val="24"/>
        </w:rPr>
        <w:t xml:space="preserve">V rámci projektu č. 25140120088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w:t>
      </w:r>
      <w:proofErr w:type="spellStart"/>
      <w:r w:rsidRPr="002834DF">
        <w:rPr>
          <w:szCs w:val="24"/>
        </w:rPr>
        <w:t>SIEA</w:t>
      </w:r>
      <w:proofErr w:type="spellEnd"/>
      <w:r w:rsidRPr="002834DF">
        <w:rPr>
          <w:szCs w:val="24"/>
        </w:rPr>
        <w:t xml:space="preserve"> vzhľadom na predloženú správu o zistenej nezrovnalosti č. N21500525/S01 vrátila dňa 15.04.2015 prijatú refundáciu </w:t>
      </w:r>
      <w:r w:rsidR="003E4AA9">
        <w:rPr>
          <w:szCs w:val="24"/>
        </w:rPr>
        <w:t>v sume</w:t>
      </w:r>
      <w:r w:rsidRPr="002834DF">
        <w:rPr>
          <w:szCs w:val="24"/>
        </w:rPr>
        <w:t xml:space="preserve"> </w:t>
      </w:r>
      <w:r w:rsidRPr="003E4AA9">
        <w:rPr>
          <w:szCs w:val="24"/>
        </w:rPr>
        <w:t xml:space="preserve">16 996,19 </w:t>
      </w:r>
      <w:r w:rsidR="003E4AA9">
        <w:rPr>
          <w:szCs w:val="24"/>
        </w:rPr>
        <w:t>eur</w:t>
      </w:r>
      <w:r w:rsidRPr="003E4AA9">
        <w:rPr>
          <w:szCs w:val="24"/>
        </w:rPr>
        <w:t>.</w:t>
      </w:r>
    </w:p>
    <w:p w:rsidR="002834DF" w:rsidRPr="002834DF" w:rsidRDefault="002834DF" w:rsidP="002834DF">
      <w:pPr>
        <w:pStyle w:val="WW-Zkladntextodsazen2"/>
        <w:tabs>
          <w:tab w:val="left" w:pos="1080"/>
          <w:tab w:val="left" w:pos="1260"/>
        </w:tabs>
        <w:ind w:firstLine="0"/>
        <w:rPr>
          <w:szCs w:val="24"/>
          <w:highlight w:val="yellow"/>
        </w:rPr>
      </w:pPr>
    </w:p>
    <w:p w:rsidR="002834DF" w:rsidRPr="002834DF" w:rsidRDefault="002834DF" w:rsidP="00A718AE">
      <w:pPr>
        <w:pStyle w:val="WW-Zkladntextodsazen2"/>
        <w:rPr>
          <w:szCs w:val="24"/>
        </w:rPr>
      </w:pPr>
      <w:r w:rsidRPr="002834DF">
        <w:rPr>
          <w:szCs w:val="24"/>
        </w:rPr>
        <w:t xml:space="preserve">V rámci projektu č. 25140120084620 </w:t>
      </w:r>
      <w:r w:rsidRPr="002834DF">
        <w:rPr>
          <w:i/>
          <w:szCs w:val="24"/>
        </w:rPr>
        <w:t xml:space="preserve">„Financovanie hrubých miezd, odmien a odvodov zamestnávateľa za oprávnených zamestnancov </w:t>
      </w:r>
      <w:proofErr w:type="spellStart"/>
      <w:r w:rsidRPr="002834DF">
        <w:rPr>
          <w:i/>
          <w:szCs w:val="24"/>
        </w:rPr>
        <w:t>SIEA</w:t>
      </w:r>
      <w:proofErr w:type="spellEnd"/>
      <w:r w:rsidRPr="002834DF">
        <w:rPr>
          <w:i/>
          <w:szCs w:val="24"/>
        </w:rPr>
        <w:t xml:space="preserve"> systémom kombinácie zálohových platieb a refundácie pre obdobie 01-12/2014“</w:t>
      </w:r>
      <w:r w:rsidRPr="002834DF">
        <w:rPr>
          <w:szCs w:val="24"/>
        </w:rPr>
        <w:t xml:space="preserve"> </w:t>
      </w:r>
      <w:proofErr w:type="spellStart"/>
      <w:r w:rsidRPr="002834DF">
        <w:rPr>
          <w:szCs w:val="24"/>
        </w:rPr>
        <w:t>SIEA</w:t>
      </w:r>
      <w:proofErr w:type="spellEnd"/>
      <w:r w:rsidRPr="002834DF">
        <w:rPr>
          <w:szCs w:val="24"/>
        </w:rPr>
        <w:t xml:space="preserve"> dňa 21.05.2015 prijala záverečnú refundáciu </w:t>
      </w:r>
      <w:r w:rsidR="003E4AA9">
        <w:rPr>
          <w:szCs w:val="24"/>
        </w:rPr>
        <w:t>v sume</w:t>
      </w:r>
      <w:r w:rsidR="003E4AA9" w:rsidRPr="002834DF">
        <w:rPr>
          <w:szCs w:val="24"/>
        </w:rPr>
        <w:t xml:space="preserve"> </w:t>
      </w:r>
      <w:r w:rsidRPr="003E4AA9">
        <w:rPr>
          <w:szCs w:val="24"/>
        </w:rPr>
        <w:t xml:space="preserve">2 442,60 </w:t>
      </w:r>
      <w:r w:rsidR="003E4AA9" w:rsidRPr="002834DF">
        <w:rPr>
          <w:szCs w:val="24"/>
        </w:rPr>
        <w:t>eur</w:t>
      </w:r>
      <w:r w:rsidRPr="003E4AA9">
        <w:rPr>
          <w:szCs w:val="24"/>
        </w:rPr>
        <w:t>.</w:t>
      </w:r>
      <w:r w:rsidRPr="002834DF">
        <w:rPr>
          <w:szCs w:val="24"/>
        </w:rPr>
        <w:t xml:space="preserve"> </w:t>
      </w:r>
    </w:p>
    <w:p w:rsidR="002834DF" w:rsidRPr="002834DF" w:rsidRDefault="002834DF" w:rsidP="002834DF">
      <w:pPr>
        <w:pStyle w:val="WW-Zkladntextodsazen2"/>
        <w:tabs>
          <w:tab w:val="left" w:pos="1080"/>
          <w:tab w:val="left" w:pos="1260"/>
        </w:tabs>
        <w:ind w:firstLine="0"/>
        <w:rPr>
          <w:szCs w:val="24"/>
          <w:highlight w:val="yellow"/>
        </w:rPr>
      </w:pPr>
    </w:p>
    <w:p w:rsidR="002834DF" w:rsidRPr="00190A08" w:rsidRDefault="002834DF" w:rsidP="00A718AE">
      <w:pPr>
        <w:pStyle w:val="WW-Zkladntextodsazen2"/>
        <w:rPr>
          <w:szCs w:val="24"/>
        </w:rPr>
      </w:pPr>
      <w:r w:rsidRPr="002834DF">
        <w:rPr>
          <w:szCs w:val="24"/>
        </w:rPr>
        <w:t xml:space="preserve">V rámci projektu č. 25140120093601 </w:t>
      </w:r>
      <w:r w:rsidRPr="002834DF">
        <w:rPr>
          <w:i/>
          <w:szCs w:val="24"/>
        </w:rPr>
        <w:t>„Financovanie odmien interným hodnotiteľom žiadostí o </w:t>
      </w:r>
      <w:proofErr w:type="spellStart"/>
      <w:r w:rsidRPr="002834DF">
        <w:rPr>
          <w:i/>
          <w:szCs w:val="24"/>
        </w:rPr>
        <w:t>NFP</w:t>
      </w:r>
      <w:proofErr w:type="spellEnd"/>
      <w:r w:rsidRPr="002834DF">
        <w:rPr>
          <w:i/>
          <w:szCs w:val="24"/>
        </w:rPr>
        <w:t xml:space="preserve"> k výzvam </w:t>
      </w:r>
      <w:proofErr w:type="spellStart"/>
      <w:r w:rsidRPr="002834DF">
        <w:rPr>
          <w:i/>
          <w:szCs w:val="24"/>
        </w:rPr>
        <w:t>KaHR-111SP-1101</w:t>
      </w:r>
      <w:proofErr w:type="spellEnd"/>
      <w:r w:rsidRPr="002834DF">
        <w:rPr>
          <w:i/>
          <w:szCs w:val="24"/>
        </w:rPr>
        <w:t xml:space="preserve">, </w:t>
      </w:r>
      <w:proofErr w:type="spellStart"/>
      <w:r w:rsidRPr="002834DF">
        <w:rPr>
          <w:i/>
          <w:szCs w:val="24"/>
        </w:rPr>
        <w:t>KaHR-13SP-1201</w:t>
      </w:r>
      <w:proofErr w:type="spellEnd"/>
      <w:r w:rsidRPr="002834DF">
        <w:rPr>
          <w:i/>
          <w:szCs w:val="24"/>
        </w:rPr>
        <w:t xml:space="preserve">, </w:t>
      </w:r>
      <w:proofErr w:type="spellStart"/>
      <w:r w:rsidRPr="002834DF">
        <w:rPr>
          <w:i/>
          <w:szCs w:val="24"/>
        </w:rPr>
        <w:t>KaHR-11SP-1201</w:t>
      </w:r>
      <w:proofErr w:type="spellEnd"/>
      <w:r w:rsidRPr="002834DF">
        <w:rPr>
          <w:i/>
          <w:szCs w:val="24"/>
        </w:rPr>
        <w:t xml:space="preserve">, </w:t>
      </w:r>
      <w:proofErr w:type="spellStart"/>
      <w:r w:rsidRPr="002834DF">
        <w:rPr>
          <w:i/>
          <w:szCs w:val="24"/>
        </w:rPr>
        <w:t>KaHR-21SP-1301</w:t>
      </w:r>
      <w:proofErr w:type="spellEnd"/>
      <w:r w:rsidRPr="002834DF">
        <w:rPr>
          <w:i/>
          <w:szCs w:val="24"/>
        </w:rPr>
        <w:t xml:space="preserve">, </w:t>
      </w:r>
      <w:proofErr w:type="spellStart"/>
      <w:r w:rsidRPr="002834DF">
        <w:rPr>
          <w:i/>
          <w:szCs w:val="24"/>
        </w:rPr>
        <w:t>KaHR-111DM-1301</w:t>
      </w:r>
      <w:proofErr w:type="spellEnd"/>
      <w:r w:rsidRPr="002834DF">
        <w:rPr>
          <w:i/>
          <w:szCs w:val="24"/>
        </w:rPr>
        <w:t xml:space="preserve"> vrátane odvodov systémom refundácie“ </w:t>
      </w:r>
      <w:r w:rsidRPr="002834DF">
        <w:rPr>
          <w:szCs w:val="24"/>
        </w:rPr>
        <w:t xml:space="preserve">prijala </w:t>
      </w:r>
      <w:proofErr w:type="spellStart"/>
      <w:r w:rsidRPr="002834DF">
        <w:rPr>
          <w:szCs w:val="24"/>
        </w:rPr>
        <w:t>SIEA</w:t>
      </w:r>
      <w:proofErr w:type="spellEnd"/>
      <w:r w:rsidRPr="002834DF">
        <w:rPr>
          <w:szCs w:val="24"/>
        </w:rPr>
        <w:t xml:space="preserve"> dňa 15.06.2015 refundáciu </w:t>
      </w:r>
      <w:r w:rsidR="003E4AA9">
        <w:rPr>
          <w:szCs w:val="24"/>
        </w:rPr>
        <w:t>v sume</w:t>
      </w:r>
      <w:r w:rsidR="003E4AA9" w:rsidRPr="002834DF">
        <w:rPr>
          <w:szCs w:val="24"/>
        </w:rPr>
        <w:t xml:space="preserve"> </w:t>
      </w:r>
      <w:r w:rsidRPr="00190A08">
        <w:rPr>
          <w:szCs w:val="24"/>
        </w:rPr>
        <w:t xml:space="preserve">44 313,50 </w:t>
      </w:r>
      <w:r w:rsidR="00190A08" w:rsidRPr="002834DF">
        <w:rPr>
          <w:szCs w:val="24"/>
        </w:rPr>
        <w:t>eur</w:t>
      </w:r>
      <w:r w:rsidRPr="00190A08">
        <w:rPr>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szCs w:val="24"/>
        </w:rPr>
      </w:pPr>
      <w:r w:rsidRPr="002834DF">
        <w:rPr>
          <w:szCs w:val="24"/>
        </w:rPr>
        <w:t xml:space="preserve">V rámci projektu č. 25140120091501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prijala </w:t>
      </w:r>
      <w:proofErr w:type="spellStart"/>
      <w:r w:rsidRPr="002834DF">
        <w:rPr>
          <w:szCs w:val="24"/>
        </w:rPr>
        <w:t>SIEA</w:t>
      </w:r>
      <w:proofErr w:type="spellEnd"/>
      <w:r w:rsidRPr="002834DF">
        <w:rPr>
          <w:szCs w:val="24"/>
        </w:rPr>
        <w:t xml:space="preserve"> dňa 30.06.2015 refundáciu výdavkov </w:t>
      </w:r>
      <w:r w:rsidR="003E4AA9">
        <w:rPr>
          <w:szCs w:val="24"/>
        </w:rPr>
        <w:t>v sume</w:t>
      </w:r>
      <w:r w:rsidR="003E4AA9" w:rsidRPr="002834DF">
        <w:rPr>
          <w:szCs w:val="24"/>
        </w:rPr>
        <w:t xml:space="preserve"> </w:t>
      </w:r>
      <w:r w:rsidRPr="00CB5B0C">
        <w:rPr>
          <w:szCs w:val="24"/>
        </w:rPr>
        <w:t>10 704,03</w:t>
      </w:r>
      <w:r w:rsidRPr="002834DF">
        <w:rPr>
          <w:b/>
          <w:szCs w:val="24"/>
        </w:rPr>
        <w:t xml:space="preserve"> </w:t>
      </w:r>
      <w:r w:rsidR="00190A08" w:rsidRPr="002834DF">
        <w:rPr>
          <w:szCs w:val="24"/>
        </w:rPr>
        <w:t>eur</w:t>
      </w:r>
      <w:r w:rsidRPr="002834DF">
        <w:rPr>
          <w:szCs w:val="24"/>
        </w:rPr>
        <w:t>.</w:t>
      </w:r>
    </w:p>
    <w:p w:rsidR="002834DF" w:rsidRPr="002834DF" w:rsidRDefault="002834DF" w:rsidP="002834DF">
      <w:pPr>
        <w:pStyle w:val="WW-Zkladntextodsazen2"/>
        <w:tabs>
          <w:tab w:val="left" w:pos="1080"/>
          <w:tab w:val="left" w:pos="1260"/>
        </w:tabs>
        <w:ind w:firstLine="0"/>
        <w:rPr>
          <w:b/>
          <w:szCs w:val="24"/>
        </w:rPr>
      </w:pPr>
    </w:p>
    <w:p w:rsidR="002834DF" w:rsidRPr="002834DF" w:rsidRDefault="002834DF" w:rsidP="00A718AE">
      <w:pPr>
        <w:pStyle w:val="WW-Zkladntextodsazen2"/>
        <w:rPr>
          <w:szCs w:val="24"/>
        </w:rPr>
      </w:pPr>
      <w:r w:rsidRPr="002834DF">
        <w:rPr>
          <w:szCs w:val="24"/>
        </w:rPr>
        <w:t xml:space="preserve">V rámci projektu č. 25140120088505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w:t>
      </w:r>
      <w:proofErr w:type="spellStart"/>
      <w:r w:rsidRPr="002834DF">
        <w:rPr>
          <w:szCs w:val="24"/>
        </w:rPr>
        <w:t>SIEA</w:t>
      </w:r>
      <w:proofErr w:type="spellEnd"/>
      <w:r w:rsidRPr="002834DF">
        <w:rPr>
          <w:szCs w:val="24"/>
        </w:rPr>
        <w:t xml:space="preserve"> prijala dňa 30.06.2015 refundáciu výdavkov </w:t>
      </w:r>
      <w:r w:rsidR="003E4AA9">
        <w:rPr>
          <w:szCs w:val="24"/>
        </w:rPr>
        <w:t>v sume</w:t>
      </w:r>
      <w:r w:rsidR="003E4AA9" w:rsidRPr="002834DF">
        <w:rPr>
          <w:szCs w:val="24"/>
        </w:rPr>
        <w:t xml:space="preserve"> </w:t>
      </w:r>
      <w:r w:rsidRPr="00CB5B0C">
        <w:rPr>
          <w:szCs w:val="24"/>
        </w:rPr>
        <w:t>10 605,69</w:t>
      </w:r>
      <w:r w:rsidRPr="002834DF">
        <w:rPr>
          <w:b/>
          <w:szCs w:val="24"/>
        </w:rPr>
        <w:t xml:space="preserve"> </w:t>
      </w:r>
      <w:r w:rsidR="00190A08" w:rsidRPr="002834DF">
        <w:rPr>
          <w:szCs w:val="24"/>
        </w:rPr>
        <w:t>eur</w:t>
      </w:r>
      <w:r w:rsidRPr="002834DF">
        <w:rPr>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szCs w:val="24"/>
        </w:rPr>
      </w:pPr>
      <w:r w:rsidRPr="002834DF">
        <w:rPr>
          <w:szCs w:val="24"/>
        </w:rPr>
        <w:t xml:space="preserve">V rámci projektu č. 25140120091602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prijala </w:t>
      </w:r>
      <w:proofErr w:type="spellStart"/>
      <w:r w:rsidRPr="002834DF">
        <w:rPr>
          <w:szCs w:val="24"/>
        </w:rPr>
        <w:t>SIEA</w:t>
      </w:r>
      <w:proofErr w:type="spellEnd"/>
      <w:r w:rsidRPr="002834DF">
        <w:rPr>
          <w:szCs w:val="24"/>
        </w:rPr>
        <w:t xml:space="preserve"> dňa 19.10.2015 refundáciu výdavkov </w:t>
      </w:r>
      <w:r w:rsidR="003E4AA9">
        <w:rPr>
          <w:szCs w:val="24"/>
        </w:rPr>
        <w:t>v sume</w:t>
      </w:r>
      <w:r w:rsidR="003E4AA9" w:rsidRPr="002834DF">
        <w:rPr>
          <w:szCs w:val="24"/>
        </w:rPr>
        <w:t xml:space="preserve"> </w:t>
      </w:r>
      <w:r w:rsidRPr="00CB5B0C">
        <w:rPr>
          <w:szCs w:val="24"/>
        </w:rPr>
        <w:t>11 669,34</w:t>
      </w:r>
      <w:r w:rsidRPr="002834DF">
        <w:rPr>
          <w:b/>
          <w:szCs w:val="24"/>
        </w:rPr>
        <w:t xml:space="preserve"> </w:t>
      </w:r>
      <w:r w:rsidR="00190A08" w:rsidRPr="002834DF">
        <w:rPr>
          <w:szCs w:val="24"/>
        </w:rPr>
        <w:t>eur</w:t>
      </w:r>
      <w:r w:rsidRPr="002834DF">
        <w:rPr>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b/>
          <w:szCs w:val="24"/>
        </w:rPr>
      </w:pPr>
      <w:r w:rsidRPr="002834DF">
        <w:rPr>
          <w:szCs w:val="24"/>
        </w:rPr>
        <w:t xml:space="preserve">V rámci projektu č. 25140120088506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w:t>
      </w:r>
      <w:proofErr w:type="spellStart"/>
      <w:r w:rsidRPr="002834DF">
        <w:rPr>
          <w:szCs w:val="24"/>
        </w:rPr>
        <w:t>SIEA</w:t>
      </w:r>
      <w:proofErr w:type="spellEnd"/>
      <w:r w:rsidRPr="002834DF">
        <w:rPr>
          <w:szCs w:val="24"/>
        </w:rPr>
        <w:t xml:space="preserve"> prijala dňa 01.12.2015 refundáciu výdavkov </w:t>
      </w:r>
      <w:r w:rsidR="003E4AA9">
        <w:rPr>
          <w:szCs w:val="24"/>
        </w:rPr>
        <w:t>v sume</w:t>
      </w:r>
      <w:r w:rsidR="003E4AA9" w:rsidRPr="002834DF">
        <w:rPr>
          <w:szCs w:val="24"/>
        </w:rPr>
        <w:t xml:space="preserve"> </w:t>
      </w:r>
      <w:r w:rsidRPr="00CB5B0C">
        <w:rPr>
          <w:szCs w:val="24"/>
        </w:rPr>
        <w:t>3 812,95</w:t>
      </w:r>
      <w:r w:rsidRPr="002834DF">
        <w:rPr>
          <w:b/>
          <w:szCs w:val="24"/>
        </w:rPr>
        <w:t xml:space="preserve"> </w:t>
      </w:r>
      <w:r w:rsidR="00190A08" w:rsidRPr="002834DF">
        <w:rPr>
          <w:szCs w:val="24"/>
        </w:rPr>
        <w:t>eur</w:t>
      </w:r>
      <w:r w:rsidRPr="002834DF">
        <w:rPr>
          <w:b/>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szCs w:val="24"/>
        </w:rPr>
      </w:pPr>
      <w:r w:rsidRPr="002834DF">
        <w:rPr>
          <w:szCs w:val="24"/>
        </w:rPr>
        <w:t xml:space="preserve">V rámci projektu č. 25140120088607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w:t>
      </w:r>
      <w:proofErr w:type="spellStart"/>
      <w:r w:rsidRPr="002834DF">
        <w:rPr>
          <w:szCs w:val="24"/>
        </w:rPr>
        <w:t>SIEA</w:t>
      </w:r>
      <w:proofErr w:type="spellEnd"/>
      <w:r w:rsidRPr="002834DF">
        <w:rPr>
          <w:szCs w:val="24"/>
        </w:rPr>
        <w:t xml:space="preserve"> prijala dňa 01.12.2015 refundáciu výdavkov </w:t>
      </w:r>
      <w:r w:rsidR="003E4AA9">
        <w:rPr>
          <w:szCs w:val="24"/>
        </w:rPr>
        <w:t>v sume</w:t>
      </w:r>
      <w:r w:rsidR="003E4AA9" w:rsidRPr="002834DF">
        <w:rPr>
          <w:szCs w:val="24"/>
        </w:rPr>
        <w:t xml:space="preserve"> </w:t>
      </w:r>
      <w:r w:rsidRPr="00CB5B0C">
        <w:rPr>
          <w:szCs w:val="24"/>
        </w:rPr>
        <w:t>1 764,48</w:t>
      </w:r>
      <w:r w:rsidRPr="002834DF">
        <w:rPr>
          <w:b/>
          <w:szCs w:val="24"/>
        </w:rPr>
        <w:t xml:space="preserve"> </w:t>
      </w:r>
      <w:r w:rsidR="00190A08" w:rsidRPr="002834DF">
        <w:rPr>
          <w:szCs w:val="24"/>
        </w:rPr>
        <w:t>eur</w:t>
      </w:r>
      <w:r w:rsidRPr="002834DF">
        <w:rPr>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b/>
          <w:szCs w:val="24"/>
        </w:rPr>
      </w:pPr>
      <w:r w:rsidRPr="002834DF">
        <w:rPr>
          <w:szCs w:val="24"/>
        </w:rPr>
        <w:t xml:space="preserve">V rámci projektu č. 25140120099601 </w:t>
      </w:r>
      <w:r w:rsidRPr="002834DF">
        <w:rPr>
          <w:i/>
          <w:szCs w:val="24"/>
        </w:rPr>
        <w:t>„Financovanie odmien odborníkov vykonávajúcich kontrolu verejného obstarávania vrátane odvodov zamestnávateľa.“</w:t>
      </w:r>
      <w:r w:rsidRPr="002834DF">
        <w:rPr>
          <w:szCs w:val="24"/>
        </w:rPr>
        <w:t xml:space="preserve"> </w:t>
      </w:r>
      <w:proofErr w:type="spellStart"/>
      <w:r w:rsidRPr="002834DF">
        <w:rPr>
          <w:szCs w:val="24"/>
        </w:rPr>
        <w:t>SIEA</w:t>
      </w:r>
      <w:proofErr w:type="spellEnd"/>
      <w:r w:rsidRPr="002834DF">
        <w:rPr>
          <w:szCs w:val="24"/>
        </w:rPr>
        <w:t xml:space="preserve"> prijala dňa 01.12.2015 refundáciu výdavkov </w:t>
      </w:r>
      <w:r w:rsidR="003E4AA9">
        <w:rPr>
          <w:szCs w:val="24"/>
        </w:rPr>
        <w:t>v sume</w:t>
      </w:r>
      <w:r w:rsidR="003E4AA9" w:rsidRPr="002834DF">
        <w:rPr>
          <w:szCs w:val="24"/>
        </w:rPr>
        <w:t xml:space="preserve"> </w:t>
      </w:r>
      <w:r w:rsidRPr="00CB5B0C">
        <w:rPr>
          <w:szCs w:val="24"/>
        </w:rPr>
        <w:t>42 671,39</w:t>
      </w:r>
      <w:r w:rsidRPr="002834DF">
        <w:rPr>
          <w:b/>
          <w:szCs w:val="24"/>
        </w:rPr>
        <w:t xml:space="preserve"> </w:t>
      </w:r>
      <w:r w:rsidR="00190A08" w:rsidRPr="002834DF">
        <w:rPr>
          <w:szCs w:val="24"/>
        </w:rPr>
        <w:t>eur</w:t>
      </w:r>
      <w:r w:rsidRPr="002834DF">
        <w:rPr>
          <w:b/>
          <w:szCs w:val="24"/>
        </w:rPr>
        <w:t>.</w:t>
      </w:r>
    </w:p>
    <w:p w:rsidR="002834DF" w:rsidRPr="002834DF" w:rsidRDefault="002834DF" w:rsidP="002834DF">
      <w:pPr>
        <w:pStyle w:val="WW-Zkladntextodsazen2"/>
        <w:tabs>
          <w:tab w:val="left" w:pos="1080"/>
          <w:tab w:val="left" w:pos="1260"/>
        </w:tabs>
        <w:ind w:firstLine="0"/>
        <w:rPr>
          <w:b/>
          <w:szCs w:val="24"/>
        </w:rPr>
      </w:pPr>
    </w:p>
    <w:p w:rsidR="002834DF" w:rsidRPr="002834DF" w:rsidRDefault="002834DF" w:rsidP="00A718AE">
      <w:pPr>
        <w:pStyle w:val="WW-Zkladntextodsazen2"/>
        <w:rPr>
          <w:b/>
          <w:szCs w:val="24"/>
        </w:rPr>
      </w:pPr>
      <w:r w:rsidRPr="002834DF">
        <w:rPr>
          <w:szCs w:val="24"/>
        </w:rPr>
        <w:t xml:space="preserve">V rámci projektu č. 25140120098601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w:t>
      </w:r>
      <w:proofErr w:type="spellStart"/>
      <w:r w:rsidRPr="002834DF">
        <w:rPr>
          <w:szCs w:val="24"/>
        </w:rPr>
        <w:t>SIEA</w:t>
      </w:r>
      <w:proofErr w:type="spellEnd"/>
      <w:r w:rsidRPr="002834DF">
        <w:rPr>
          <w:szCs w:val="24"/>
        </w:rPr>
        <w:t xml:space="preserve"> prijala dňa 21.12.2015 refundáciu výdavkov </w:t>
      </w:r>
      <w:r w:rsidR="003E4AA9">
        <w:rPr>
          <w:szCs w:val="24"/>
        </w:rPr>
        <w:t>v sume</w:t>
      </w:r>
      <w:r w:rsidR="003E4AA9" w:rsidRPr="002834DF">
        <w:rPr>
          <w:szCs w:val="24"/>
        </w:rPr>
        <w:t xml:space="preserve"> </w:t>
      </w:r>
      <w:r w:rsidRPr="00CB5B0C">
        <w:rPr>
          <w:szCs w:val="24"/>
        </w:rPr>
        <w:t>62 953,68</w:t>
      </w:r>
      <w:r w:rsidRPr="002834DF">
        <w:rPr>
          <w:b/>
          <w:szCs w:val="24"/>
        </w:rPr>
        <w:t xml:space="preserve"> </w:t>
      </w:r>
      <w:r w:rsidR="00190A08" w:rsidRPr="002834DF">
        <w:rPr>
          <w:szCs w:val="24"/>
        </w:rPr>
        <w:t>eur</w:t>
      </w:r>
      <w:r w:rsidRPr="002834DF">
        <w:rPr>
          <w:b/>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b/>
          <w:szCs w:val="24"/>
        </w:rPr>
      </w:pPr>
      <w:r w:rsidRPr="002834DF">
        <w:rPr>
          <w:szCs w:val="24"/>
        </w:rPr>
        <w:t xml:space="preserve">V rámci projektu č. 25140120105601 </w:t>
      </w:r>
      <w:r w:rsidRPr="002834DF">
        <w:rPr>
          <w:i/>
          <w:szCs w:val="24"/>
        </w:rPr>
        <w:t>„Refundácia výdavkov spojených s financovaním odmien odborníkov vykonávajúcich kontrolu verejného obstarávania vrátane odvodov zamestnávateľa.“</w:t>
      </w:r>
      <w:r w:rsidRPr="002834DF">
        <w:rPr>
          <w:szCs w:val="24"/>
        </w:rPr>
        <w:t xml:space="preserve"> </w:t>
      </w:r>
      <w:proofErr w:type="spellStart"/>
      <w:r w:rsidRPr="002834DF">
        <w:rPr>
          <w:szCs w:val="24"/>
        </w:rPr>
        <w:t>SIEA</w:t>
      </w:r>
      <w:proofErr w:type="spellEnd"/>
      <w:r w:rsidRPr="002834DF">
        <w:rPr>
          <w:szCs w:val="24"/>
        </w:rPr>
        <w:t xml:space="preserve"> prijala dňa 21.12.2015 refundáciu výdavkov </w:t>
      </w:r>
      <w:r w:rsidR="003E4AA9">
        <w:rPr>
          <w:szCs w:val="24"/>
        </w:rPr>
        <w:t>v sume</w:t>
      </w:r>
      <w:r w:rsidR="003E4AA9" w:rsidRPr="002834DF">
        <w:rPr>
          <w:szCs w:val="24"/>
        </w:rPr>
        <w:t xml:space="preserve"> </w:t>
      </w:r>
      <w:r w:rsidRPr="00CB5B0C">
        <w:rPr>
          <w:szCs w:val="24"/>
        </w:rPr>
        <w:t>135 096,30</w:t>
      </w:r>
      <w:r w:rsidRPr="002834DF">
        <w:rPr>
          <w:b/>
          <w:szCs w:val="24"/>
        </w:rPr>
        <w:t xml:space="preserve"> </w:t>
      </w:r>
      <w:r w:rsidR="00190A08" w:rsidRPr="002834DF">
        <w:rPr>
          <w:szCs w:val="24"/>
        </w:rPr>
        <w:t>eur</w:t>
      </w:r>
      <w:r w:rsidRPr="002834DF">
        <w:rPr>
          <w:b/>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b/>
          <w:szCs w:val="24"/>
        </w:rPr>
      </w:pPr>
      <w:r w:rsidRPr="002834DF">
        <w:rPr>
          <w:szCs w:val="24"/>
        </w:rPr>
        <w:t xml:space="preserve">V rámci projektu č. 25140120100601 </w:t>
      </w:r>
      <w:r w:rsidRPr="002834DF">
        <w:rPr>
          <w:i/>
          <w:szCs w:val="24"/>
        </w:rPr>
        <w:t>„Financovanie výdavkov na materiálno technické zabezpečenie pre zamestnancov Slovenskej inovačnej a energetickej agentúry podieľajúcich sa na implementácii, monitorovaní a kontrole OP KaHR formou refundácie.“</w:t>
      </w:r>
      <w:r w:rsidRPr="002834DF">
        <w:rPr>
          <w:szCs w:val="24"/>
        </w:rPr>
        <w:t xml:space="preserve"> </w:t>
      </w:r>
      <w:proofErr w:type="spellStart"/>
      <w:r w:rsidRPr="002834DF">
        <w:rPr>
          <w:szCs w:val="24"/>
        </w:rPr>
        <w:t>SIEA</w:t>
      </w:r>
      <w:proofErr w:type="spellEnd"/>
      <w:r w:rsidRPr="002834DF">
        <w:rPr>
          <w:szCs w:val="24"/>
        </w:rPr>
        <w:t xml:space="preserve"> prijala dňa 28.12.2015 refundáciu výdavkov </w:t>
      </w:r>
      <w:r w:rsidR="003E4AA9">
        <w:rPr>
          <w:szCs w:val="24"/>
        </w:rPr>
        <w:t>v sume</w:t>
      </w:r>
      <w:r w:rsidR="003E4AA9" w:rsidRPr="002834DF">
        <w:rPr>
          <w:szCs w:val="24"/>
        </w:rPr>
        <w:t xml:space="preserve"> </w:t>
      </w:r>
      <w:r w:rsidRPr="00CB5B0C">
        <w:rPr>
          <w:szCs w:val="24"/>
        </w:rPr>
        <w:t>38 511,06</w:t>
      </w:r>
      <w:r w:rsidRPr="002834DF">
        <w:rPr>
          <w:b/>
          <w:szCs w:val="24"/>
        </w:rPr>
        <w:t xml:space="preserve"> </w:t>
      </w:r>
      <w:r w:rsidR="00190A08" w:rsidRPr="002834DF">
        <w:rPr>
          <w:szCs w:val="24"/>
        </w:rPr>
        <w:t>eur</w:t>
      </w:r>
      <w:r w:rsidRPr="002834DF">
        <w:rPr>
          <w:b/>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A718AE">
      <w:pPr>
        <w:pStyle w:val="WW-Zkladntextodsazen2"/>
        <w:rPr>
          <w:b/>
          <w:szCs w:val="24"/>
        </w:rPr>
      </w:pPr>
      <w:r w:rsidRPr="002834DF">
        <w:rPr>
          <w:szCs w:val="24"/>
        </w:rPr>
        <w:t xml:space="preserve">V rámci projektu č. 25140120107601 </w:t>
      </w:r>
      <w:r w:rsidRPr="002834DF">
        <w:rPr>
          <w:i/>
          <w:szCs w:val="24"/>
        </w:rPr>
        <w:t>„Financovanie odmien interným a externým hodnotiteľom žiadostí o </w:t>
      </w:r>
      <w:proofErr w:type="spellStart"/>
      <w:r w:rsidRPr="002834DF">
        <w:rPr>
          <w:i/>
          <w:szCs w:val="24"/>
        </w:rPr>
        <w:t>NFP</w:t>
      </w:r>
      <w:proofErr w:type="spellEnd"/>
      <w:r w:rsidRPr="002834DF">
        <w:rPr>
          <w:i/>
          <w:szCs w:val="24"/>
        </w:rPr>
        <w:t xml:space="preserve"> k výzvam </w:t>
      </w:r>
      <w:proofErr w:type="spellStart"/>
      <w:r w:rsidRPr="002834DF">
        <w:rPr>
          <w:i/>
          <w:szCs w:val="24"/>
        </w:rPr>
        <w:t>KaHR-21DM-1401</w:t>
      </w:r>
      <w:proofErr w:type="spellEnd"/>
      <w:r w:rsidRPr="002834DF">
        <w:rPr>
          <w:i/>
          <w:szCs w:val="24"/>
        </w:rPr>
        <w:t xml:space="preserve">, </w:t>
      </w:r>
      <w:proofErr w:type="spellStart"/>
      <w:r w:rsidRPr="002834DF">
        <w:rPr>
          <w:i/>
          <w:szCs w:val="24"/>
        </w:rPr>
        <w:t>KaHR-21DM-1402</w:t>
      </w:r>
      <w:proofErr w:type="spellEnd"/>
      <w:r w:rsidRPr="002834DF">
        <w:rPr>
          <w:i/>
          <w:szCs w:val="24"/>
        </w:rPr>
        <w:t xml:space="preserve">, </w:t>
      </w:r>
      <w:proofErr w:type="spellStart"/>
      <w:r w:rsidRPr="002834DF">
        <w:rPr>
          <w:i/>
          <w:szCs w:val="24"/>
        </w:rPr>
        <w:t>KaHR-31DM-1401</w:t>
      </w:r>
      <w:proofErr w:type="spellEnd"/>
      <w:r w:rsidRPr="002834DF">
        <w:rPr>
          <w:i/>
          <w:szCs w:val="24"/>
        </w:rPr>
        <w:t xml:space="preserve"> vrátane odvodov zamestnávateľa systémom refundácie.“</w:t>
      </w:r>
      <w:r w:rsidRPr="002834DF">
        <w:rPr>
          <w:szCs w:val="24"/>
        </w:rPr>
        <w:t xml:space="preserve"> </w:t>
      </w:r>
      <w:proofErr w:type="spellStart"/>
      <w:r w:rsidRPr="002834DF">
        <w:rPr>
          <w:szCs w:val="24"/>
        </w:rPr>
        <w:t>SIEA</w:t>
      </w:r>
      <w:proofErr w:type="spellEnd"/>
      <w:r w:rsidRPr="002834DF">
        <w:rPr>
          <w:szCs w:val="24"/>
        </w:rPr>
        <w:t xml:space="preserve"> prijala dňa 28.12.2015 refundáciu výdavkov </w:t>
      </w:r>
      <w:r w:rsidR="003E4AA9">
        <w:rPr>
          <w:szCs w:val="24"/>
        </w:rPr>
        <w:t>v sume</w:t>
      </w:r>
      <w:r w:rsidR="003E4AA9" w:rsidRPr="002834DF">
        <w:rPr>
          <w:szCs w:val="24"/>
        </w:rPr>
        <w:t xml:space="preserve"> </w:t>
      </w:r>
      <w:r w:rsidRPr="00CB5B0C">
        <w:rPr>
          <w:szCs w:val="24"/>
        </w:rPr>
        <w:t>38 206,22</w:t>
      </w:r>
      <w:r w:rsidRPr="002834DF">
        <w:rPr>
          <w:b/>
          <w:szCs w:val="24"/>
        </w:rPr>
        <w:t xml:space="preserve"> </w:t>
      </w:r>
      <w:r w:rsidR="00190A08" w:rsidRPr="002834DF">
        <w:rPr>
          <w:szCs w:val="24"/>
        </w:rPr>
        <w:t>eur</w:t>
      </w:r>
      <w:r w:rsidRPr="002834DF">
        <w:rPr>
          <w:b/>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Z uvedených refundácií bola suma 167 796,41 </w:t>
      </w:r>
      <w:r w:rsidR="00CB5B0C" w:rsidRPr="002834DF">
        <w:rPr>
          <w:szCs w:val="24"/>
        </w:rPr>
        <w:t>eur</w:t>
      </w:r>
      <w:r w:rsidRPr="002834DF">
        <w:rPr>
          <w:szCs w:val="24"/>
        </w:rPr>
        <w:t xml:space="preserve"> použitá na úhradu výdavkov súvisiacich s materiálno-technickým zabezpečením </w:t>
      </w:r>
      <w:proofErr w:type="spellStart"/>
      <w:r w:rsidRPr="002834DF">
        <w:rPr>
          <w:szCs w:val="24"/>
        </w:rPr>
        <w:t>SŠF</w:t>
      </w:r>
      <w:proofErr w:type="spellEnd"/>
      <w:r w:rsidRPr="002834DF">
        <w:rPr>
          <w:szCs w:val="24"/>
        </w:rPr>
        <w:t xml:space="preserve"> (viď vyššie uvedené).</w:t>
      </w:r>
    </w:p>
    <w:p w:rsidR="001803FE" w:rsidRPr="002834DF" w:rsidRDefault="001803FE" w:rsidP="002834DF">
      <w:pPr>
        <w:pStyle w:val="WW-Zkladntextodsazen2"/>
        <w:tabs>
          <w:tab w:val="left" w:pos="1080"/>
          <w:tab w:val="left" w:pos="1260"/>
        </w:tabs>
        <w:ind w:firstLine="0"/>
        <w:rPr>
          <w:szCs w:val="24"/>
          <w:u w:val="single"/>
        </w:rPr>
      </w:pPr>
    </w:p>
    <w:p w:rsidR="002834DF" w:rsidRPr="002834DF" w:rsidRDefault="002834DF" w:rsidP="001803FE">
      <w:pPr>
        <w:pStyle w:val="WW-Zkladntextodsazen2"/>
        <w:numPr>
          <w:ilvl w:val="0"/>
          <w:numId w:val="33"/>
        </w:numPr>
        <w:rPr>
          <w:b/>
          <w:szCs w:val="24"/>
        </w:rPr>
      </w:pPr>
      <w:r w:rsidRPr="002834DF">
        <w:rPr>
          <w:b/>
          <w:szCs w:val="24"/>
        </w:rPr>
        <w:t xml:space="preserve">Národný projekt – Podpora osvety a poradenstva v rámci efektívneho využívania energie a využívania </w:t>
      </w:r>
      <w:proofErr w:type="spellStart"/>
      <w:r w:rsidRPr="002834DF">
        <w:rPr>
          <w:b/>
          <w:szCs w:val="24"/>
        </w:rPr>
        <w:t>OZE</w:t>
      </w:r>
      <w:proofErr w:type="spellEnd"/>
      <w:r w:rsidRPr="002834DF">
        <w:rPr>
          <w:b/>
          <w:szCs w:val="24"/>
        </w:rPr>
        <w:t>, vrátane zvyšovania informovanosti širokej verejnosti (ďalej len „</w:t>
      </w:r>
      <w:proofErr w:type="spellStart"/>
      <w:r w:rsidRPr="002834DF">
        <w:rPr>
          <w:b/>
          <w:szCs w:val="24"/>
        </w:rPr>
        <w:t>NP</w:t>
      </w:r>
      <w:proofErr w:type="spellEnd"/>
      <w:r w:rsidRPr="002834DF">
        <w:rPr>
          <w:b/>
          <w:szCs w:val="24"/>
        </w:rPr>
        <w:t>“)</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CB5B0C">
      <w:pPr>
        <w:pStyle w:val="WW-Zkladntextodsazen2"/>
        <w:tabs>
          <w:tab w:val="left" w:pos="1080"/>
          <w:tab w:val="left" w:pos="1260"/>
        </w:tabs>
        <w:rPr>
          <w:szCs w:val="24"/>
        </w:rPr>
      </w:pPr>
      <w:r w:rsidRPr="002834DF">
        <w:rPr>
          <w:szCs w:val="24"/>
        </w:rPr>
        <w:t xml:space="preserve">Do 31.12.2015 </w:t>
      </w:r>
      <w:proofErr w:type="spellStart"/>
      <w:r w:rsidRPr="002834DF">
        <w:rPr>
          <w:szCs w:val="24"/>
        </w:rPr>
        <w:t>SIEA</w:t>
      </w:r>
      <w:proofErr w:type="spellEnd"/>
      <w:r w:rsidRPr="002834DF">
        <w:rPr>
          <w:szCs w:val="24"/>
        </w:rPr>
        <w:t xml:space="preserve"> prijala na osobitný účet pre </w:t>
      </w:r>
      <w:proofErr w:type="spellStart"/>
      <w:r w:rsidRPr="002834DF">
        <w:rPr>
          <w:szCs w:val="24"/>
        </w:rPr>
        <w:t>NP</w:t>
      </w:r>
      <w:proofErr w:type="spellEnd"/>
      <w:r w:rsidRPr="002834DF">
        <w:rPr>
          <w:szCs w:val="24"/>
        </w:rPr>
        <w:t xml:space="preserve"> zálohové platby v celkovej </w:t>
      </w:r>
      <w:r w:rsidR="00F04EAE">
        <w:rPr>
          <w:szCs w:val="24"/>
        </w:rPr>
        <w:t>sume</w:t>
      </w:r>
      <w:r w:rsidRPr="002834DF">
        <w:rPr>
          <w:szCs w:val="24"/>
        </w:rPr>
        <w:t xml:space="preserve"> </w:t>
      </w:r>
      <w:r w:rsidRPr="00CB5B0C">
        <w:rPr>
          <w:szCs w:val="24"/>
        </w:rPr>
        <w:t>1 261 854,47</w:t>
      </w:r>
      <w:r w:rsidRPr="002834DF">
        <w:rPr>
          <w:b/>
          <w:szCs w:val="24"/>
        </w:rPr>
        <w:t xml:space="preserve"> </w:t>
      </w:r>
      <w:r w:rsidR="00190A08" w:rsidRPr="002834DF">
        <w:rPr>
          <w:szCs w:val="24"/>
        </w:rPr>
        <w:t>eur</w:t>
      </w:r>
      <w:r w:rsidRPr="002834DF">
        <w:rPr>
          <w:szCs w:val="24"/>
        </w:rPr>
        <w:t xml:space="preserve"> na financovanie bežných výdavkov vznikajúcich v súvislosti s realizáciou projektu. Zároveň na bežný účet </w:t>
      </w:r>
      <w:proofErr w:type="spellStart"/>
      <w:r w:rsidRPr="002834DF">
        <w:rPr>
          <w:szCs w:val="24"/>
        </w:rPr>
        <w:t>SIEA</w:t>
      </w:r>
      <w:proofErr w:type="spellEnd"/>
      <w:r w:rsidRPr="002834DF">
        <w:rPr>
          <w:szCs w:val="24"/>
        </w:rPr>
        <w:t xml:space="preserve"> boli v rámci uvedeného projektu prijaté refundácie výdavkov v celkovej </w:t>
      </w:r>
      <w:r w:rsidR="00F04EAE">
        <w:rPr>
          <w:szCs w:val="24"/>
        </w:rPr>
        <w:t>sume</w:t>
      </w:r>
      <w:r w:rsidRPr="002834DF">
        <w:rPr>
          <w:szCs w:val="24"/>
        </w:rPr>
        <w:t xml:space="preserve"> 432 436,53 </w:t>
      </w:r>
      <w:r w:rsidR="00F04EAE">
        <w:rPr>
          <w:szCs w:val="24"/>
        </w:rPr>
        <w:t>eur</w:t>
      </w:r>
      <w:r w:rsidRPr="002834DF">
        <w:rPr>
          <w:szCs w:val="24"/>
        </w:rPr>
        <w:t xml:space="preserve">. Zostatok z roku 2014 predstavoval finančné prostriedky </w:t>
      </w:r>
      <w:r w:rsidR="003E4AA9">
        <w:rPr>
          <w:szCs w:val="24"/>
        </w:rPr>
        <w:t>v sume</w:t>
      </w:r>
      <w:r w:rsidR="003E4AA9" w:rsidRPr="002834DF">
        <w:rPr>
          <w:szCs w:val="24"/>
        </w:rPr>
        <w:t xml:space="preserve"> </w:t>
      </w:r>
      <w:r w:rsidRPr="00CB5B0C">
        <w:rPr>
          <w:szCs w:val="24"/>
        </w:rPr>
        <w:t>51 224,51</w:t>
      </w:r>
      <w:r w:rsidRPr="002834DF">
        <w:rPr>
          <w:b/>
          <w:szCs w:val="24"/>
        </w:rPr>
        <w:t xml:space="preserve"> </w:t>
      </w:r>
      <w:r w:rsidR="00190A08" w:rsidRPr="002834DF">
        <w:rPr>
          <w:szCs w:val="24"/>
        </w:rPr>
        <w:t>eur</w:t>
      </w:r>
      <w:r w:rsidRPr="002834DF">
        <w:rPr>
          <w:szCs w:val="24"/>
        </w:rPr>
        <w:t xml:space="preserve">. </w:t>
      </w:r>
    </w:p>
    <w:p w:rsidR="002834DF" w:rsidRPr="002834DF" w:rsidRDefault="002834DF" w:rsidP="002834DF">
      <w:pPr>
        <w:pStyle w:val="WW-Zkladntextodsazen2"/>
        <w:tabs>
          <w:tab w:val="left" w:pos="1080"/>
          <w:tab w:val="left" w:pos="1260"/>
        </w:tabs>
        <w:ind w:firstLine="0"/>
        <w:rPr>
          <w:szCs w:val="24"/>
          <w:highlight w:val="yellow"/>
        </w:rPr>
      </w:pP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Celkové výdavky </w:t>
      </w:r>
      <w:proofErr w:type="spellStart"/>
      <w:r w:rsidRPr="002834DF">
        <w:rPr>
          <w:szCs w:val="24"/>
        </w:rPr>
        <w:t>NP</w:t>
      </w:r>
      <w:proofErr w:type="spellEnd"/>
      <w:r w:rsidRPr="002834DF">
        <w:rPr>
          <w:szCs w:val="24"/>
        </w:rPr>
        <w:t xml:space="preserve"> k 31.12.2015 boli </w:t>
      </w:r>
      <w:r w:rsidR="00CB5B0C">
        <w:rPr>
          <w:szCs w:val="24"/>
        </w:rPr>
        <w:t>v sume</w:t>
      </w:r>
      <w:r w:rsidRPr="002834DF">
        <w:rPr>
          <w:szCs w:val="24"/>
        </w:rPr>
        <w:t xml:space="preserve"> </w:t>
      </w:r>
      <w:r w:rsidRPr="00CB5B0C">
        <w:rPr>
          <w:szCs w:val="24"/>
        </w:rPr>
        <w:t>1 928 122,51</w:t>
      </w:r>
      <w:r w:rsidRPr="002834DF">
        <w:rPr>
          <w:b/>
          <w:szCs w:val="24"/>
        </w:rPr>
        <w:t xml:space="preserve"> </w:t>
      </w:r>
      <w:r w:rsidR="00190A08" w:rsidRPr="002834DF">
        <w:rPr>
          <w:szCs w:val="24"/>
        </w:rPr>
        <w:t>eur</w:t>
      </w:r>
      <w:r w:rsidRPr="002834DF">
        <w:rPr>
          <w:szCs w:val="24"/>
        </w:rPr>
        <w:t xml:space="preserve">, z toho 314 686,72 </w:t>
      </w:r>
      <w:r w:rsidR="00190A08" w:rsidRPr="002834DF">
        <w:rPr>
          <w:szCs w:val="24"/>
        </w:rPr>
        <w:t>eur</w:t>
      </w:r>
      <w:r w:rsidRPr="002834DF">
        <w:rPr>
          <w:szCs w:val="24"/>
        </w:rPr>
        <w:t xml:space="preserve"> sa vynaložilo na úhradu miezd a odmien, poistného a odvodov do sociálnej a zdravotných poisťovní, 1 565 807,79 </w:t>
      </w:r>
      <w:r w:rsidR="00190A08" w:rsidRPr="002834DF">
        <w:rPr>
          <w:szCs w:val="24"/>
        </w:rPr>
        <w:t>eur</w:t>
      </w:r>
      <w:r w:rsidRPr="002834DF">
        <w:rPr>
          <w:szCs w:val="24"/>
        </w:rPr>
        <w:t xml:space="preserve"> na nákup tovarov a služieb a 47 628 </w:t>
      </w:r>
      <w:r w:rsidR="00190A08" w:rsidRPr="002834DF">
        <w:rPr>
          <w:szCs w:val="24"/>
        </w:rPr>
        <w:t>eur</w:t>
      </w:r>
      <w:r w:rsidRPr="002834DF">
        <w:rPr>
          <w:szCs w:val="24"/>
        </w:rPr>
        <w:t xml:space="preserve"> na kapitálové výdavky.</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Okrem uvedených výdavkov v rámci projektu </w:t>
      </w:r>
      <w:proofErr w:type="spellStart"/>
      <w:r w:rsidRPr="002834DF">
        <w:rPr>
          <w:szCs w:val="24"/>
        </w:rPr>
        <w:t>SIEA</w:t>
      </w:r>
      <w:proofErr w:type="spellEnd"/>
      <w:r w:rsidRPr="002834DF">
        <w:rPr>
          <w:szCs w:val="24"/>
        </w:rPr>
        <w:t xml:space="preserve"> vynaložila na financovanie výdavkov ďalších 73 751,54 </w:t>
      </w:r>
      <w:r w:rsidR="00190A08" w:rsidRPr="002834DF">
        <w:rPr>
          <w:szCs w:val="24"/>
        </w:rPr>
        <w:t>eur</w:t>
      </w:r>
      <w:r w:rsidRPr="002834DF">
        <w:rPr>
          <w:szCs w:val="24"/>
        </w:rPr>
        <w:t xml:space="preserve"> na mzdy a odvody pre oprávnených zamestnancov za december 2015 z prostriedkov kontraktu na rok 2015 – zdroj 111, pričom bola žiadaná ich refundácia a z vlastných finančných prostriedkov 34 952,02 </w:t>
      </w:r>
      <w:r w:rsidR="00190A08" w:rsidRPr="002834DF">
        <w:rPr>
          <w:szCs w:val="24"/>
        </w:rPr>
        <w:t>eur</w:t>
      </w:r>
      <w:r w:rsidRPr="002834DF">
        <w:rPr>
          <w:szCs w:val="24"/>
        </w:rPr>
        <w:t>, pričom taktiež bola žiadaná refundácia.</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1803FE">
      <w:pPr>
        <w:pStyle w:val="WW-Zkladntextodsazen2"/>
        <w:numPr>
          <w:ilvl w:val="0"/>
          <w:numId w:val="33"/>
        </w:numPr>
        <w:rPr>
          <w:b/>
          <w:szCs w:val="24"/>
        </w:rPr>
      </w:pPr>
      <w:r w:rsidRPr="002834DF">
        <w:rPr>
          <w:b/>
          <w:szCs w:val="24"/>
        </w:rPr>
        <w:t>Národný projekt – Podpora nástrojov na zavádzanie a optimalizáciu opatrení v oblasti energetickej efektívnosti verejných budov (ďalej len „</w:t>
      </w:r>
      <w:proofErr w:type="spellStart"/>
      <w:r w:rsidRPr="002834DF">
        <w:rPr>
          <w:b/>
          <w:szCs w:val="24"/>
        </w:rPr>
        <w:t>NPEA</w:t>
      </w:r>
      <w:proofErr w:type="spellEnd"/>
      <w:r w:rsidRPr="002834DF">
        <w:rPr>
          <w:b/>
          <w:szCs w:val="24"/>
        </w:rPr>
        <w:t>“)</w:t>
      </w:r>
    </w:p>
    <w:p w:rsidR="002834DF" w:rsidRPr="002834DF" w:rsidRDefault="002834DF" w:rsidP="002834DF">
      <w:pPr>
        <w:pStyle w:val="WW-Zkladntextodsazen2"/>
        <w:tabs>
          <w:tab w:val="left" w:pos="1080"/>
          <w:tab w:val="left" w:pos="1260"/>
        </w:tabs>
        <w:ind w:firstLine="0"/>
        <w:rPr>
          <w:szCs w:val="24"/>
          <w:highlight w:val="yellow"/>
        </w:rPr>
      </w:pPr>
    </w:p>
    <w:p w:rsidR="002834DF" w:rsidRPr="002834DF" w:rsidRDefault="002834DF" w:rsidP="00CB5B0C">
      <w:pPr>
        <w:pStyle w:val="WW-Zkladntextodsazen2"/>
        <w:tabs>
          <w:tab w:val="left" w:pos="1080"/>
          <w:tab w:val="left" w:pos="1260"/>
        </w:tabs>
        <w:rPr>
          <w:szCs w:val="24"/>
        </w:rPr>
      </w:pPr>
      <w:r w:rsidRPr="002834DF">
        <w:rPr>
          <w:szCs w:val="24"/>
        </w:rPr>
        <w:t xml:space="preserve">Do 31.12.2015 </w:t>
      </w:r>
      <w:proofErr w:type="spellStart"/>
      <w:r w:rsidRPr="002834DF">
        <w:rPr>
          <w:szCs w:val="24"/>
        </w:rPr>
        <w:t>SIEA</w:t>
      </w:r>
      <w:proofErr w:type="spellEnd"/>
      <w:r w:rsidRPr="002834DF">
        <w:rPr>
          <w:szCs w:val="24"/>
        </w:rPr>
        <w:t xml:space="preserve"> prijala na osobitný účet pre </w:t>
      </w:r>
      <w:proofErr w:type="spellStart"/>
      <w:r w:rsidRPr="002834DF">
        <w:rPr>
          <w:szCs w:val="24"/>
        </w:rPr>
        <w:t>NPEA</w:t>
      </w:r>
      <w:proofErr w:type="spellEnd"/>
      <w:r w:rsidRPr="002834DF">
        <w:rPr>
          <w:szCs w:val="24"/>
        </w:rPr>
        <w:t xml:space="preserve"> zálohové platby v celkovej </w:t>
      </w:r>
      <w:r w:rsidR="00CB5B0C">
        <w:rPr>
          <w:szCs w:val="24"/>
        </w:rPr>
        <w:t>sume</w:t>
      </w:r>
      <w:r w:rsidRPr="002834DF">
        <w:rPr>
          <w:szCs w:val="24"/>
        </w:rPr>
        <w:t xml:space="preserve"> </w:t>
      </w:r>
      <w:r w:rsidRPr="00CB5B0C">
        <w:rPr>
          <w:szCs w:val="24"/>
        </w:rPr>
        <w:t>568 472,96</w:t>
      </w:r>
      <w:r w:rsidRPr="002834DF">
        <w:rPr>
          <w:b/>
          <w:szCs w:val="24"/>
        </w:rPr>
        <w:t> </w:t>
      </w:r>
      <w:r w:rsidR="00190A08" w:rsidRPr="002834DF">
        <w:rPr>
          <w:szCs w:val="24"/>
        </w:rPr>
        <w:t>eur</w:t>
      </w:r>
      <w:r w:rsidRPr="002834DF">
        <w:rPr>
          <w:szCs w:val="24"/>
        </w:rPr>
        <w:t xml:space="preserve"> na financovanie bežných a kapitálových výdavkov vznikajúcich v súvislosti s realizáciou projektu. Zároveň na bežný účet </w:t>
      </w:r>
      <w:proofErr w:type="spellStart"/>
      <w:r w:rsidRPr="002834DF">
        <w:rPr>
          <w:szCs w:val="24"/>
        </w:rPr>
        <w:t>SIEA</w:t>
      </w:r>
      <w:proofErr w:type="spellEnd"/>
      <w:r w:rsidRPr="002834DF">
        <w:rPr>
          <w:szCs w:val="24"/>
        </w:rPr>
        <w:t xml:space="preserve"> boli v rámci uvedeného projektu prijaté refundácie výdavkov v celkovej </w:t>
      </w:r>
      <w:r w:rsidR="00F04EAE">
        <w:rPr>
          <w:szCs w:val="24"/>
        </w:rPr>
        <w:t>sume</w:t>
      </w:r>
      <w:r w:rsidR="00E76D53">
        <w:rPr>
          <w:szCs w:val="24"/>
        </w:rPr>
        <w:t xml:space="preserve"> </w:t>
      </w:r>
      <w:r w:rsidRPr="002834DF">
        <w:rPr>
          <w:szCs w:val="24"/>
        </w:rPr>
        <w:t xml:space="preserve">116 674,62 </w:t>
      </w:r>
      <w:r w:rsidR="00190A08" w:rsidRPr="002834DF">
        <w:rPr>
          <w:szCs w:val="24"/>
        </w:rPr>
        <w:t>eur</w:t>
      </w:r>
      <w:r w:rsidRPr="002834DF">
        <w:rPr>
          <w:szCs w:val="24"/>
        </w:rPr>
        <w:t xml:space="preserve">. Zostatok z roku 2014 predstavoval finančné prostriedky </w:t>
      </w:r>
      <w:r w:rsidR="003E4AA9">
        <w:rPr>
          <w:szCs w:val="24"/>
        </w:rPr>
        <w:t>v sume</w:t>
      </w:r>
      <w:r w:rsidR="003E4AA9" w:rsidRPr="002834DF">
        <w:rPr>
          <w:szCs w:val="24"/>
        </w:rPr>
        <w:t xml:space="preserve"> </w:t>
      </w:r>
      <w:r w:rsidRPr="00CB5B0C">
        <w:rPr>
          <w:szCs w:val="24"/>
        </w:rPr>
        <w:t>56 340,32</w:t>
      </w:r>
      <w:r w:rsidRPr="002834DF">
        <w:rPr>
          <w:b/>
          <w:szCs w:val="24"/>
        </w:rPr>
        <w:t xml:space="preserve"> </w:t>
      </w:r>
      <w:r w:rsidR="00190A08" w:rsidRPr="002834DF">
        <w:rPr>
          <w:szCs w:val="24"/>
        </w:rPr>
        <w:t>eur</w:t>
      </w:r>
      <w:r w:rsidRPr="002834DF">
        <w:rPr>
          <w:szCs w:val="24"/>
        </w:rPr>
        <w:t>.</w:t>
      </w:r>
    </w:p>
    <w:p w:rsidR="002834DF" w:rsidRPr="002834DF" w:rsidRDefault="002834DF" w:rsidP="002834DF">
      <w:pPr>
        <w:pStyle w:val="WW-Zkladntextodsazen2"/>
        <w:tabs>
          <w:tab w:val="left" w:pos="1080"/>
          <w:tab w:val="left" w:pos="1260"/>
        </w:tabs>
        <w:ind w:firstLine="0"/>
        <w:rPr>
          <w:szCs w:val="24"/>
          <w:highlight w:val="yellow"/>
        </w:rPr>
      </w:pP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Celkové výdavky hradené zo zálohovej platby a refundovaných finančných prostriedkov k 31.12.2015 boli </w:t>
      </w:r>
      <w:r w:rsidR="00F04EAE">
        <w:rPr>
          <w:szCs w:val="24"/>
        </w:rPr>
        <w:t>v sume</w:t>
      </w:r>
      <w:r w:rsidRPr="002834DF">
        <w:rPr>
          <w:szCs w:val="24"/>
        </w:rPr>
        <w:t xml:space="preserve"> </w:t>
      </w:r>
      <w:r w:rsidRPr="00CB5B0C">
        <w:rPr>
          <w:szCs w:val="24"/>
        </w:rPr>
        <w:t>1 080 710,87</w:t>
      </w:r>
      <w:r w:rsidRPr="002834DF">
        <w:rPr>
          <w:b/>
          <w:szCs w:val="24"/>
        </w:rPr>
        <w:t xml:space="preserve"> </w:t>
      </w:r>
      <w:r w:rsidR="00190A08" w:rsidRPr="002834DF">
        <w:rPr>
          <w:szCs w:val="24"/>
        </w:rPr>
        <w:t>eur</w:t>
      </w:r>
      <w:r w:rsidRPr="002834DF">
        <w:rPr>
          <w:szCs w:val="24"/>
        </w:rPr>
        <w:t xml:space="preserve">, z toho 329 225,95 </w:t>
      </w:r>
      <w:r w:rsidR="00190A08" w:rsidRPr="002834DF">
        <w:rPr>
          <w:szCs w:val="24"/>
        </w:rPr>
        <w:t>eur</w:t>
      </w:r>
      <w:r w:rsidRPr="002834DF">
        <w:rPr>
          <w:szCs w:val="24"/>
        </w:rPr>
        <w:t xml:space="preserve"> na financovanie miezd </w:t>
      </w:r>
      <w:r w:rsidR="00E76D53">
        <w:rPr>
          <w:szCs w:val="24"/>
        </w:rPr>
        <w:t xml:space="preserve">       </w:t>
      </w:r>
      <w:r w:rsidRPr="002834DF">
        <w:rPr>
          <w:szCs w:val="24"/>
        </w:rPr>
        <w:t xml:space="preserve">a odmien, 128 108,86 </w:t>
      </w:r>
      <w:r w:rsidR="00190A08" w:rsidRPr="002834DF">
        <w:rPr>
          <w:szCs w:val="24"/>
        </w:rPr>
        <w:t>eur</w:t>
      </w:r>
      <w:r w:rsidRPr="002834DF">
        <w:rPr>
          <w:szCs w:val="24"/>
        </w:rPr>
        <w:t xml:space="preserve"> na financovanie poistného a odvodov do sociálnej a zdravotných poisťovní, 513 268,06 </w:t>
      </w:r>
      <w:r w:rsidR="00190A08" w:rsidRPr="002834DF">
        <w:rPr>
          <w:szCs w:val="24"/>
        </w:rPr>
        <w:t>eur</w:t>
      </w:r>
      <w:r w:rsidRPr="002834DF">
        <w:rPr>
          <w:szCs w:val="24"/>
        </w:rPr>
        <w:t xml:space="preserve"> na nákup tovarov a služieb a 110 108 </w:t>
      </w:r>
      <w:r w:rsidR="00190A08" w:rsidRPr="002834DF">
        <w:rPr>
          <w:szCs w:val="24"/>
        </w:rPr>
        <w:t>eur</w:t>
      </w:r>
      <w:r w:rsidRPr="002834DF">
        <w:rPr>
          <w:szCs w:val="24"/>
        </w:rPr>
        <w:t xml:space="preserve"> na kapitálové výdavky.</w:t>
      </w:r>
    </w:p>
    <w:p w:rsidR="002834DF" w:rsidRPr="002834DF" w:rsidRDefault="002834DF" w:rsidP="002834DF">
      <w:pPr>
        <w:pStyle w:val="WW-Zkladntextodsazen2"/>
        <w:tabs>
          <w:tab w:val="left" w:pos="1080"/>
          <w:tab w:val="left" w:pos="1260"/>
        </w:tabs>
        <w:ind w:firstLine="0"/>
        <w:rPr>
          <w:szCs w:val="24"/>
        </w:rPr>
      </w:pP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Okrem uvedených výdavkov v rámci projektu </w:t>
      </w:r>
      <w:proofErr w:type="spellStart"/>
      <w:r w:rsidRPr="002834DF">
        <w:rPr>
          <w:szCs w:val="24"/>
        </w:rPr>
        <w:t>SIEA</w:t>
      </w:r>
      <w:proofErr w:type="spellEnd"/>
      <w:r w:rsidRPr="002834DF">
        <w:rPr>
          <w:szCs w:val="24"/>
        </w:rPr>
        <w:t xml:space="preserve"> vynaložila na financovanie výdavkov ďalších 72 097,76 </w:t>
      </w:r>
      <w:r w:rsidR="00190A08" w:rsidRPr="002834DF">
        <w:rPr>
          <w:szCs w:val="24"/>
        </w:rPr>
        <w:t>eur</w:t>
      </w:r>
      <w:r w:rsidRPr="002834DF">
        <w:rPr>
          <w:szCs w:val="24"/>
        </w:rPr>
        <w:t xml:space="preserve"> na mzdy a odvody pre oprávnených zamestnancov za december 2015 </w:t>
      </w:r>
      <w:r w:rsidR="00E76D53">
        <w:rPr>
          <w:szCs w:val="24"/>
        </w:rPr>
        <w:t xml:space="preserve">   </w:t>
      </w:r>
      <w:r w:rsidRPr="002834DF">
        <w:rPr>
          <w:szCs w:val="24"/>
        </w:rPr>
        <w:t>a z prostriedkov kontraktu na rok 2015 – zdroj 111, pričom bola žiadaná ich refundácia.</w:t>
      </w:r>
    </w:p>
    <w:p w:rsidR="002834DF" w:rsidRDefault="002834DF" w:rsidP="002834DF">
      <w:pPr>
        <w:pStyle w:val="WW-Zkladntextodsazen2"/>
        <w:tabs>
          <w:tab w:val="left" w:pos="1080"/>
          <w:tab w:val="left" w:pos="1260"/>
        </w:tabs>
        <w:ind w:firstLine="0"/>
        <w:rPr>
          <w:szCs w:val="24"/>
        </w:rPr>
      </w:pPr>
    </w:p>
    <w:p w:rsidR="00F04EAE" w:rsidRDefault="00F04EAE" w:rsidP="002834DF">
      <w:pPr>
        <w:pStyle w:val="WW-Zkladntextodsazen2"/>
        <w:tabs>
          <w:tab w:val="left" w:pos="1080"/>
          <w:tab w:val="left" w:pos="1260"/>
        </w:tabs>
        <w:ind w:firstLine="0"/>
        <w:rPr>
          <w:szCs w:val="24"/>
        </w:rPr>
      </w:pPr>
    </w:p>
    <w:p w:rsidR="00F04EAE" w:rsidRPr="002834DF" w:rsidRDefault="00F04EAE" w:rsidP="002834DF">
      <w:pPr>
        <w:pStyle w:val="WW-Zkladntextodsazen2"/>
        <w:tabs>
          <w:tab w:val="left" w:pos="1080"/>
          <w:tab w:val="left" w:pos="1260"/>
        </w:tabs>
        <w:ind w:firstLine="0"/>
        <w:rPr>
          <w:szCs w:val="24"/>
        </w:rPr>
      </w:pPr>
    </w:p>
    <w:p w:rsidR="002834DF" w:rsidRPr="002834DF" w:rsidRDefault="002834DF" w:rsidP="001803FE">
      <w:pPr>
        <w:pStyle w:val="WW-Zkladntextodsazen2"/>
        <w:numPr>
          <w:ilvl w:val="0"/>
          <w:numId w:val="33"/>
        </w:numPr>
        <w:rPr>
          <w:b/>
          <w:szCs w:val="24"/>
        </w:rPr>
      </w:pPr>
      <w:r w:rsidRPr="002834DF">
        <w:rPr>
          <w:b/>
          <w:szCs w:val="24"/>
        </w:rPr>
        <w:t>Národný projekt – Podpora využívania obnoviteľných zdrojov energie v domácnostiach - Zelená domácnostiam (ďalej len „</w:t>
      </w:r>
      <w:proofErr w:type="spellStart"/>
      <w:r w:rsidRPr="002834DF">
        <w:rPr>
          <w:b/>
          <w:szCs w:val="24"/>
        </w:rPr>
        <w:t>NP</w:t>
      </w:r>
      <w:proofErr w:type="spellEnd"/>
      <w:r w:rsidRPr="002834DF">
        <w:rPr>
          <w:b/>
          <w:szCs w:val="24"/>
        </w:rPr>
        <w:t xml:space="preserve"> </w:t>
      </w:r>
      <w:proofErr w:type="spellStart"/>
      <w:r w:rsidRPr="002834DF">
        <w:rPr>
          <w:b/>
          <w:szCs w:val="24"/>
        </w:rPr>
        <w:t>ZD</w:t>
      </w:r>
      <w:proofErr w:type="spellEnd"/>
      <w:r w:rsidRPr="002834DF">
        <w:rPr>
          <w:b/>
          <w:szCs w:val="24"/>
        </w:rPr>
        <w:t>“)</w:t>
      </w:r>
    </w:p>
    <w:p w:rsidR="002834DF" w:rsidRPr="002834DF" w:rsidRDefault="002834DF" w:rsidP="002834DF">
      <w:pPr>
        <w:pStyle w:val="WW-Zkladntextodsazen2"/>
        <w:tabs>
          <w:tab w:val="left" w:pos="1080"/>
          <w:tab w:val="left" w:pos="1260"/>
        </w:tabs>
        <w:ind w:firstLine="0"/>
        <w:rPr>
          <w:szCs w:val="24"/>
          <w:u w:val="single"/>
        </w:rPr>
      </w:pPr>
    </w:p>
    <w:p w:rsidR="002834DF" w:rsidRPr="002834DF" w:rsidRDefault="002834DF" w:rsidP="001803FE">
      <w:pPr>
        <w:pStyle w:val="WW-Zkladntextodsazen2"/>
        <w:rPr>
          <w:szCs w:val="24"/>
        </w:rPr>
      </w:pPr>
      <w:r w:rsidRPr="002834DF">
        <w:rPr>
          <w:szCs w:val="24"/>
        </w:rPr>
        <w:t xml:space="preserve">Do 31.12.2015 </w:t>
      </w:r>
      <w:proofErr w:type="spellStart"/>
      <w:r w:rsidRPr="002834DF">
        <w:rPr>
          <w:szCs w:val="24"/>
        </w:rPr>
        <w:t>SIEA</w:t>
      </w:r>
      <w:proofErr w:type="spellEnd"/>
      <w:r w:rsidRPr="002834DF">
        <w:rPr>
          <w:szCs w:val="24"/>
        </w:rPr>
        <w:t xml:space="preserve"> prijala na osobitný účet pre </w:t>
      </w:r>
      <w:proofErr w:type="spellStart"/>
      <w:r w:rsidRPr="002834DF">
        <w:rPr>
          <w:szCs w:val="24"/>
        </w:rPr>
        <w:t>NP</w:t>
      </w:r>
      <w:proofErr w:type="spellEnd"/>
      <w:r w:rsidRPr="002834DF">
        <w:rPr>
          <w:szCs w:val="24"/>
        </w:rPr>
        <w:t xml:space="preserve"> </w:t>
      </w:r>
      <w:proofErr w:type="spellStart"/>
      <w:r w:rsidRPr="002834DF">
        <w:rPr>
          <w:szCs w:val="24"/>
        </w:rPr>
        <w:t>ZD</w:t>
      </w:r>
      <w:proofErr w:type="spellEnd"/>
      <w:r w:rsidRPr="002834DF">
        <w:rPr>
          <w:szCs w:val="24"/>
        </w:rPr>
        <w:t xml:space="preserve"> zálohové platby v celkovej </w:t>
      </w:r>
      <w:r w:rsidR="00E76D53">
        <w:rPr>
          <w:szCs w:val="24"/>
        </w:rPr>
        <w:t>sume</w:t>
      </w:r>
      <w:r w:rsidRPr="002834DF">
        <w:rPr>
          <w:szCs w:val="24"/>
        </w:rPr>
        <w:t xml:space="preserve"> </w:t>
      </w:r>
      <w:r w:rsidRPr="00CB5B0C">
        <w:rPr>
          <w:szCs w:val="24"/>
        </w:rPr>
        <w:t>4 000</w:t>
      </w:r>
      <w:r w:rsidR="00CB5B0C">
        <w:rPr>
          <w:szCs w:val="24"/>
        </w:rPr>
        <w:t> </w:t>
      </w:r>
      <w:r w:rsidRPr="00CB5B0C">
        <w:rPr>
          <w:szCs w:val="24"/>
        </w:rPr>
        <w:t>000</w:t>
      </w:r>
      <w:r w:rsidR="00CB5B0C" w:rsidRPr="00CB5B0C">
        <w:rPr>
          <w:szCs w:val="24"/>
        </w:rPr>
        <w:t>,00</w:t>
      </w:r>
      <w:r w:rsidR="00CB5B0C">
        <w:rPr>
          <w:b/>
          <w:szCs w:val="24"/>
        </w:rPr>
        <w:t xml:space="preserve"> </w:t>
      </w:r>
      <w:r w:rsidR="00190A08" w:rsidRPr="002834DF">
        <w:rPr>
          <w:szCs w:val="24"/>
        </w:rPr>
        <w:t>eur</w:t>
      </w:r>
      <w:r w:rsidRPr="002834DF">
        <w:rPr>
          <w:szCs w:val="24"/>
        </w:rPr>
        <w:t xml:space="preserve"> na financovanie bežných výdavkov vznikajúcich v súvislosti s realizáciou projektu. </w:t>
      </w:r>
    </w:p>
    <w:p w:rsidR="002834DF" w:rsidRPr="002834DF" w:rsidRDefault="002834DF" w:rsidP="002834DF">
      <w:pPr>
        <w:pStyle w:val="WW-Zkladntextodsazen2"/>
        <w:tabs>
          <w:tab w:val="left" w:pos="1080"/>
          <w:tab w:val="left" w:pos="1260"/>
        </w:tabs>
        <w:ind w:firstLine="0"/>
        <w:rPr>
          <w:szCs w:val="24"/>
          <w:highlight w:val="yellow"/>
        </w:rPr>
      </w:pP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Celkové výdavky </w:t>
      </w:r>
      <w:proofErr w:type="spellStart"/>
      <w:r w:rsidRPr="002834DF">
        <w:rPr>
          <w:szCs w:val="24"/>
        </w:rPr>
        <w:t>NP</w:t>
      </w:r>
      <w:proofErr w:type="spellEnd"/>
      <w:r w:rsidRPr="002834DF">
        <w:rPr>
          <w:szCs w:val="24"/>
        </w:rPr>
        <w:t xml:space="preserve"> k 31.12.2015 boli </w:t>
      </w:r>
      <w:r w:rsidR="00E76D53">
        <w:rPr>
          <w:szCs w:val="24"/>
        </w:rPr>
        <w:t>v sume</w:t>
      </w:r>
      <w:r w:rsidRPr="002834DF">
        <w:rPr>
          <w:szCs w:val="24"/>
        </w:rPr>
        <w:t xml:space="preserve"> </w:t>
      </w:r>
      <w:r w:rsidRPr="00CB5B0C">
        <w:rPr>
          <w:szCs w:val="24"/>
        </w:rPr>
        <w:t>20 562,66</w:t>
      </w:r>
      <w:r w:rsidRPr="002834DF">
        <w:rPr>
          <w:b/>
          <w:szCs w:val="24"/>
        </w:rPr>
        <w:t xml:space="preserve"> </w:t>
      </w:r>
      <w:r w:rsidR="00190A08" w:rsidRPr="002834DF">
        <w:rPr>
          <w:szCs w:val="24"/>
        </w:rPr>
        <w:t>eur</w:t>
      </w:r>
      <w:r w:rsidRPr="002834DF">
        <w:rPr>
          <w:szCs w:val="24"/>
        </w:rPr>
        <w:t xml:space="preserve">, z toho 13 456,05 </w:t>
      </w:r>
      <w:r w:rsidR="00190A08" w:rsidRPr="002834DF">
        <w:rPr>
          <w:szCs w:val="24"/>
        </w:rPr>
        <w:t>eur</w:t>
      </w:r>
      <w:r w:rsidRPr="002834DF">
        <w:rPr>
          <w:szCs w:val="24"/>
        </w:rPr>
        <w:t xml:space="preserve"> sa vynaložilo na úhradu miezd a odmien, 4 705,71 </w:t>
      </w:r>
      <w:r w:rsidR="00190A08" w:rsidRPr="002834DF">
        <w:rPr>
          <w:szCs w:val="24"/>
        </w:rPr>
        <w:t>eur</w:t>
      </w:r>
      <w:r w:rsidRPr="002834DF">
        <w:rPr>
          <w:szCs w:val="24"/>
        </w:rPr>
        <w:t xml:space="preserve"> na úhradu poistného a odvodov do sociálnej a zdravotných poisťovní a 2 400,90 </w:t>
      </w:r>
      <w:r w:rsidR="00190A08" w:rsidRPr="002834DF">
        <w:rPr>
          <w:szCs w:val="24"/>
        </w:rPr>
        <w:t>eur</w:t>
      </w:r>
      <w:r w:rsidRPr="002834DF">
        <w:rPr>
          <w:szCs w:val="24"/>
        </w:rPr>
        <w:t xml:space="preserve"> na nákup tovarov a služieb. </w:t>
      </w:r>
    </w:p>
    <w:p w:rsidR="002834DF" w:rsidRPr="002834DF" w:rsidRDefault="002834DF" w:rsidP="002834DF">
      <w:pPr>
        <w:pStyle w:val="WW-Zkladntextodsazen2"/>
        <w:tabs>
          <w:tab w:val="left" w:pos="1080"/>
          <w:tab w:val="left" w:pos="1260"/>
        </w:tabs>
        <w:ind w:firstLine="0"/>
        <w:rPr>
          <w:szCs w:val="24"/>
        </w:rPr>
      </w:pPr>
    </w:p>
    <w:p w:rsidR="002834DF" w:rsidRDefault="002834DF" w:rsidP="00CB5B0C">
      <w:pPr>
        <w:pStyle w:val="WW-Zkladntextodsazen2"/>
        <w:tabs>
          <w:tab w:val="left" w:pos="1080"/>
          <w:tab w:val="left" w:pos="1260"/>
        </w:tabs>
        <w:ind w:firstLine="0"/>
        <w:rPr>
          <w:szCs w:val="24"/>
        </w:rPr>
      </w:pPr>
      <w:r w:rsidRPr="002834DF">
        <w:rPr>
          <w:szCs w:val="24"/>
        </w:rPr>
        <w:t xml:space="preserve">Okrem uvedených výdavkov v rámci projektu </w:t>
      </w:r>
      <w:proofErr w:type="spellStart"/>
      <w:r w:rsidRPr="002834DF">
        <w:rPr>
          <w:szCs w:val="24"/>
        </w:rPr>
        <w:t>SIEA</w:t>
      </w:r>
      <w:proofErr w:type="spellEnd"/>
      <w:r w:rsidRPr="002834DF">
        <w:rPr>
          <w:szCs w:val="24"/>
        </w:rPr>
        <w:t xml:space="preserve"> vynaložila na financovanie výdavkov ďalších 21 139,13 </w:t>
      </w:r>
      <w:r w:rsidR="00190A08" w:rsidRPr="002834DF">
        <w:rPr>
          <w:szCs w:val="24"/>
        </w:rPr>
        <w:t>eur</w:t>
      </w:r>
      <w:r w:rsidRPr="002834DF">
        <w:rPr>
          <w:szCs w:val="24"/>
        </w:rPr>
        <w:t xml:space="preserve"> na poštovné poplatky, úhradu nájomného, telefónne poplatky a interiérové vybavenie pre oprávnených zamestnancov </w:t>
      </w:r>
      <w:proofErr w:type="spellStart"/>
      <w:r w:rsidRPr="002834DF">
        <w:rPr>
          <w:szCs w:val="24"/>
        </w:rPr>
        <w:t>NP</w:t>
      </w:r>
      <w:proofErr w:type="spellEnd"/>
      <w:r w:rsidRPr="002834DF">
        <w:rPr>
          <w:szCs w:val="24"/>
        </w:rPr>
        <w:t xml:space="preserve"> </w:t>
      </w:r>
      <w:proofErr w:type="spellStart"/>
      <w:r w:rsidRPr="002834DF">
        <w:rPr>
          <w:szCs w:val="24"/>
        </w:rPr>
        <w:t>ZD</w:t>
      </w:r>
      <w:proofErr w:type="spellEnd"/>
      <w:r w:rsidRPr="002834DF">
        <w:rPr>
          <w:szCs w:val="24"/>
        </w:rPr>
        <w:t xml:space="preserve">. Tieto výdavky boli hradené z vlastných finančných prostriedkov </w:t>
      </w:r>
      <w:proofErr w:type="spellStart"/>
      <w:r w:rsidRPr="002834DF">
        <w:rPr>
          <w:szCs w:val="24"/>
        </w:rPr>
        <w:t>SIEA</w:t>
      </w:r>
      <w:proofErr w:type="spellEnd"/>
      <w:r w:rsidRPr="002834DF">
        <w:rPr>
          <w:szCs w:val="24"/>
        </w:rPr>
        <w:t xml:space="preserve"> – zdroj 46, prič</w:t>
      </w:r>
      <w:r w:rsidR="00CB5B0C">
        <w:rPr>
          <w:szCs w:val="24"/>
        </w:rPr>
        <w:t>om bude žiadaná ich refundácia.</w:t>
      </w:r>
    </w:p>
    <w:p w:rsidR="00CB5B0C" w:rsidRPr="00CB5B0C" w:rsidRDefault="00CB5B0C" w:rsidP="00CB5B0C">
      <w:pPr>
        <w:pStyle w:val="WW-Zkladntextodsazen2"/>
        <w:tabs>
          <w:tab w:val="left" w:pos="1080"/>
          <w:tab w:val="left" w:pos="1260"/>
        </w:tabs>
        <w:ind w:firstLine="0"/>
        <w:rPr>
          <w:szCs w:val="24"/>
        </w:rPr>
      </w:pPr>
    </w:p>
    <w:p w:rsidR="002834DF" w:rsidRDefault="002834DF" w:rsidP="008C782D">
      <w:pPr>
        <w:pStyle w:val="PredformtovanHTML"/>
        <w:spacing w:after="0" w:line="240" w:lineRule="auto"/>
        <w:jc w:val="both"/>
        <w:rPr>
          <w:rFonts w:ascii="Times New Roman" w:hAnsi="Times New Roman" w:cs="Times New Roman"/>
          <w:color w:val="auto"/>
          <w:sz w:val="24"/>
          <w:szCs w:val="24"/>
        </w:rPr>
      </w:pPr>
      <w:r w:rsidRPr="001803FE">
        <w:rPr>
          <w:rFonts w:ascii="Times New Roman" w:hAnsi="Times New Roman" w:cs="Times New Roman"/>
          <w:color w:val="auto"/>
          <w:sz w:val="24"/>
          <w:szCs w:val="24"/>
        </w:rPr>
        <w:t xml:space="preserve">V roku 2015 </w:t>
      </w:r>
      <w:proofErr w:type="spellStart"/>
      <w:r w:rsidRPr="001803FE">
        <w:rPr>
          <w:rFonts w:ascii="Times New Roman" w:hAnsi="Times New Roman" w:cs="Times New Roman"/>
          <w:color w:val="auto"/>
          <w:sz w:val="24"/>
          <w:szCs w:val="24"/>
        </w:rPr>
        <w:t>SIEA</w:t>
      </w:r>
      <w:proofErr w:type="spellEnd"/>
      <w:r w:rsidRPr="001803FE">
        <w:rPr>
          <w:rFonts w:ascii="Times New Roman" w:hAnsi="Times New Roman" w:cs="Times New Roman"/>
          <w:color w:val="auto"/>
          <w:sz w:val="24"/>
          <w:szCs w:val="24"/>
        </w:rPr>
        <w:t xml:space="preserve"> realizovala 8 medzinárodných projektov, a</w:t>
      </w:r>
      <w:r w:rsidR="00E76D53">
        <w:rPr>
          <w:rFonts w:ascii="Times New Roman" w:hAnsi="Times New Roman" w:cs="Times New Roman"/>
          <w:color w:val="auto"/>
          <w:sz w:val="24"/>
          <w:szCs w:val="24"/>
        </w:rPr>
        <w:t xml:space="preserve"> </w:t>
      </w:r>
      <w:r w:rsidRPr="001803FE">
        <w:rPr>
          <w:rFonts w:ascii="Times New Roman" w:hAnsi="Times New Roman" w:cs="Times New Roman"/>
          <w:color w:val="auto"/>
          <w:sz w:val="24"/>
          <w:szCs w:val="24"/>
        </w:rPr>
        <w:t xml:space="preserve"> to na základe zmlúv uzatvorených medzi </w:t>
      </w:r>
      <w:proofErr w:type="spellStart"/>
      <w:r w:rsidRPr="001803FE">
        <w:rPr>
          <w:rFonts w:ascii="Times New Roman" w:hAnsi="Times New Roman" w:cs="Times New Roman"/>
          <w:color w:val="auto"/>
          <w:sz w:val="24"/>
          <w:szCs w:val="24"/>
        </w:rPr>
        <w:t>SIEA</w:t>
      </w:r>
      <w:proofErr w:type="spellEnd"/>
      <w:r w:rsidRPr="001803FE">
        <w:rPr>
          <w:rFonts w:ascii="Times New Roman" w:hAnsi="Times New Roman" w:cs="Times New Roman"/>
          <w:color w:val="auto"/>
          <w:sz w:val="24"/>
          <w:szCs w:val="24"/>
        </w:rPr>
        <w:t xml:space="preserve"> a inštitúciami EÚ.</w:t>
      </w:r>
    </w:p>
    <w:p w:rsidR="008C782D" w:rsidRPr="001803FE" w:rsidRDefault="008C782D" w:rsidP="008C782D">
      <w:pPr>
        <w:pStyle w:val="PredformtovanHTML"/>
        <w:spacing w:after="0" w:line="240" w:lineRule="auto"/>
        <w:jc w:val="both"/>
        <w:rPr>
          <w:rFonts w:ascii="Times New Roman" w:hAnsi="Times New Roman" w:cs="Times New Roman"/>
          <w:color w:val="auto"/>
          <w:sz w:val="24"/>
          <w:szCs w:val="24"/>
        </w:rPr>
      </w:pPr>
    </w:p>
    <w:p w:rsidR="002834DF" w:rsidRDefault="002834DF" w:rsidP="002834DF">
      <w:pPr>
        <w:pStyle w:val="WW-Zkladntextodsazen2"/>
        <w:numPr>
          <w:ilvl w:val="0"/>
          <w:numId w:val="32"/>
        </w:numPr>
        <w:tabs>
          <w:tab w:val="left" w:pos="1080"/>
          <w:tab w:val="left" w:pos="1260"/>
        </w:tabs>
        <w:rPr>
          <w:b/>
          <w:szCs w:val="24"/>
        </w:rPr>
      </w:pPr>
      <w:proofErr w:type="spellStart"/>
      <w:r w:rsidRPr="002834DF">
        <w:rPr>
          <w:b/>
          <w:szCs w:val="24"/>
        </w:rPr>
        <w:t>GEOCOM</w:t>
      </w:r>
      <w:proofErr w:type="spellEnd"/>
      <w:r w:rsidRPr="002834DF">
        <w:rPr>
          <w:b/>
          <w:szCs w:val="24"/>
        </w:rPr>
        <w:t xml:space="preserve"> – </w:t>
      </w:r>
      <w:proofErr w:type="spellStart"/>
      <w:r w:rsidRPr="002834DF">
        <w:rPr>
          <w:b/>
          <w:szCs w:val="24"/>
        </w:rPr>
        <w:t>Geothermal</w:t>
      </w:r>
      <w:proofErr w:type="spellEnd"/>
      <w:r w:rsidRPr="002834DF">
        <w:rPr>
          <w:b/>
          <w:szCs w:val="24"/>
        </w:rPr>
        <w:t xml:space="preserve"> </w:t>
      </w:r>
      <w:proofErr w:type="spellStart"/>
      <w:r w:rsidRPr="002834DF">
        <w:rPr>
          <w:b/>
          <w:szCs w:val="24"/>
        </w:rPr>
        <w:t>Co</w:t>
      </w:r>
      <w:r w:rsidR="001803FE">
        <w:rPr>
          <w:b/>
          <w:szCs w:val="24"/>
        </w:rPr>
        <w:t>mmunities</w:t>
      </w:r>
      <w:proofErr w:type="spellEnd"/>
      <w:r w:rsidR="001803FE">
        <w:rPr>
          <w:b/>
          <w:szCs w:val="24"/>
        </w:rPr>
        <w:t xml:space="preserve">  - 7. rámcový program</w:t>
      </w:r>
    </w:p>
    <w:p w:rsidR="001803FE" w:rsidRPr="002834DF" w:rsidRDefault="001803FE" w:rsidP="001803FE">
      <w:pPr>
        <w:pStyle w:val="WW-Zkladntextodsazen2"/>
        <w:tabs>
          <w:tab w:val="left" w:pos="1080"/>
          <w:tab w:val="left" w:pos="1260"/>
        </w:tabs>
        <w:ind w:left="720" w:firstLine="0"/>
        <w:rPr>
          <w:b/>
          <w:szCs w:val="24"/>
        </w:rPr>
      </w:pPr>
    </w:p>
    <w:p w:rsidR="002834DF" w:rsidRPr="002834DF" w:rsidRDefault="002834DF" w:rsidP="001803FE">
      <w:pPr>
        <w:pStyle w:val="WW-Zkladntextodsazen2"/>
        <w:rPr>
          <w:szCs w:val="24"/>
        </w:rPr>
      </w:pPr>
      <w:r w:rsidRPr="002834DF">
        <w:rPr>
          <w:szCs w:val="24"/>
        </w:rPr>
        <w:t xml:space="preserve">Celkové výdavky na projekt v roku 2015 dosiahli 21 373,52 </w:t>
      </w:r>
      <w:r w:rsidR="00190A08" w:rsidRPr="002834DF">
        <w:rPr>
          <w:szCs w:val="24"/>
        </w:rPr>
        <w:t>eur</w:t>
      </w:r>
      <w:r w:rsidRPr="002834DF">
        <w:rPr>
          <w:szCs w:val="24"/>
        </w:rPr>
        <w:t>. Príspevok z EÚ je 100 %, resp. 75 %,  50% podľa príslušnej aktivity.</w:t>
      </w:r>
    </w:p>
    <w:p w:rsidR="002834DF" w:rsidRPr="002834DF" w:rsidRDefault="002834DF" w:rsidP="002834DF">
      <w:pPr>
        <w:pStyle w:val="WW-Zkladntextodsazen2"/>
        <w:tabs>
          <w:tab w:val="left" w:pos="1080"/>
          <w:tab w:val="left" w:pos="1260"/>
        </w:tabs>
        <w:ind w:firstLine="0"/>
        <w:rPr>
          <w:szCs w:val="24"/>
        </w:rPr>
      </w:pPr>
      <w:r w:rsidRPr="002834DF">
        <w:rPr>
          <w:szCs w:val="24"/>
        </w:rPr>
        <w:t>Cieľom projektu bolo demonštrovať najlepšie možné techniky a postupy pri využívaní geotermálnej energie kombinované s inovatívnymi opatreniami energetickej efektívnosti a integráciou iných obnoviteľných zdrojov energie na pilotných demonštračných  miestach, tzv. „</w:t>
      </w:r>
      <w:proofErr w:type="spellStart"/>
      <w:r w:rsidRPr="002834DF">
        <w:rPr>
          <w:szCs w:val="24"/>
        </w:rPr>
        <w:t>CONCERTO</w:t>
      </w:r>
      <w:proofErr w:type="spellEnd"/>
      <w:r w:rsidRPr="002834DF">
        <w:rPr>
          <w:szCs w:val="24"/>
        </w:rPr>
        <w:t xml:space="preserve"> miesta“ (Slovensko - Galanta, Maďarsko - </w:t>
      </w:r>
      <w:proofErr w:type="spellStart"/>
      <w:r w:rsidRPr="002834DF">
        <w:rPr>
          <w:szCs w:val="24"/>
        </w:rPr>
        <w:t>Mórahalom</w:t>
      </w:r>
      <w:proofErr w:type="spellEnd"/>
      <w:r w:rsidRPr="002834DF">
        <w:rPr>
          <w:szCs w:val="24"/>
        </w:rPr>
        <w:t xml:space="preserve">, Taliansko- </w:t>
      </w:r>
      <w:proofErr w:type="spellStart"/>
      <w:r w:rsidRPr="002834DF">
        <w:rPr>
          <w:szCs w:val="24"/>
        </w:rPr>
        <w:t>Montieri</w:t>
      </w:r>
      <w:proofErr w:type="spellEnd"/>
      <w:r w:rsidRPr="002834DF">
        <w:rPr>
          <w:szCs w:val="24"/>
        </w:rPr>
        <w:t xml:space="preserve">). </w:t>
      </w:r>
      <w:proofErr w:type="spellStart"/>
      <w:r w:rsidRPr="002834DF">
        <w:rPr>
          <w:szCs w:val="24"/>
        </w:rPr>
        <w:t>SIEA</w:t>
      </w:r>
      <w:proofErr w:type="spellEnd"/>
      <w:r w:rsidRPr="002834DF">
        <w:rPr>
          <w:szCs w:val="24"/>
        </w:rPr>
        <w:t xml:space="preserve"> bola v tomto projekte vedúcim partnerom pracovného balíka </w:t>
      </w:r>
      <w:proofErr w:type="spellStart"/>
      <w:r w:rsidRPr="002834DF">
        <w:rPr>
          <w:szCs w:val="24"/>
        </w:rPr>
        <w:t>WP7</w:t>
      </w:r>
      <w:proofErr w:type="spellEnd"/>
      <w:r w:rsidRPr="002834DF">
        <w:rPr>
          <w:szCs w:val="24"/>
        </w:rPr>
        <w:t xml:space="preserve"> – Monitoring – technického monitorovania </w:t>
      </w:r>
      <w:proofErr w:type="spellStart"/>
      <w:r w:rsidRPr="002834DF">
        <w:rPr>
          <w:szCs w:val="24"/>
        </w:rPr>
        <w:t>OZE</w:t>
      </w:r>
      <w:proofErr w:type="spellEnd"/>
      <w:r w:rsidRPr="002834DF">
        <w:rPr>
          <w:szCs w:val="24"/>
        </w:rPr>
        <w:t xml:space="preserve"> systémov a energetickej hospodárnosti budov na pilotných miestach.</w:t>
      </w: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Počas roku 2015 prebiehala finalizácia vývoja aplikácie monitorovacieho systému na základe informácií dostupných z demonštračných miest, predovšetkým </w:t>
      </w:r>
      <w:proofErr w:type="spellStart"/>
      <w:r w:rsidRPr="002834DF">
        <w:rPr>
          <w:szCs w:val="24"/>
        </w:rPr>
        <w:t>Mórahalom</w:t>
      </w:r>
      <w:proofErr w:type="spellEnd"/>
      <w:r w:rsidRPr="002834DF">
        <w:rPr>
          <w:szCs w:val="24"/>
        </w:rPr>
        <w:t xml:space="preserve"> a </w:t>
      </w:r>
      <w:proofErr w:type="spellStart"/>
      <w:r w:rsidRPr="002834DF">
        <w:rPr>
          <w:szCs w:val="24"/>
        </w:rPr>
        <w:t>Montieri</w:t>
      </w:r>
      <w:proofErr w:type="spellEnd"/>
      <w:r w:rsidRPr="002834DF">
        <w:rPr>
          <w:szCs w:val="24"/>
        </w:rPr>
        <w:t>.</w:t>
      </w: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Súčasne z poznatkov zbieraných v rámci </w:t>
      </w:r>
      <w:proofErr w:type="spellStart"/>
      <w:r w:rsidRPr="002834DF">
        <w:rPr>
          <w:szCs w:val="24"/>
        </w:rPr>
        <w:t>socio-ekonomického</w:t>
      </w:r>
      <w:proofErr w:type="spellEnd"/>
      <w:r w:rsidRPr="002834DF">
        <w:rPr>
          <w:szCs w:val="24"/>
        </w:rPr>
        <w:t xml:space="preserve"> výskumu (ktorý bol zameraný na činnosti:</w:t>
      </w:r>
    </w:p>
    <w:p w:rsidR="002834DF" w:rsidRPr="002834DF" w:rsidRDefault="002834DF" w:rsidP="002834DF">
      <w:pPr>
        <w:pStyle w:val="WW-Zkladntextodsazen2"/>
        <w:tabs>
          <w:tab w:val="left" w:pos="1080"/>
          <w:tab w:val="left" w:pos="1260"/>
        </w:tabs>
        <w:ind w:firstLine="0"/>
        <w:rPr>
          <w:szCs w:val="24"/>
        </w:rPr>
      </w:pPr>
      <w:r w:rsidRPr="002834DF">
        <w:rPr>
          <w:szCs w:val="24"/>
        </w:rPr>
        <w:tab/>
        <w:t>•</w:t>
      </w:r>
      <w:r w:rsidRPr="002834DF">
        <w:rPr>
          <w:szCs w:val="24"/>
        </w:rPr>
        <w:tab/>
        <w:t>štúdia vnímania a chápania geotermálnej energie,</w:t>
      </w:r>
    </w:p>
    <w:p w:rsidR="002834DF" w:rsidRPr="002834DF" w:rsidRDefault="002834DF" w:rsidP="002834DF">
      <w:pPr>
        <w:pStyle w:val="WW-Zkladntextodsazen2"/>
        <w:tabs>
          <w:tab w:val="left" w:pos="1080"/>
          <w:tab w:val="left" w:pos="1260"/>
        </w:tabs>
        <w:ind w:firstLine="0"/>
        <w:rPr>
          <w:szCs w:val="24"/>
        </w:rPr>
      </w:pPr>
      <w:r w:rsidRPr="002834DF">
        <w:rPr>
          <w:szCs w:val="24"/>
        </w:rPr>
        <w:tab/>
        <w:t>•</w:t>
      </w:r>
      <w:r w:rsidRPr="002834DF">
        <w:rPr>
          <w:szCs w:val="24"/>
        </w:rPr>
        <w:tab/>
        <w:t>prehľad trhových a fiškálnych opatrení a dotácií, ako zoznam faktorov,</w:t>
      </w:r>
    </w:p>
    <w:p w:rsidR="002834DF" w:rsidRPr="002834DF" w:rsidRDefault="002834DF" w:rsidP="002834DF">
      <w:pPr>
        <w:pStyle w:val="WW-Zkladntextodsazen2"/>
        <w:tabs>
          <w:tab w:val="left" w:pos="1080"/>
          <w:tab w:val="left" w:pos="1260"/>
        </w:tabs>
        <w:ind w:firstLine="0"/>
        <w:rPr>
          <w:szCs w:val="24"/>
        </w:rPr>
      </w:pPr>
      <w:r w:rsidRPr="002834DF">
        <w:rPr>
          <w:szCs w:val="24"/>
        </w:rPr>
        <w:tab/>
      </w:r>
      <w:r w:rsidRPr="002834DF">
        <w:rPr>
          <w:szCs w:val="24"/>
        </w:rPr>
        <w:tab/>
        <w:t>ktoré môžu mať vplyv na využitie geotermálnej energie,</w:t>
      </w:r>
    </w:p>
    <w:p w:rsidR="002834DF" w:rsidRPr="002834DF" w:rsidRDefault="002834DF" w:rsidP="002834DF">
      <w:pPr>
        <w:pStyle w:val="WW-Zkladntextodsazen2"/>
        <w:tabs>
          <w:tab w:val="left" w:pos="1080"/>
          <w:tab w:val="left" w:pos="1260"/>
        </w:tabs>
        <w:ind w:firstLine="0"/>
        <w:rPr>
          <w:szCs w:val="24"/>
        </w:rPr>
      </w:pPr>
      <w:r w:rsidRPr="002834DF">
        <w:rPr>
          <w:szCs w:val="24"/>
        </w:rPr>
        <w:tab/>
        <w:t>•</w:t>
      </w:r>
      <w:r w:rsidRPr="002834DF">
        <w:rPr>
          <w:szCs w:val="24"/>
        </w:rPr>
        <w:tab/>
        <w:t>vypracovanie matice vplyvov,</w:t>
      </w:r>
    </w:p>
    <w:p w:rsidR="002834DF" w:rsidRPr="002834DF" w:rsidRDefault="002834DF" w:rsidP="002834DF">
      <w:pPr>
        <w:pStyle w:val="WW-Zkladntextodsazen2"/>
        <w:tabs>
          <w:tab w:val="left" w:pos="1080"/>
          <w:tab w:val="left" w:pos="1260"/>
        </w:tabs>
        <w:ind w:firstLine="0"/>
        <w:rPr>
          <w:szCs w:val="24"/>
        </w:rPr>
      </w:pPr>
      <w:r w:rsidRPr="002834DF">
        <w:rPr>
          <w:szCs w:val="24"/>
        </w:rPr>
        <w:tab/>
        <w:t>•</w:t>
      </w:r>
      <w:r w:rsidRPr="002834DF">
        <w:rPr>
          <w:szCs w:val="24"/>
        </w:rPr>
        <w:tab/>
        <w:t>zber a zhrnutie podstatných popisných informácií)</w:t>
      </w: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bola v spolupráci s hlavným partnerom pre pracovný balík </w:t>
      </w:r>
      <w:proofErr w:type="spellStart"/>
      <w:r w:rsidRPr="002834DF">
        <w:rPr>
          <w:szCs w:val="24"/>
        </w:rPr>
        <w:t>WP</w:t>
      </w:r>
      <w:proofErr w:type="spellEnd"/>
      <w:r w:rsidRPr="002834DF">
        <w:rPr>
          <w:szCs w:val="24"/>
        </w:rPr>
        <w:t xml:space="preserve"> 6 - </w:t>
      </w:r>
      <w:proofErr w:type="spellStart"/>
      <w:r w:rsidRPr="002834DF">
        <w:rPr>
          <w:szCs w:val="24"/>
        </w:rPr>
        <w:t>Socio-Economic</w:t>
      </w:r>
      <w:proofErr w:type="spellEnd"/>
      <w:r w:rsidRPr="002834DF">
        <w:rPr>
          <w:szCs w:val="24"/>
        </w:rPr>
        <w:t xml:space="preserve"> </w:t>
      </w:r>
      <w:proofErr w:type="spellStart"/>
      <w:r w:rsidRPr="002834DF">
        <w:rPr>
          <w:szCs w:val="24"/>
        </w:rPr>
        <w:t>Research</w:t>
      </w:r>
      <w:proofErr w:type="spellEnd"/>
      <w:r w:rsidRPr="002834DF">
        <w:rPr>
          <w:szCs w:val="24"/>
        </w:rPr>
        <w:t xml:space="preserve">, PAS – </w:t>
      </w:r>
      <w:proofErr w:type="spellStart"/>
      <w:r w:rsidRPr="002834DF">
        <w:rPr>
          <w:szCs w:val="24"/>
        </w:rPr>
        <w:t>MEERI</w:t>
      </w:r>
      <w:proofErr w:type="spellEnd"/>
      <w:r w:rsidRPr="002834DF">
        <w:rPr>
          <w:szCs w:val="24"/>
        </w:rPr>
        <w:t xml:space="preserve">, pripravovaná </w:t>
      </w:r>
      <w:proofErr w:type="spellStart"/>
      <w:r w:rsidRPr="002834DF">
        <w:rPr>
          <w:szCs w:val="24"/>
        </w:rPr>
        <w:t>Geocom</w:t>
      </w:r>
      <w:proofErr w:type="spellEnd"/>
      <w:r w:rsidRPr="002834DF">
        <w:rPr>
          <w:szCs w:val="24"/>
        </w:rPr>
        <w:t xml:space="preserve"> príručka dostupných výstupov projektu.</w:t>
      </w:r>
    </w:p>
    <w:p w:rsidR="002834DF" w:rsidRPr="002834DF" w:rsidRDefault="002834DF" w:rsidP="002834DF">
      <w:pPr>
        <w:pStyle w:val="WW-Zkladntextodsazen2"/>
        <w:tabs>
          <w:tab w:val="left" w:pos="1080"/>
          <w:tab w:val="left" w:pos="1260"/>
        </w:tabs>
        <w:ind w:firstLine="0"/>
        <w:rPr>
          <w:szCs w:val="24"/>
        </w:rPr>
      </w:pPr>
      <w:r w:rsidRPr="002834DF">
        <w:rPr>
          <w:szCs w:val="24"/>
        </w:rPr>
        <w:t xml:space="preserve">Ďalej sa zástupcovia </w:t>
      </w:r>
      <w:proofErr w:type="spellStart"/>
      <w:r w:rsidRPr="002834DF">
        <w:rPr>
          <w:szCs w:val="24"/>
        </w:rPr>
        <w:t>SIEA</w:t>
      </w:r>
      <w:proofErr w:type="spellEnd"/>
      <w:r w:rsidRPr="002834DF">
        <w:rPr>
          <w:szCs w:val="24"/>
        </w:rPr>
        <w:t xml:space="preserve"> zúčastnili na poslednom </w:t>
      </w:r>
      <w:proofErr w:type="spellStart"/>
      <w:r w:rsidRPr="002834DF">
        <w:rPr>
          <w:szCs w:val="24"/>
        </w:rPr>
        <w:t>Final</w:t>
      </w:r>
      <w:proofErr w:type="spellEnd"/>
      <w:r w:rsidRPr="002834DF">
        <w:rPr>
          <w:szCs w:val="24"/>
        </w:rPr>
        <w:t xml:space="preserve"> </w:t>
      </w:r>
      <w:proofErr w:type="spellStart"/>
      <w:r w:rsidRPr="002834DF">
        <w:rPr>
          <w:szCs w:val="24"/>
        </w:rPr>
        <w:t>Meeting</w:t>
      </w:r>
      <w:proofErr w:type="spellEnd"/>
      <w:r w:rsidRPr="002834DF">
        <w:rPr>
          <w:szCs w:val="24"/>
        </w:rPr>
        <w:t xml:space="preserve"> v Budapešti spojenom s inauguračnou konferenciou Klubu geotermálnych komunít a obhliadkou demonštračného miesta v </w:t>
      </w:r>
      <w:proofErr w:type="spellStart"/>
      <w:r w:rsidRPr="002834DF">
        <w:rPr>
          <w:szCs w:val="24"/>
        </w:rPr>
        <w:t>Mórahalom</w:t>
      </w:r>
      <w:proofErr w:type="spellEnd"/>
      <w:r w:rsidRPr="002834DF">
        <w:rPr>
          <w:szCs w:val="24"/>
        </w:rPr>
        <w:t>.</w:t>
      </w:r>
    </w:p>
    <w:p w:rsidR="002834DF" w:rsidRDefault="002834DF" w:rsidP="002834DF">
      <w:pPr>
        <w:pStyle w:val="WW-Zkladntextodsazen2"/>
        <w:tabs>
          <w:tab w:val="left" w:pos="1080"/>
          <w:tab w:val="left" w:pos="1260"/>
        </w:tabs>
        <w:ind w:firstLine="0"/>
        <w:rPr>
          <w:szCs w:val="24"/>
        </w:rPr>
      </w:pPr>
      <w:r w:rsidRPr="002834DF">
        <w:rPr>
          <w:szCs w:val="24"/>
        </w:rPr>
        <w:t xml:space="preserve">V rámci aktivity </w:t>
      </w:r>
      <w:proofErr w:type="spellStart"/>
      <w:r w:rsidRPr="002834DF">
        <w:rPr>
          <w:szCs w:val="24"/>
        </w:rPr>
        <w:t>Dissemination</w:t>
      </w:r>
      <w:proofErr w:type="spellEnd"/>
      <w:r w:rsidRPr="002834DF">
        <w:rPr>
          <w:szCs w:val="24"/>
        </w:rPr>
        <w:t xml:space="preserve"> v roku 2015 sa zástupcovia </w:t>
      </w:r>
      <w:proofErr w:type="spellStart"/>
      <w:r w:rsidRPr="002834DF">
        <w:rPr>
          <w:szCs w:val="24"/>
        </w:rPr>
        <w:t>SIEA</w:t>
      </w:r>
      <w:proofErr w:type="spellEnd"/>
      <w:r w:rsidRPr="002834DF">
        <w:rPr>
          <w:szCs w:val="24"/>
        </w:rPr>
        <w:t xml:space="preserve"> zúčastnili na výstavách </w:t>
      </w:r>
      <w:proofErr w:type="spellStart"/>
      <w:r w:rsidRPr="002834DF">
        <w:rPr>
          <w:szCs w:val="24"/>
        </w:rPr>
        <w:t>Aquaterm</w:t>
      </w:r>
      <w:proofErr w:type="spellEnd"/>
      <w:r w:rsidRPr="002834DF">
        <w:rPr>
          <w:szCs w:val="24"/>
        </w:rPr>
        <w:t xml:space="preserve"> Nitra a </w:t>
      </w:r>
      <w:proofErr w:type="spellStart"/>
      <w:r w:rsidRPr="002834DF">
        <w:rPr>
          <w:szCs w:val="24"/>
        </w:rPr>
        <w:t>Coneco</w:t>
      </w:r>
      <w:proofErr w:type="spellEnd"/>
      <w:r w:rsidRPr="002834DF">
        <w:rPr>
          <w:szCs w:val="24"/>
        </w:rPr>
        <w:t xml:space="preserve"> - </w:t>
      </w:r>
      <w:proofErr w:type="spellStart"/>
      <w:r w:rsidRPr="002834DF">
        <w:rPr>
          <w:szCs w:val="24"/>
        </w:rPr>
        <w:t>Racioenergia</w:t>
      </w:r>
      <w:proofErr w:type="spellEnd"/>
      <w:r w:rsidRPr="002834DF">
        <w:rPr>
          <w:szCs w:val="24"/>
        </w:rPr>
        <w:t xml:space="preserve"> Bratislava.</w:t>
      </w:r>
    </w:p>
    <w:p w:rsidR="00CB5B0C" w:rsidRPr="002834DF" w:rsidRDefault="00CB5B0C" w:rsidP="002834DF">
      <w:pPr>
        <w:pStyle w:val="WW-Zkladntextodsazen2"/>
        <w:tabs>
          <w:tab w:val="left" w:pos="1080"/>
          <w:tab w:val="left" w:pos="1260"/>
        </w:tabs>
        <w:ind w:firstLine="0"/>
        <w:rPr>
          <w:szCs w:val="24"/>
        </w:rPr>
      </w:pPr>
    </w:p>
    <w:p w:rsidR="002834DF" w:rsidRPr="00CB5B0C" w:rsidRDefault="002834DF" w:rsidP="002834DF">
      <w:pPr>
        <w:pStyle w:val="WW-Zkladntextodsazen2"/>
        <w:tabs>
          <w:tab w:val="left" w:pos="1080"/>
          <w:tab w:val="left" w:pos="1260"/>
        </w:tabs>
        <w:ind w:firstLine="0"/>
        <w:rPr>
          <w:szCs w:val="24"/>
        </w:rPr>
      </w:pPr>
      <w:r w:rsidRPr="00CB5B0C">
        <w:rPr>
          <w:szCs w:val="24"/>
        </w:rPr>
        <w:t xml:space="preserve">Celkový rozpočet projektu: 132 117,00 </w:t>
      </w:r>
      <w:r w:rsidR="00CB5B0C" w:rsidRPr="00CB5B0C">
        <w:rPr>
          <w:szCs w:val="24"/>
        </w:rPr>
        <w:t>eur</w:t>
      </w:r>
      <w:r w:rsidRPr="00CB5B0C">
        <w:rPr>
          <w:szCs w:val="24"/>
        </w:rPr>
        <w:t xml:space="preserve"> </w:t>
      </w:r>
    </w:p>
    <w:p w:rsidR="002834DF" w:rsidRPr="001803FE" w:rsidRDefault="002834DF" w:rsidP="008C782D">
      <w:pPr>
        <w:pStyle w:val="WW-Zkladntextodsazen2"/>
        <w:tabs>
          <w:tab w:val="left" w:pos="1080"/>
          <w:tab w:val="left" w:pos="1260"/>
        </w:tabs>
        <w:spacing w:after="240"/>
        <w:ind w:firstLine="0"/>
        <w:rPr>
          <w:szCs w:val="24"/>
        </w:rPr>
      </w:pPr>
      <w:r w:rsidRPr="00CB5B0C">
        <w:rPr>
          <w:szCs w:val="24"/>
        </w:rPr>
        <w:t xml:space="preserve">Začiatok: 01.01.2010 </w:t>
      </w:r>
      <w:r w:rsidR="001803FE">
        <w:rPr>
          <w:szCs w:val="24"/>
        </w:rPr>
        <w:tab/>
      </w:r>
      <w:r w:rsidR="001803FE">
        <w:rPr>
          <w:szCs w:val="24"/>
        </w:rPr>
        <w:tab/>
        <w:t>Koniec: 31.12.2015</w:t>
      </w:r>
    </w:p>
    <w:p w:rsidR="002834DF" w:rsidRPr="00CB5B0C" w:rsidRDefault="002834DF" w:rsidP="002834DF">
      <w:pPr>
        <w:pStyle w:val="PredformtovanHTML"/>
        <w:numPr>
          <w:ilvl w:val="0"/>
          <w:numId w:val="32"/>
        </w:numPr>
        <w:tabs>
          <w:tab w:val="clear" w:pos="916"/>
          <w:tab w:val="left" w:pos="709"/>
        </w:tabs>
        <w:spacing w:after="0" w:line="240" w:lineRule="auto"/>
        <w:jc w:val="both"/>
        <w:rPr>
          <w:rFonts w:ascii="Times New Roman" w:hAnsi="Times New Roman" w:cs="Times New Roman"/>
          <w:b/>
          <w:color w:val="auto"/>
          <w:sz w:val="24"/>
          <w:szCs w:val="24"/>
        </w:rPr>
      </w:pPr>
      <w:proofErr w:type="spellStart"/>
      <w:r w:rsidRPr="002834DF">
        <w:rPr>
          <w:rFonts w:ascii="Times New Roman" w:hAnsi="Times New Roman" w:cs="Times New Roman"/>
          <w:b/>
          <w:sz w:val="24"/>
          <w:szCs w:val="24"/>
        </w:rPr>
        <w:t>ODYSSEE-MURE</w:t>
      </w:r>
      <w:proofErr w:type="spellEnd"/>
      <w:r w:rsidRPr="002834DF">
        <w:rPr>
          <w:rFonts w:ascii="Times New Roman" w:hAnsi="Times New Roman" w:cs="Times New Roman"/>
          <w:b/>
          <w:sz w:val="24"/>
          <w:szCs w:val="24"/>
        </w:rPr>
        <w:t xml:space="preserve"> 2012 –</w:t>
      </w:r>
      <w:r w:rsidRPr="002834DF">
        <w:rPr>
          <w:rFonts w:ascii="Times New Roman" w:hAnsi="Times New Roman" w:cs="Times New Roman"/>
          <w:sz w:val="24"/>
          <w:szCs w:val="24"/>
        </w:rPr>
        <w:t xml:space="preserve"> </w:t>
      </w:r>
      <w:r w:rsidRPr="002834DF">
        <w:rPr>
          <w:rFonts w:ascii="Times New Roman" w:hAnsi="Times New Roman" w:cs="Times New Roman"/>
          <w:b/>
          <w:bCs/>
          <w:sz w:val="24"/>
          <w:szCs w:val="24"/>
        </w:rPr>
        <w:t xml:space="preserve">Monitoring of </w:t>
      </w:r>
      <w:proofErr w:type="spellStart"/>
      <w:r w:rsidRPr="002834DF">
        <w:rPr>
          <w:rFonts w:ascii="Times New Roman" w:hAnsi="Times New Roman" w:cs="Times New Roman"/>
          <w:b/>
          <w:bCs/>
          <w:sz w:val="24"/>
          <w:szCs w:val="24"/>
        </w:rPr>
        <w:t>energy</w:t>
      </w:r>
      <w:proofErr w:type="spellEnd"/>
      <w:r w:rsidRPr="002834DF">
        <w:rPr>
          <w:rFonts w:ascii="Times New Roman" w:hAnsi="Times New Roman" w:cs="Times New Roman"/>
          <w:b/>
          <w:bCs/>
          <w:sz w:val="24"/>
          <w:szCs w:val="24"/>
        </w:rPr>
        <w:t xml:space="preserve"> </w:t>
      </w:r>
      <w:proofErr w:type="spellStart"/>
      <w:r w:rsidRPr="002834DF">
        <w:rPr>
          <w:rFonts w:ascii="Times New Roman" w:hAnsi="Times New Roman" w:cs="Times New Roman"/>
          <w:b/>
          <w:bCs/>
          <w:sz w:val="24"/>
          <w:szCs w:val="24"/>
        </w:rPr>
        <w:t>efficiency</w:t>
      </w:r>
      <w:proofErr w:type="spellEnd"/>
      <w:r w:rsidRPr="002834DF">
        <w:rPr>
          <w:rFonts w:ascii="Times New Roman" w:hAnsi="Times New Roman" w:cs="Times New Roman"/>
          <w:b/>
          <w:bCs/>
          <w:sz w:val="24"/>
          <w:szCs w:val="24"/>
        </w:rPr>
        <w:t xml:space="preserve"> in the EU </w:t>
      </w:r>
      <w:r w:rsidR="001803FE">
        <w:rPr>
          <w:rFonts w:ascii="Times New Roman" w:hAnsi="Times New Roman" w:cs="Times New Roman"/>
          <w:sz w:val="24"/>
          <w:szCs w:val="24"/>
        </w:rPr>
        <w:t xml:space="preserve">– program </w:t>
      </w:r>
      <w:proofErr w:type="spellStart"/>
      <w:r w:rsidR="001803FE">
        <w:rPr>
          <w:rFonts w:ascii="Times New Roman" w:hAnsi="Times New Roman" w:cs="Times New Roman"/>
          <w:sz w:val="24"/>
          <w:szCs w:val="24"/>
        </w:rPr>
        <w:t>IEE</w:t>
      </w:r>
      <w:proofErr w:type="spellEnd"/>
      <w:r w:rsidRPr="002834DF">
        <w:rPr>
          <w:rFonts w:ascii="Times New Roman" w:hAnsi="Times New Roman" w:cs="Times New Roman"/>
          <w:sz w:val="24"/>
          <w:szCs w:val="24"/>
        </w:rPr>
        <w:t xml:space="preserve"> </w:t>
      </w:r>
    </w:p>
    <w:p w:rsidR="00CB5B0C" w:rsidRPr="002834DF" w:rsidRDefault="00CB5B0C" w:rsidP="00CB5B0C">
      <w:pPr>
        <w:pStyle w:val="PredformtovanHTML"/>
        <w:tabs>
          <w:tab w:val="clear" w:pos="916"/>
          <w:tab w:val="left" w:pos="709"/>
        </w:tabs>
        <w:spacing w:after="0" w:line="240" w:lineRule="auto"/>
        <w:ind w:left="720"/>
        <w:jc w:val="both"/>
        <w:rPr>
          <w:rFonts w:ascii="Times New Roman" w:hAnsi="Times New Roman" w:cs="Times New Roman"/>
          <w:b/>
          <w:color w:val="auto"/>
          <w:sz w:val="24"/>
          <w:szCs w:val="24"/>
        </w:rPr>
      </w:pPr>
    </w:p>
    <w:p w:rsidR="002834DF" w:rsidRPr="002834DF" w:rsidRDefault="002834DF" w:rsidP="00CB5B0C">
      <w:pPr>
        <w:spacing w:line="240" w:lineRule="auto"/>
        <w:ind w:firstLine="709"/>
        <w:jc w:val="both"/>
        <w:rPr>
          <w:rFonts w:ascii="Times New Roman" w:hAnsi="Times New Roman" w:cs="Times New Roman"/>
          <w:sz w:val="24"/>
          <w:szCs w:val="24"/>
        </w:rPr>
      </w:pPr>
      <w:r w:rsidRPr="002834DF">
        <w:rPr>
          <w:rFonts w:ascii="Times New Roman" w:hAnsi="Times New Roman" w:cs="Times New Roman"/>
          <w:sz w:val="24"/>
          <w:szCs w:val="24"/>
        </w:rPr>
        <w:t xml:space="preserve">Celkové výdavky na projekt v roku 2015 dosiahli </w:t>
      </w:r>
      <w:r w:rsidRPr="00CB5B0C">
        <w:rPr>
          <w:rFonts w:ascii="Times New Roman" w:hAnsi="Times New Roman" w:cs="Times New Roman"/>
          <w:sz w:val="24"/>
          <w:szCs w:val="24"/>
        </w:rPr>
        <w:t xml:space="preserve">7 400,86 </w:t>
      </w:r>
      <w:r w:rsidR="00CB5B0C" w:rsidRPr="00CB5B0C">
        <w:rPr>
          <w:rFonts w:ascii="Times New Roman" w:hAnsi="Times New Roman" w:cs="Times New Roman"/>
          <w:sz w:val="24"/>
          <w:szCs w:val="24"/>
        </w:rPr>
        <w:t>eur</w:t>
      </w:r>
      <w:r w:rsidRPr="00CB5B0C">
        <w:rPr>
          <w:rFonts w:ascii="Times New Roman" w:hAnsi="Times New Roman" w:cs="Times New Roman"/>
          <w:sz w:val="24"/>
          <w:szCs w:val="24"/>
        </w:rPr>
        <w:t>, príspevok z EU 75 %.</w:t>
      </w:r>
      <w:r w:rsidRPr="002834DF">
        <w:rPr>
          <w:rFonts w:ascii="Times New Roman" w:hAnsi="Times New Roman" w:cs="Times New Roman"/>
          <w:sz w:val="24"/>
          <w:szCs w:val="24"/>
        </w:rPr>
        <w:t xml:space="preserve"> Projekt zameraný na monitorovanie indikátorov energetickej efektívnosti, cieľov národných akčných plánov energetickej efektívnosti a energetickú štatistiku v rámci implementácie EÚ smernice 2006/32/ES resp. 2012/27/EU o energetickej efektívnosti v rámci 28 + 2 krajín EÚ. Daný projekt dáva komplexný prehľad o indikátoroch a politikách týkajúcich sa energetickej efektívnosti, rozširuje a aktualizuje databázy o </w:t>
      </w:r>
      <w:proofErr w:type="spellStart"/>
      <w:r w:rsidRPr="002834DF">
        <w:rPr>
          <w:rFonts w:ascii="Times New Roman" w:hAnsi="Times New Roman" w:cs="Times New Roman"/>
          <w:sz w:val="24"/>
          <w:szCs w:val="24"/>
        </w:rPr>
        <w:t>EE</w:t>
      </w:r>
      <w:proofErr w:type="spellEnd"/>
      <w:r w:rsidRPr="002834DF">
        <w:rPr>
          <w:rFonts w:ascii="Times New Roman" w:hAnsi="Times New Roman" w:cs="Times New Roman"/>
          <w:sz w:val="24"/>
          <w:szCs w:val="24"/>
        </w:rPr>
        <w:t xml:space="preserve">, resp. </w:t>
      </w:r>
      <w:proofErr w:type="spellStart"/>
      <w:r w:rsidRPr="002834DF">
        <w:rPr>
          <w:rFonts w:ascii="Times New Roman" w:hAnsi="Times New Roman" w:cs="Times New Roman"/>
          <w:sz w:val="24"/>
          <w:szCs w:val="24"/>
        </w:rPr>
        <w:t>EE</w:t>
      </w:r>
      <w:proofErr w:type="spellEnd"/>
      <w:r w:rsidRPr="002834DF">
        <w:rPr>
          <w:rFonts w:ascii="Times New Roman" w:hAnsi="Times New Roman" w:cs="Times New Roman"/>
          <w:sz w:val="24"/>
          <w:szCs w:val="24"/>
        </w:rPr>
        <w:t xml:space="preserve"> politík </w:t>
      </w:r>
      <w:proofErr w:type="spellStart"/>
      <w:r w:rsidRPr="002834DF">
        <w:rPr>
          <w:rFonts w:ascii="Times New Roman" w:hAnsi="Times New Roman" w:cs="Times New Roman"/>
          <w:sz w:val="24"/>
          <w:szCs w:val="24"/>
        </w:rPr>
        <w:t>ODYSSEE</w:t>
      </w:r>
      <w:proofErr w:type="spellEnd"/>
      <w:r w:rsidRPr="002834DF">
        <w:rPr>
          <w:rFonts w:ascii="Times New Roman" w:hAnsi="Times New Roman" w:cs="Times New Roman"/>
          <w:sz w:val="24"/>
          <w:szCs w:val="24"/>
        </w:rPr>
        <w:t xml:space="preserve"> a MURE, analyzuje trendy v </w:t>
      </w:r>
      <w:proofErr w:type="spellStart"/>
      <w:r w:rsidRPr="002834DF">
        <w:rPr>
          <w:rFonts w:ascii="Times New Roman" w:hAnsi="Times New Roman" w:cs="Times New Roman"/>
          <w:sz w:val="24"/>
          <w:szCs w:val="24"/>
        </w:rPr>
        <w:t>EE</w:t>
      </w:r>
      <w:proofErr w:type="spellEnd"/>
      <w:r w:rsidRPr="002834DF">
        <w:rPr>
          <w:rFonts w:ascii="Times New Roman" w:hAnsi="Times New Roman" w:cs="Times New Roman"/>
          <w:sz w:val="24"/>
          <w:szCs w:val="24"/>
        </w:rPr>
        <w:t xml:space="preserve"> a pod. Výsledky projektu sú široko využívané pre potreby Európskej komisie, Medzinárodnej energetickej agentúry </w:t>
      </w:r>
      <w:proofErr w:type="spellStart"/>
      <w:r w:rsidRPr="002834DF">
        <w:rPr>
          <w:rFonts w:ascii="Times New Roman" w:hAnsi="Times New Roman" w:cs="Times New Roman"/>
          <w:sz w:val="24"/>
          <w:szCs w:val="24"/>
        </w:rPr>
        <w:t>IEA</w:t>
      </w:r>
      <w:proofErr w:type="spellEnd"/>
      <w:r w:rsidRPr="002834DF">
        <w:rPr>
          <w:rFonts w:ascii="Times New Roman" w:hAnsi="Times New Roman" w:cs="Times New Roman"/>
          <w:sz w:val="24"/>
          <w:szCs w:val="24"/>
        </w:rPr>
        <w:t xml:space="preserve">, Európskej environmentálnej agentúry </w:t>
      </w:r>
      <w:proofErr w:type="spellStart"/>
      <w:r w:rsidRPr="002834DF">
        <w:rPr>
          <w:rFonts w:ascii="Times New Roman" w:hAnsi="Times New Roman" w:cs="Times New Roman"/>
          <w:sz w:val="24"/>
          <w:szCs w:val="24"/>
        </w:rPr>
        <w:t>EEA</w:t>
      </w:r>
      <w:proofErr w:type="spellEnd"/>
      <w:r w:rsidRPr="002834DF">
        <w:rPr>
          <w:rFonts w:ascii="Times New Roman" w:hAnsi="Times New Roman" w:cs="Times New Roman"/>
          <w:sz w:val="24"/>
          <w:szCs w:val="24"/>
        </w:rPr>
        <w:t xml:space="preserve"> i pre vnútorné potreby pre hodnotenie medzinárodných záväzkov SR. Uvedené výdavky reprezentujú cestovné náklady a osobné (mzdy a odvody) a režijné náklady. V roku 2015 sa uskutočnilo jedno stretnutie projektu, aktualizovali sa databázy </w:t>
      </w:r>
      <w:proofErr w:type="spellStart"/>
      <w:r w:rsidRPr="002834DF">
        <w:rPr>
          <w:rFonts w:ascii="Times New Roman" w:hAnsi="Times New Roman" w:cs="Times New Roman"/>
          <w:sz w:val="24"/>
          <w:szCs w:val="24"/>
        </w:rPr>
        <w:t>ODYSSEE</w:t>
      </w:r>
      <w:proofErr w:type="spellEnd"/>
      <w:r w:rsidRPr="002834DF">
        <w:rPr>
          <w:rFonts w:ascii="Times New Roman" w:hAnsi="Times New Roman" w:cs="Times New Roman"/>
          <w:sz w:val="24"/>
          <w:szCs w:val="24"/>
        </w:rPr>
        <w:t xml:space="preserve"> o údaje za rok 2013, aktualizovala sa databáza MURE, verifikovali sa údaje v databázach, uskutočnil sa odborný seminár projektu </w:t>
      </w:r>
      <w:r w:rsidRPr="002834DF">
        <w:rPr>
          <w:rFonts w:ascii="Times New Roman" w:hAnsi="Times New Roman" w:cs="Times New Roman"/>
          <w:bCs/>
          <w:sz w:val="24"/>
          <w:szCs w:val="24"/>
        </w:rPr>
        <w:t>„Monitorovanie energetickej efektívnosti v Slovenskej republike“</w:t>
      </w:r>
      <w:r w:rsidRPr="002834DF">
        <w:rPr>
          <w:rFonts w:ascii="Times New Roman" w:hAnsi="Times New Roman" w:cs="Times New Roman"/>
          <w:sz w:val="24"/>
          <w:szCs w:val="24"/>
        </w:rPr>
        <w:t>. Projekt bol ukončený v roku 2015.</w:t>
      </w:r>
    </w:p>
    <w:p w:rsidR="002834DF" w:rsidRPr="00CB5B0C" w:rsidRDefault="002834DF" w:rsidP="00CB5B0C">
      <w:pPr>
        <w:pStyle w:val="PredformtovanHTML"/>
        <w:spacing w:after="0" w:line="240" w:lineRule="auto"/>
        <w:jc w:val="both"/>
        <w:rPr>
          <w:rFonts w:ascii="Times New Roman" w:hAnsi="Times New Roman" w:cs="Times New Roman"/>
          <w:color w:val="auto"/>
          <w:sz w:val="24"/>
          <w:szCs w:val="24"/>
        </w:rPr>
      </w:pPr>
      <w:r w:rsidRPr="00CB5B0C">
        <w:rPr>
          <w:rFonts w:ascii="Times New Roman" w:hAnsi="Times New Roman" w:cs="Times New Roman"/>
          <w:color w:val="auto"/>
          <w:sz w:val="24"/>
          <w:szCs w:val="24"/>
        </w:rPr>
        <w:t xml:space="preserve">Celkový rozpočet projektu: 31 630,00 </w:t>
      </w:r>
      <w:r w:rsidR="00CB5B0C" w:rsidRPr="00CB5B0C">
        <w:rPr>
          <w:rFonts w:ascii="Times New Roman" w:hAnsi="Times New Roman" w:cs="Times New Roman"/>
          <w:sz w:val="24"/>
          <w:szCs w:val="24"/>
        </w:rPr>
        <w:t>eur</w:t>
      </w:r>
    </w:p>
    <w:p w:rsidR="002834DF" w:rsidRPr="00CB5B0C" w:rsidRDefault="002834DF" w:rsidP="00CB5B0C">
      <w:pPr>
        <w:pStyle w:val="PredformtovanHTML"/>
        <w:spacing w:after="0" w:line="240" w:lineRule="auto"/>
        <w:jc w:val="both"/>
        <w:rPr>
          <w:rFonts w:ascii="Times New Roman" w:hAnsi="Times New Roman" w:cs="Times New Roman"/>
          <w:color w:val="auto"/>
          <w:sz w:val="24"/>
          <w:szCs w:val="24"/>
        </w:rPr>
      </w:pPr>
      <w:r w:rsidRPr="00CB5B0C">
        <w:rPr>
          <w:rFonts w:ascii="Times New Roman" w:hAnsi="Times New Roman" w:cs="Times New Roman"/>
          <w:color w:val="auto"/>
          <w:sz w:val="24"/>
          <w:szCs w:val="24"/>
        </w:rPr>
        <w:t xml:space="preserve">Začiatok: 01.04.2013  </w:t>
      </w:r>
      <w:r w:rsidR="001803FE">
        <w:rPr>
          <w:rFonts w:ascii="Times New Roman" w:hAnsi="Times New Roman" w:cs="Times New Roman"/>
          <w:color w:val="auto"/>
          <w:sz w:val="24"/>
          <w:szCs w:val="24"/>
        </w:rPr>
        <w:tab/>
      </w:r>
      <w:r w:rsidRPr="00CB5B0C">
        <w:rPr>
          <w:rFonts w:ascii="Times New Roman" w:hAnsi="Times New Roman" w:cs="Times New Roman"/>
          <w:color w:val="auto"/>
          <w:sz w:val="24"/>
          <w:szCs w:val="24"/>
        </w:rPr>
        <w:t>Koniec: 01.10.2015</w:t>
      </w:r>
    </w:p>
    <w:p w:rsidR="002834DF" w:rsidRDefault="002834DF" w:rsidP="001803FE">
      <w:pPr>
        <w:pStyle w:val="PredformtovanHTML"/>
        <w:numPr>
          <w:ilvl w:val="0"/>
          <w:numId w:val="32"/>
        </w:numPr>
        <w:tabs>
          <w:tab w:val="clear" w:pos="916"/>
          <w:tab w:val="left" w:pos="709"/>
        </w:tabs>
        <w:spacing w:before="240" w:after="0" w:line="240" w:lineRule="auto"/>
        <w:jc w:val="both"/>
        <w:rPr>
          <w:rFonts w:ascii="Times New Roman" w:hAnsi="Times New Roman" w:cs="Times New Roman"/>
          <w:color w:val="auto"/>
          <w:sz w:val="24"/>
          <w:szCs w:val="24"/>
        </w:rPr>
      </w:pPr>
      <w:proofErr w:type="spellStart"/>
      <w:r w:rsidRPr="002834DF">
        <w:rPr>
          <w:rFonts w:ascii="Times New Roman" w:hAnsi="Times New Roman" w:cs="Times New Roman"/>
          <w:b/>
          <w:color w:val="auto"/>
          <w:sz w:val="24"/>
          <w:szCs w:val="24"/>
        </w:rPr>
        <w:t>CA</w:t>
      </w:r>
      <w:proofErr w:type="spellEnd"/>
      <w:r w:rsidRPr="002834DF">
        <w:rPr>
          <w:rFonts w:ascii="Times New Roman" w:hAnsi="Times New Roman" w:cs="Times New Roman"/>
          <w:b/>
          <w:color w:val="auto"/>
          <w:sz w:val="24"/>
          <w:szCs w:val="24"/>
        </w:rPr>
        <w:t xml:space="preserve"> </w:t>
      </w:r>
      <w:proofErr w:type="spellStart"/>
      <w:r w:rsidRPr="002834DF">
        <w:rPr>
          <w:rFonts w:ascii="Times New Roman" w:hAnsi="Times New Roman" w:cs="Times New Roman"/>
          <w:b/>
          <w:color w:val="auto"/>
          <w:sz w:val="24"/>
          <w:szCs w:val="24"/>
        </w:rPr>
        <w:t>RES</w:t>
      </w:r>
      <w:proofErr w:type="spellEnd"/>
      <w:r w:rsidRPr="002834DF">
        <w:rPr>
          <w:rFonts w:ascii="Times New Roman" w:hAnsi="Times New Roman" w:cs="Times New Roman"/>
          <w:b/>
          <w:color w:val="auto"/>
          <w:sz w:val="24"/>
          <w:szCs w:val="24"/>
        </w:rPr>
        <w:t xml:space="preserve"> </w:t>
      </w:r>
      <w:proofErr w:type="spellStart"/>
      <w:r w:rsidRPr="002834DF">
        <w:rPr>
          <w:rFonts w:ascii="Times New Roman" w:hAnsi="Times New Roman" w:cs="Times New Roman"/>
          <w:b/>
          <w:color w:val="auto"/>
          <w:sz w:val="24"/>
          <w:szCs w:val="24"/>
        </w:rPr>
        <w:t>II</w:t>
      </w:r>
      <w:proofErr w:type="spellEnd"/>
      <w:r w:rsidRPr="002834DF">
        <w:rPr>
          <w:rFonts w:ascii="Times New Roman" w:hAnsi="Times New Roman" w:cs="Times New Roman"/>
          <w:b/>
          <w:color w:val="auto"/>
          <w:sz w:val="24"/>
          <w:szCs w:val="24"/>
        </w:rPr>
        <w:t xml:space="preserve"> </w:t>
      </w:r>
      <w:r w:rsidRPr="002834DF">
        <w:rPr>
          <w:rFonts w:ascii="Times New Roman" w:hAnsi="Times New Roman" w:cs="Times New Roman"/>
          <w:color w:val="auto"/>
          <w:sz w:val="24"/>
          <w:szCs w:val="24"/>
        </w:rPr>
        <w:t xml:space="preserve">- </w:t>
      </w:r>
      <w:proofErr w:type="spellStart"/>
      <w:r w:rsidRPr="002834DF">
        <w:rPr>
          <w:rFonts w:ascii="Times New Roman" w:hAnsi="Times New Roman" w:cs="Times New Roman"/>
          <w:b/>
          <w:color w:val="auto"/>
          <w:sz w:val="24"/>
          <w:szCs w:val="24"/>
        </w:rPr>
        <w:t>Concerted</w:t>
      </w:r>
      <w:proofErr w:type="spellEnd"/>
      <w:r w:rsidRPr="002834DF">
        <w:rPr>
          <w:rFonts w:ascii="Times New Roman" w:hAnsi="Times New Roman" w:cs="Times New Roman"/>
          <w:b/>
          <w:color w:val="auto"/>
          <w:sz w:val="24"/>
          <w:szCs w:val="24"/>
        </w:rPr>
        <w:t xml:space="preserve"> </w:t>
      </w:r>
      <w:proofErr w:type="spellStart"/>
      <w:r w:rsidRPr="002834DF">
        <w:rPr>
          <w:rFonts w:ascii="Times New Roman" w:hAnsi="Times New Roman" w:cs="Times New Roman"/>
          <w:b/>
          <w:color w:val="auto"/>
          <w:sz w:val="24"/>
          <w:szCs w:val="24"/>
        </w:rPr>
        <w:t>Action</w:t>
      </w:r>
      <w:proofErr w:type="spellEnd"/>
      <w:r w:rsidRPr="002834DF">
        <w:rPr>
          <w:rFonts w:ascii="Times New Roman" w:hAnsi="Times New Roman" w:cs="Times New Roman"/>
          <w:b/>
          <w:color w:val="auto"/>
          <w:sz w:val="24"/>
          <w:szCs w:val="24"/>
        </w:rPr>
        <w:t xml:space="preserve"> on the </w:t>
      </w:r>
      <w:proofErr w:type="spellStart"/>
      <w:r w:rsidRPr="002834DF">
        <w:rPr>
          <w:rFonts w:ascii="Times New Roman" w:hAnsi="Times New Roman" w:cs="Times New Roman"/>
          <w:b/>
          <w:color w:val="auto"/>
          <w:sz w:val="24"/>
          <w:szCs w:val="24"/>
        </w:rPr>
        <w:t>implementation</w:t>
      </w:r>
      <w:proofErr w:type="spellEnd"/>
      <w:r w:rsidRPr="002834DF">
        <w:rPr>
          <w:rFonts w:ascii="Times New Roman" w:hAnsi="Times New Roman" w:cs="Times New Roman"/>
          <w:b/>
          <w:color w:val="auto"/>
          <w:sz w:val="24"/>
          <w:szCs w:val="24"/>
        </w:rPr>
        <w:t xml:space="preserve"> of the </w:t>
      </w:r>
      <w:proofErr w:type="spellStart"/>
      <w:r w:rsidRPr="002834DF">
        <w:rPr>
          <w:rFonts w:ascii="Times New Roman" w:hAnsi="Times New Roman" w:cs="Times New Roman"/>
          <w:b/>
          <w:color w:val="auto"/>
          <w:sz w:val="24"/>
          <w:szCs w:val="24"/>
        </w:rPr>
        <w:t>RES</w:t>
      </w:r>
      <w:proofErr w:type="spellEnd"/>
      <w:r w:rsidRPr="002834DF">
        <w:rPr>
          <w:rFonts w:ascii="Times New Roman" w:hAnsi="Times New Roman" w:cs="Times New Roman"/>
          <w:b/>
          <w:color w:val="auto"/>
          <w:sz w:val="24"/>
          <w:szCs w:val="24"/>
        </w:rPr>
        <w:t xml:space="preserve"> </w:t>
      </w:r>
      <w:proofErr w:type="spellStart"/>
      <w:r w:rsidRPr="002834DF">
        <w:rPr>
          <w:rFonts w:ascii="Times New Roman" w:hAnsi="Times New Roman" w:cs="Times New Roman"/>
          <w:b/>
          <w:color w:val="auto"/>
          <w:sz w:val="24"/>
          <w:szCs w:val="24"/>
        </w:rPr>
        <w:t>Directive</w:t>
      </w:r>
      <w:proofErr w:type="spellEnd"/>
      <w:r w:rsidRPr="002834DF">
        <w:rPr>
          <w:rFonts w:ascii="Times New Roman" w:hAnsi="Times New Roman" w:cs="Times New Roman"/>
          <w:b/>
          <w:color w:val="auto"/>
          <w:sz w:val="24"/>
          <w:szCs w:val="24"/>
        </w:rPr>
        <w:t xml:space="preserve"> </w:t>
      </w:r>
      <w:r w:rsidRPr="002834DF">
        <w:rPr>
          <w:rFonts w:ascii="Times New Roman" w:hAnsi="Times New Roman" w:cs="Times New Roman"/>
          <w:color w:val="auto"/>
          <w:sz w:val="24"/>
          <w:szCs w:val="24"/>
        </w:rPr>
        <w:t xml:space="preserve">(Zladené konanie o implementácii smernice o obnoviteľných zdrojoch energie) </w:t>
      </w:r>
      <w:r w:rsidRPr="002834DF">
        <w:rPr>
          <w:rFonts w:ascii="Times New Roman" w:hAnsi="Times New Roman" w:cs="Times New Roman"/>
          <w:b/>
          <w:color w:val="auto"/>
          <w:sz w:val="24"/>
          <w:szCs w:val="24"/>
        </w:rPr>
        <w:t xml:space="preserve">– </w:t>
      </w:r>
      <w:r w:rsidRPr="002834DF">
        <w:rPr>
          <w:rFonts w:ascii="Times New Roman" w:hAnsi="Times New Roman" w:cs="Times New Roman"/>
          <w:color w:val="auto"/>
          <w:sz w:val="24"/>
          <w:szCs w:val="24"/>
        </w:rPr>
        <w:t xml:space="preserve">program </w:t>
      </w:r>
      <w:proofErr w:type="spellStart"/>
      <w:r w:rsidRPr="002834DF">
        <w:rPr>
          <w:rFonts w:ascii="Times New Roman" w:hAnsi="Times New Roman" w:cs="Times New Roman"/>
          <w:color w:val="auto"/>
          <w:sz w:val="24"/>
          <w:szCs w:val="24"/>
        </w:rPr>
        <w:t>IE</w:t>
      </w:r>
      <w:r w:rsidR="001803FE">
        <w:rPr>
          <w:rFonts w:ascii="Times New Roman" w:hAnsi="Times New Roman" w:cs="Times New Roman"/>
          <w:color w:val="auto"/>
          <w:sz w:val="24"/>
          <w:szCs w:val="24"/>
        </w:rPr>
        <w:t>E</w:t>
      </w:r>
      <w:proofErr w:type="spellEnd"/>
      <w:r w:rsidR="001803FE">
        <w:rPr>
          <w:rFonts w:ascii="Times New Roman" w:hAnsi="Times New Roman" w:cs="Times New Roman"/>
          <w:color w:val="auto"/>
          <w:sz w:val="24"/>
          <w:szCs w:val="24"/>
        </w:rPr>
        <w:t xml:space="preserve"> pokračovanie projektu </w:t>
      </w:r>
      <w:proofErr w:type="spellStart"/>
      <w:r w:rsidR="001803FE">
        <w:rPr>
          <w:rFonts w:ascii="Times New Roman" w:hAnsi="Times New Roman" w:cs="Times New Roman"/>
          <w:color w:val="auto"/>
          <w:sz w:val="24"/>
          <w:szCs w:val="24"/>
        </w:rPr>
        <w:t>CA</w:t>
      </w:r>
      <w:proofErr w:type="spellEnd"/>
      <w:r w:rsidR="001803FE">
        <w:rPr>
          <w:rFonts w:ascii="Times New Roman" w:hAnsi="Times New Roman" w:cs="Times New Roman"/>
          <w:color w:val="auto"/>
          <w:sz w:val="24"/>
          <w:szCs w:val="24"/>
        </w:rPr>
        <w:t xml:space="preserve"> </w:t>
      </w:r>
      <w:proofErr w:type="spellStart"/>
      <w:r w:rsidR="001803FE">
        <w:rPr>
          <w:rFonts w:ascii="Times New Roman" w:hAnsi="Times New Roman" w:cs="Times New Roman"/>
          <w:color w:val="auto"/>
          <w:sz w:val="24"/>
          <w:szCs w:val="24"/>
        </w:rPr>
        <w:t>RES</w:t>
      </w:r>
      <w:proofErr w:type="spellEnd"/>
    </w:p>
    <w:p w:rsidR="001803FE" w:rsidRPr="002834DF" w:rsidRDefault="001803FE" w:rsidP="001803FE">
      <w:pPr>
        <w:pStyle w:val="PredformtovanHTML"/>
        <w:tabs>
          <w:tab w:val="clear" w:pos="916"/>
          <w:tab w:val="left" w:pos="709"/>
        </w:tabs>
        <w:spacing w:after="0" w:line="240" w:lineRule="auto"/>
        <w:ind w:left="720"/>
        <w:jc w:val="both"/>
        <w:rPr>
          <w:rFonts w:ascii="Times New Roman" w:hAnsi="Times New Roman" w:cs="Times New Roman"/>
          <w:color w:val="auto"/>
          <w:sz w:val="24"/>
          <w:szCs w:val="24"/>
        </w:rPr>
      </w:pPr>
    </w:p>
    <w:p w:rsidR="002834DF" w:rsidRPr="002834DF" w:rsidRDefault="001803FE" w:rsidP="00142C82">
      <w:pPr>
        <w:pStyle w:val="PredformtovanHTML"/>
        <w:tabs>
          <w:tab w:val="clear" w:pos="916"/>
          <w:tab w:val="left" w:pos="709"/>
        </w:tabs>
        <w:spacing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ab/>
      </w:r>
      <w:r w:rsidR="002834DF" w:rsidRPr="00CB5B0C">
        <w:rPr>
          <w:rFonts w:ascii="Times New Roman" w:hAnsi="Times New Roman" w:cs="Times New Roman"/>
          <w:color w:val="auto"/>
          <w:sz w:val="24"/>
          <w:szCs w:val="24"/>
        </w:rPr>
        <w:t xml:space="preserve">Celkové výdavky na projekt v roku 2013 dosiahli sumu 10 228,53 </w:t>
      </w:r>
      <w:r w:rsidR="00CB5B0C" w:rsidRPr="00CB5B0C">
        <w:rPr>
          <w:rFonts w:ascii="Times New Roman" w:hAnsi="Times New Roman" w:cs="Times New Roman"/>
          <w:sz w:val="24"/>
          <w:szCs w:val="24"/>
        </w:rPr>
        <w:t>eur</w:t>
      </w:r>
      <w:r w:rsidR="002834DF" w:rsidRPr="00CB5B0C">
        <w:rPr>
          <w:rFonts w:ascii="Times New Roman" w:hAnsi="Times New Roman" w:cs="Times New Roman"/>
          <w:color w:val="auto"/>
          <w:sz w:val="24"/>
          <w:szCs w:val="24"/>
        </w:rPr>
        <w:t>, príspevok z EÚ 100 %. Projekt je zameraný na výmenu skúseností implementácie smernice o obnoviteľných</w:t>
      </w:r>
      <w:r w:rsidR="002834DF" w:rsidRPr="002834DF">
        <w:rPr>
          <w:rFonts w:ascii="Times New Roman" w:hAnsi="Times New Roman" w:cs="Times New Roman"/>
          <w:color w:val="auto"/>
          <w:sz w:val="24"/>
          <w:szCs w:val="24"/>
        </w:rPr>
        <w:t xml:space="preserve"> zdrojoch energie a podporu zosúladenia jej implementácie v členských štátoch EÚ. Cieľom projektu je urýchliť a harmonizovať implementáciu smernice európskeho parlamentu a rady 2009/28/ES z 23. apríla 2009 o podpore využívania energie z obnoviteľných zdrojov energie v členských a asociovaných štátoch EÚ. Piati zástupcovia </w:t>
      </w:r>
      <w:proofErr w:type="spellStart"/>
      <w:r w:rsidR="002834DF" w:rsidRPr="002834DF">
        <w:rPr>
          <w:rFonts w:ascii="Times New Roman" w:hAnsi="Times New Roman" w:cs="Times New Roman"/>
          <w:color w:val="auto"/>
          <w:sz w:val="24"/>
          <w:szCs w:val="24"/>
        </w:rPr>
        <w:t>SIEA</w:t>
      </w:r>
      <w:proofErr w:type="spellEnd"/>
      <w:r w:rsidR="002834DF" w:rsidRPr="002834DF">
        <w:rPr>
          <w:rFonts w:ascii="Times New Roman" w:hAnsi="Times New Roman" w:cs="Times New Roman"/>
          <w:color w:val="auto"/>
          <w:sz w:val="24"/>
          <w:szCs w:val="24"/>
        </w:rPr>
        <w:t xml:space="preserve"> a jeden zástupca MH SR sa v roku 2015  zúčastnili na dvoch plenárnych zasadnutiach. Ku každému stretnutiu </w:t>
      </w:r>
      <w:proofErr w:type="spellStart"/>
      <w:r w:rsidR="002834DF" w:rsidRPr="002834DF">
        <w:rPr>
          <w:rFonts w:ascii="Times New Roman" w:hAnsi="Times New Roman" w:cs="Times New Roman"/>
          <w:color w:val="auto"/>
          <w:sz w:val="24"/>
          <w:szCs w:val="24"/>
        </w:rPr>
        <w:t>CA</w:t>
      </w:r>
      <w:proofErr w:type="spellEnd"/>
      <w:r w:rsidR="002834DF" w:rsidRPr="002834DF">
        <w:rPr>
          <w:rFonts w:ascii="Times New Roman" w:hAnsi="Times New Roman" w:cs="Times New Roman"/>
          <w:color w:val="auto"/>
          <w:sz w:val="24"/>
          <w:szCs w:val="24"/>
        </w:rPr>
        <w:t xml:space="preserve"> </w:t>
      </w:r>
      <w:proofErr w:type="spellStart"/>
      <w:r w:rsidR="002834DF" w:rsidRPr="002834DF">
        <w:rPr>
          <w:rFonts w:ascii="Times New Roman" w:hAnsi="Times New Roman" w:cs="Times New Roman"/>
          <w:color w:val="auto"/>
          <w:sz w:val="24"/>
          <w:szCs w:val="24"/>
        </w:rPr>
        <w:t>RES</w:t>
      </w:r>
      <w:proofErr w:type="spellEnd"/>
      <w:r w:rsidR="002834DF" w:rsidRPr="002834DF">
        <w:rPr>
          <w:rFonts w:ascii="Times New Roman" w:hAnsi="Times New Roman" w:cs="Times New Roman"/>
          <w:color w:val="auto"/>
          <w:sz w:val="24"/>
          <w:szCs w:val="24"/>
        </w:rPr>
        <w:t xml:space="preserve"> boli  vypracované dotazníky za SR pre jednotlivé pracovné skupiny, resp. prezentácie o danej problematike a následne boli pripomienkované súhrnné správy za jednotlivé pracovné skupiny. </w:t>
      </w:r>
    </w:p>
    <w:p w:rsidR="002834DF" w:rsidRPr="00CB5B0C" w:rsidRDefault="002834DF" w:rsidP="00CB5B0C">
      <w:pPr>
        <w:pStyle w:val="PredformtovanHTML"/>
        <w:spacing w:after="0" w:line="240" w:lineRule="auto"/>
        <w:jc w:val="both"/>
        <w:rPr>
          <w:rFonts w:ascii="Times New Roman" w:hAnsi="Times New Roman" w:cs="Times New Roman"/>
          <w:color w:val="auto"/>
          <w:sz w:val="24"/>
          <w:szCs w:val="24"/>
        </w:rPr>
      </w:pPr>
      <w:r w:rsidRPr="00CB5B0C">
        <w:rPr>
          <w:rFonts w:ascii="Times New Roman" w:hAnsi="Times New Roman" w:cs="Times New Roman"/>
          <w:color w:val="auto"/>
          <w:sz w:val="24"/>
          <w:szCs w:val="24"/>
        </w:rPr>
        <w:t xml:space="preserve">Celkový rozpočet projektu: 71 011,00 </w:t>
      </w:r>
      <w:r w:rsidR="00CB5B0C" w:rsidRPr="00CB5B0C">
        <w:rPr>
          <w:rFonts w:ascii="Times New Roman" w:hAnsi="Times New Roman" w:cs="Times New Roman"/>
          <w:sz w:val="24"/>
          <w:szCs w:val="24"/>
        </w:rPr>
        <w:t>eur</w:t>
      </w:r>
    </w:p>
    <w:p w:rsidR="002834DF" w:rsidRPr="00CB5B0C" w:rsidRDefault="002834DF" w:rsidP="00CB5B0C">
      <w:pPr>
        <w:pStyle w:val="PredformtovanHTML"/>
        <w:spacing w:after="0" w:line="240" w:lineRule="auto"/>
        <w:jc w:val="both"/>
        <w:rPr>
          <w:rFonts w:ascii="Times New Roman" w:hAnsi="Times New Roman" w:cs="Times New Roman"/>
          <w:color w:val="auto"/>
          <w:sz w:val="24"/>
          <w:szCs w:val="24"/>
        </w:rPr>
      </w:pPr>
      <w:r w:rsidRPr="00CB5B0C">
        <w:rPr>
          <w:rFonts w:ascii="Times New Roman" w:hAnsi="Times New Roman" w:cs="Times New Roman"/>
          <w:color w:val="auto"/>
          <w:sz w:val="24"/>
          <w:szCs w:val="24"/>
        </w:rPr>
        <w:t xml:space="preserve">Začiatok: 02.08.2013  </w:t>
      </w:r>
      <w:r w:rsidR="001803FE">
        <w:rPr>
          <w:rFonts w:ascii="Times New Roman" w:hAnsi="Times New Roman" w:cs="Times New Roman"/>
          <w:color w:val="auto"/>
          <w:sz w:val="24"/>
          <w:szCs w:val="24"/>
        </w:rPr>
        <w:tab/>
      </w:r>
      <w:r w:rsidRPr="00CB5B0C">
        <w:rPr>
          <w:rFonts w:ascii="Times New Roman" w:hAnsi="Times New Roman" w:cs="Times New Roman"/>
          <w:color w:val="auto"/>
          <w:sz w:val="24"/>
          <w:szCs w:val="24"/>
        </w:rPr>
        <w:t>Koniec: 01.08.2016</w:t>
      </w:r>
    </w:p>
    <w:p w:rsidR="002834DF" w:rsidRDefault="002834DF" w:rsidP="001803FE">
      <w:pPr>
        <w:numPr>
          <w:ilvl w:val="0"/>
          <w:numId w:val="32"/>
        </w:numPr>
        <w:spacing w:before="240" w:after="0" w:line="240" w:lineRule="auto"/>
        <w:rPr>
          <w:rFonts w:ascii="Times New Roman" w:hAnsi="Times New Roman" w:cs="Times New Roman"/>
          <w:sz w:val="24"/>
          <w:szCs w:val="24"/>
        </w:rPr>
      </w:pPr>
      <w:proofErr w:type="spellStart"/>
      <w:r w:rsidRPr="002834DF">
        <w:rPr>
          <w:rFonts w:ascii="Times New Roman" w:hAnsi="Times New Roman" w:cs="Times New Roman"/>
          <w:b/>
          <w:sz w:val="24"/>
          <w:szCs w:val="24"/>
        </w:rPr>
        <w:t>BUILD</w:t>
      </w:r>
      <w:proofErr w:type="spellEnd"/>
      <w:r w:rsidRPr="002834DF">
        <w:rPr>
          <w:rFonts w:ascii="Times New Roman" w:hAnsi="Times New Roman" w:cs="Times New Roman"/>
          <w:b/>
          <w:sz w:val="24"/>
          <w:szCs w:val="24"/>
        </w:rPr>
        <w:t xml:space="preserve"> UP Skills – </w:t>
      </w:r>
      <w:proofErr w:type="spellStart"/>
      <w:r w:rsidRPr="002834DF">
        <w:rPr>
          <w:rFonts w:ascii="Times New Roman" w:hAnsi="Times New Roman" w:cs="Times New Roman"/>
          <w:b/>
          <w:sz w:val="24"/>
          <w:szCs w:val="24"/>
        </w:rPr>
        <w:t>STAVEDU</w:t>
      </w:r>
      <w:proofErr w:type="spellEnd"/>
      <w:r w:rsidRPr="002834DF">
        <w:rPr>
          <w:rFonts w:ascii="Times New Roman" w:hAnsi="Times New Roman" w:cs="Times New Roman"/>
          <w:sz w:val="24"/>
          <w:szCs w:val="24"/>
        </w:rPr>
        <w:t xml:space="preserve"> – program </w:t>
      </w:r>
      <w:proofErr w:type="spellStart"/>
      <w:r w:rsidRPr="002834DF">
        <w:rPr>
          <w:rFonts w:ascii="Times New Roman" w:hAnsi="Times New Roman" w:cs="Times New Roman"/>
          <w:sz w:val="24"/>
          <w:szCs w:val="24"/>
        </w:rPr>
        <w:t>IEE</w:t>
      </w:r>
      <w:proofErr w:type="spellEnd"/>
    </w:p>
    <w:p w:rsidR="00CB5B0C" w:rsidRPr="002834DF" w:rsidRDefault="00CB5B0C" w:rsidP="00CB5B0C">
      <w:pPr>
        <w:spacing w:after="0" w:line="240" w:lineRule="auto"/>
        <w:ind w:left="720"/>
        <w:rPr>
          <w:rFonts w:ascii="Times New Roman" w:hAnsi="Times New Roman" w:cs="Times New Roman"/>
          <w:sz w:val="24"/>
          <w:szCs w:val="24"/>
        </w:rPr>
      </w:pPr>
    </w:p>
    <w:p w:rsidR="002834DF" w:rsidRDefault="002834DF" w:rsidP="00CB5B0C">
      <w:pPr>
        <w:pStyle w:val="Normlnywebov"/>
        <w:spacing w:after="0" w:line="240" w:lineRule="auto"/>
        <w:ind w:firstLine="709"/>
        <w:jc w:val="both"/>
        <w:rPr>
          <w:rFonts w:ascii="Times New Roman" w:hAnsi="Times New Roman" w:cs="Times New Roman"/>
          <w:sz w:val="24"/>
          <w:szCs w:val="24"/>
        </w:rPr>
      </w:pPr>
      <w:r w:rsidRPr="002834DF">
        <w:rPr>
          <w:rFonts w:ascii="Times New Roman" w:hAnsi="Times New Roman" w:cs="Times New Roman"/>
          <w:sz w:val="24"/>
          <w:szCs w:val="24"/>
        </w:rPr>
        <w:t xml:space="preserve">Celkové výdavky na projekt v roku 2015 dosiahli </w:t>
      </w:r>
      <w:r w:rsidRPr="00CB5B0C">
        <w:rPr>
          <w:rFonts w:ascii="Times New Roman" w:hAnsi="Times New Roman" w:cs="Times New Roman"/>
          <w:sz w:val="24"/>
          <w:szCs w:val="24"/>
        </w:rPr>
        <w:t xml:space="preserve">3 988,85 </w:t>
      </w:r>
      <w:r w:rsidR="00CB5B0C" w:rsidRPr="00CB5B0C">
        <w:rPr>
          <w:rFonts w:ascii="Times New Roman" w:hAnsi="Times New Roman" w:cs="Times New Roman"/>
          <w:sz w:val="24"/>
          <w:szCs w:val="24"/>
        </w:rPr>
        <w:t>eur</w:t>
      </w:r>
      <w:r w:rsidRPr="00CB5B0C">
        <w:rPr>
          <w:rFonts w:ascii="Times New Roman" w:hAnsi="Times New Roman" w:cs="Times New Roman"/>
          <w:sz w:val="24"/>
          <w:szCs w:val="24"/>
        </w:rPr>
        <w:t>, príspevok z EÚ 75 %.</w:t>
      </w:r>
      <w:r w:rsidRPr="002834DF">
        <w:rPr>
          <w:rFonts w:ascii="Times New Roman" w:hAnsi="Times New Roman" w:cs="Times New Roman"/>
          <w:sz w:val="24"/>
          <w:szCs w:val="24"/>
        </w:rPr>
        <w:t xml:space="preserve"> Národný projekt spolufinancovaný z prostriedkov EÚ, ktorý začal v júli 2014, je zameraný na skvalitnenie odbornej prípravy a vzdelávania pracovníkov (najmä remeselníkov, inštalatérov a technikov združených v 9 skupinách profesií) v stavebníctve na Slovensku. Jeho úlohou je vytvoriť národný systém ďalšieho vzdelávania a kvalifikácie pre remeselníkov a pracovníkov na stavbách pre oblasť</w:t>
      </w:r>
      <w:r w:rsidRPr="002834DF">
        <w:rPr>
          <w:rFonts w:ascii="Times New Roman" w:hAnsi="Times New Roman" w:cs="Times New Roman"/>
          <w:color w:val="008000"/>
          <w:sz w:val="24"/>
          <w:szCs w:val="24"/>
        </w:rPr>
        <w:t xml:space="preserve"> </w:t>
      </w:r>
      <w:r w:rsidRPr="002834DF">
        <w:rPr>
          <w:rFonts w:ascii="Times New Roman" w:hAnsi="Times New Roman" w:cs="Times New Roman"/>
          <w:sz w:val="24"/>
          <w:szCs w:val="24"/>
        </w:rPr>
        <w:t xml:space="preserve">energetická efektívnosť a využitie obnoviteľných zdrojov energie v budovách. Projekt koordinuje Zväz stavebných podnikateľov Slovenska. V druhom roku konania projektu sa uskutočnilo päť stretnutí projektových manažérov z jednotlivých partnerských organizácií, na ktorých sa zúčastnili zástupcovia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dva krát zasadal riadiaci výbor projektu a stretnutia expertných tímov, pripravili sa kvalifikačné a hodnotiace štandardy ako aj učebné plány pre vzdelávacie kurzy pre osem profesií.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pripravovala podklady a pripomienky k propagačným materiálom projektu a pripravovala verejné obstarávanie na dodávateľov učebných programov a školiacich kurzov ako aj aktualizovala indikátory projektu. Hlavná časť prác v pôsobnosti </w:t>
      </w:r>
      <w:proofErr w:type="spellStart"/>
      <w:r w:rsidRPr="002834DF">
        <w:rPr>
          <w:rFonts w:ascii="Times New Roman" w:hAnsi="Times New Roman" w:cs="Times New Roman"/>
          <w:sz w:val="24"/>
          <w:szCs w:val="24"/>
        </w:rPr>
        <w:t>SIEA</w:t>
      </w:r>
      <w:proofErr w:type="spellEnd"/>
      <w:r w:rsidRPr="002834DF">
        <w:rPr>
          <w:rFonts w:ascii="Times New Roman" w:hAnsi="Times New Roman" w:cs="Times New Roman"/>
          <w:sz w:val="24"/>
          <w:szCs w:val="24"/>
        </w:rPr>
        <w:t xml:space="preserve"> sa vykoná v priebehu rokov 2016 a 2017.</w:t>
      </w:r>
    </w:p>
    <w:p w:rsidR="00CB5B0C" w:rsidRPr="002834DF" w:rsidRDefault="00CB5B0C" w:rsidP="00CB5B0C">
      <w:pPr>
        <w:pStyle w:val="Normlnywebov"/>
        <w:spacing w:after="0" w:line="240" w:lineRule="auto"/>
        <w:ind w:firstLine="709"/>
        <w:jc w:val="both"/>
        <w:rPr>
          <w:rFonts w:ascii="Times New Roman" w:hAnsi="Times New Roman" w:cs="Times New Roman"/>
          <w:sz w:val="24"/>
          <w:szCs w:val="24"/>
        </w:rPr>
      </w:pPr>
    </w:p>
    <w:p w:rsidR="002834DF" w:rsidRPr="00CB5B0C" w:rsidRDefault="002834DF" w:rsidP="002834DF">
      <w:pPr>
        <w:pStyle w:val="Normlnywebov"/>
        <w:spacing w:after="0" w:line="240" w:lineRule="auto"/>
        <w:jc w:val="both"/>
        <w:rPr>
          <w:rFonts w:ascii="Times New Roman" w:hAnsi="Times New Roman" w:cs="Times New Roman"/>
          <w:sz w:val="24"/>
          <w:szCs w:val="24"/>
        </w:rPr>
      </w:pPr>
      <w:r w:rsidRPr="00CB5B0C">
        <w:rPr>
          <w:rFonts w:ascii="Times New Roman" w:hAnsi="Times New Roman" w:cs="Times New Roman"/>
          <w:sz w:val="24"/>
          <w:szCs w:val="24"/>
        </w:rPr>
        <w:t xml:space="preserve">Celkový rozpočet projektu: 191 985,00 </w:t>
      </w:r>
      <w:r w:rsidR="00CB5B0C" w:rsidRPr="00CB5B0C">
        <w:rPr>
          <w:rFonts w:ascii="Times New Roman" w:hAnsi="Times New Roman" w:cs="Times New Roman"/>
          <w:sz w:val="24"/>
          <w:szCs w:val="24"/>
        </w:rPr>
        <w:t>eur</w:t>
      </w:r>
    </w:p>
    <w:p w:rsidR="002834DF" w:rsidRPr="00CB5B0C" w:rsidRDefault="002834DF" w:rsidP="002834DF">
      <w:pPr>
        <w:pStyle w:val="Normlnywebov"/>
        <w:spacing w:after="0" w:line="240" w:lineRule="auto"/>
        <w:jc w:val="both"/>
        <w:rPr>
          <w:rFonts w:ascii="Times New Roman" w:hAnsi="Times New Roman" w:cs="Times New Roman"/>
          <w:sz w:val="24"/>
          <w:szCs w:val="24"/>
        </w:rPr>
      </w:pPr>
      <w:r w:rsidRPr="00CB5B0C">
        <w:rPr>
          <w:rFonts w:ascii="Times New Roman" w:hAnsi="Times New Roman" w:cs="Times New Roman"/>
          <w:sz w:val="24"/>
          <w:szCs w:val="24"/>
        </w:rPr>
        <w:t xml:space="preserve">Začiatok: 17.07.2014  </w:t>
      </w:r>
      <w:r w:rsidR="001803FE">
        <w:rPr>
          <w:rFonts w:ascii="Times New Roman" w:hAnsi="Times New Roman" w:cs="Times New Roman"/>
          <w:sz w:val="24"/>
          <w:szCs w:val="24"/>
        </w:rPr>
        <w:tab/>
      </w:r>
      <w:r w:rsidRPr="00CB5B0C">
        <w:rPr>
          <w:rFonts w:ascii="Times New Roman" w:hAnsi="Times New Roman" w:cs="Times New Roman"/>
          <w:sz w:val="24"/>
          <w:szCs w:val="24"/>
        </w:rPr>
        <w:t>Koniec: 17.07.2017</w:t>
      </w:r>
    </w:p>
    <w:p w:rsidR="002834DF" w:rsidRDefault="002834DF" w:rsidP="001803FE">
      <w:pPr>
        <w:pStyle w:val="PredformtovanHTML"/>
        <w:numPr>
          <w:ilvl w:val="0"/>
          <w:numId w:val="32"/>
        </w:numPr>
        <w:tabs>
          <w:tab w:val="clear" w:pos="916"/>
          <w:tab w:val="left" w:pos="709"/>
        </w:tabs>
        <w:spacing w:before="240" w:after="0" w:line="240" w:lineRule="auto"/>
        <w:jc w:val="both"/>
        <w:rPr>
          <w:rStyle w:val="Siln"/>
          <w:rFonts w:ascii="Times New Roman" w:hAnsi="Times New Roman"/>
          <w:b w:val="0"/>
          <w:color w:val="auto"/>
          <w:sz w:val="24"/>
          <w:szCs w:val="24"/>
        </w:rPr>
      </w:pPr>
      <w:r w:rsidRPr="002834DF">
        <w:rPr>
          <w:rStyle w:val="Siln"/>
          <w:rFonts w:ascii="Times New Roman" w:hAnsi="Times New Roman"/>
          <w:color w:val="auto"/>
          <w:sz w:val="24"/>
          <w:szCs w:val="24"/>
        </w:rPr>
        <w:t xml:space="preserve">BiomassPolicies – Strategic Initiative for Resource Efficient Biomass Policies </w:t>
      </w:r>
      <w:r w:rsidRPr="002834DF">
        <w:rPr>
          <w:rStyle w:val="Siln"/>
          <w:rFonts w:ascii="Times New Roman" w:hAnsi="Times New Roman"/>
          <w:b w:val="0"/>
          <w:color w:val="auto"/>
          <w:sz w:val="24"/>
          <w:szCs w:val="24"/>
        </w:rPr>
        <w:t xml:space="preserve">– program </w:t>
      </w:r>
      <w:proofErr w:type="spellStart"/>
      <w:r w:rsidRPr="002834DF">
        <w:rPr>
          <w:rStyle w:val="Siln"/>
          <w:rFonts w:ascii="Times New Roman" w:hAnsi="Times New Roman"/>
          <w:b w:val="0"/>
          <w:color w:val="auto"/>
          <w:sz w:val="24"/>
          <w:szCs w:val="24"/>
        </w:rPr>
        <w:t>IEE</w:t>
      </w:r>
      <w:proofErr w:type="spellEnd"/>
    </w:p>
    <w:p w:rsidR="001803FE" w:rsidRPr="002834DF" w:rsidRDefault="001803FE" w:rsidP="001803FE">
      <w:pPr>
        <w:pStyle w:val="PredformtovanHTML"/>
        <w:tabs>
          <w:tab w:val="clear" w:pos="916"/>
          <w:tab w:val="left" w:pos="709"/>
        </w:tabs>
        <w:spacing w:after="0" w:line="240" w:lineRule="auto"/>
        <w:ind w:left="720"/>
        <w:jc w:val="both"/>
        <w:rPr>
          <w:rStyle w:val="Siln"/>
          <w:rFonts w:ascii="Times New Roman" w:hAnsi="Times New Roman"/>
          <w:b w:val="0"/>
          <w:color w:val="auto"/>
          <w:sz w:val="24"/>
          <w:szCs w:val="24"/>
        </w:rPr>
      </w:pPr>
    </w:p>
    <w:p w:rsidR="002834DF" w:rsidRPr="00CB5B0C" w:rsidRDefault="001803FE" w:rsidP="00334B8D">
      <w:pPr>
        <w:pStyle w:val="PredformtovanHTML"/>
        <w:tabs>
          <w:tab w:val="clear" w:pos="916"/>
          <w:tab w:val="left" w:pos="709"/>
        </w:tabs>
        <w:spacing w:after="0" w:line="240" w:lineRule="auto"/>
        <w:jc w:val="both"/>
        <w:rPr>
          <w:rStyle w:val="Siln"/>
          <w:rFonts w:ascii="Times New Roman" w:hAnsi="Times New Roman"/>
          <w:b w:val="0"/>
          <w:color w:val="auto"/>
          <w:sz w:val="24"/>
          <w:szCs w:val="24"/>
        </w:rPr>
      </w:pPr>
      <w:r>
        <w:rPr>
          <w:rStyle w:val="Siln"/>
          <w:rFonts w:ascii="Times New Roman" w:hAnsi="Times New Roman"/>
          <w:b w:val="0"/>
          <w:color w:val="auto"/>
          <w:sz w:val="24"/>
          <w:szCs w:val="24"/>
        </w:rPr>
        <w:tab/>
      </w:r>
      <w:r w:rsidR="002834DF" w:rsidRPr="00CB5B0C">
        <w:rPr>
          <w:rStyle w:val="Siln"/>
          <w:rFonts w:ascii="Times New Roman" w:hAnsi="Times New Roman"/>
          <w:b w:val="0"/>
          <w:color w:val="auto"/>
          <w:sz w:val="24"/>
          <w:szCs w:val="24"/>
        </w:rPr>
        <w:t>Celkové výdavky na projekt v roku 2015 dosiahli  7 377,7</w:t>
      </w:r>
      <w:r w:rsidR="00CB5B0C" w:rsidRPr="00CB5B0C">
        <w:rPr>
          <w:rStyle w:val="Siln"/>
          <w:rFonts w:ascii="Times New Roman" w:hAnsi="Times New Roman"/>
          <w:b w:val="0"/>
          <w:color w:val="auto"/>
          <w:sz w:val="24"/>
          <w:szCs w:val="24"/>
        </w:rPr>
        <w:t>0</w:t>
      </w:r>
      <w:r w:rsidR="002834DF" w:rsidRPr="00CB5B0C">
        <w:rPr>
          <w:rStyle w:val="Siln"/>
          <w:rFonts w:ascii="Times New Roman" w:hAnsi="Times New Roman"/>
          <w:b w:val="0"/>
          <w:color w:val="auto"/>
          <w:sz w:val="24"/>
          <w:szCs w:val="24"/>
        </w:rPr>
        <w:t xml:space="preserve"> </w:t>
      </w:r>
      <w:r w:rsidR="00CB5B0C" w:rsidRPr="00CB5B0C">
        <w:rPr>
          <w:rFonts w:ascii="Times New Roman" w:hAnsi="Times New Roman" w:cs="Times New Roman"/>
          <w:sz w:val="24"/>
          <w:szCs w:val="24"/>
        </w:rPr>
        <w:t>eur</w:t>
      </w:r>
      <w:r w:rsidR="002834DF" w:rsidRPr="00CB5B0C">
        <w:rPr>
          <w:rStyle w:val="Siln"/>
          <w:rFonts w:ascii="Times New Roman" w:hAnsi="Times New Roman"/>
          <w:b w:val="0"/>
          <w:color w:val="auto"/>
          <w:sz w:val="24"/>
          <w:szCs w:val="24"/>
        </w:rPr>
        <w:t>, príspevok z EÚ 75 %.</w:t>
      </w:r>
    </w:p>
    <w:p w:rsidR="002834DF" w:rsidRDefault="002834DF" w:rsidP="001803FE">
      <w:pPr>
        <w:pStyle w:val="PredformtovanHTML"/>
        <w:spacing w:after="0" w:line="240" w:lineRule="auto"/>
        <w:jc w:val="both"/>
        <w:rPr>
          <w:rStyle w:val="Siln"/>
          <w:rFonts w:ascii="Times New Roman" w:hAnsi="Times New Roman"/>
          <w:b w:val="0"/>
          <w:color w:val="auto"/>
          <w:sz w:val="24"/>
          <w:szCs w:val="24"/>
        </w:rPr>
      </w:pPr>
      <w:r w:rsidRPr="002834DF">
        <w:rPr>
          <w:rStyle w:val="Siln"/>
          <w:rFonts w:ascii="Times New Roman" w:hAnsi="Times New Roman"/>
          <w:b w:val="0"/>
          <w:bCs w:val="0"/>
          <w:color w:val="auto"/>
          <w:sz w:val="24"/>
          <w:szCs w:val="24"/>
        </w:rPr>
        <w:t>Projekt</w:t>
      </w:r>
      <w:r w:rsidRPr="002834DF">
        <w:rPr>
          <w:rStyle w:val="Siln"/>
          <w:rFonts w:ascii="Times New Roman" w:hAnsi="Times New Roman"/>
          <w:b w:val="0"/>
          <w:color w:val="auto"/>
          <w:sz w:val="24"/>
          <w:szCs w:val="24"/>
        </w:rPr>
        <w:t xml:space="preserve"> sa začal v marci 2013 a je zameraný na rozvíjanie integrovaných politík pre mobilizáciu efektívneho využívania biomasy a jej hodnotových reťazcov s cieľom prispieť k plneniu bioenergetických cieľov stanovených v rámci Národného akčného plánu pre obnoviteľné zdroje a v rámci politík </w:t>
      </w:r>
      <w:proofErr w:type="spellStart"/>
      <w:r w:rsidRPr="002834DF">
        <w:rPr>
          <w:rStyle w:val="Siln"/>
          <w:rFonts w:ascii="Times New Roman" w:hAnsi="Times New Roman"/>
          <w:b w:val="0"/>
          <w:color w:val="auto"/>
          <w:sz w:val="24"/>
          <w:szCs w:val="24"/>
        </w:rPr>
        <w:t>EU27</w:t>
      </w:r>
      <w:proofErr w:type="spellEnd"/>
      <w:r w:rsidRPr="002834DF">
        <w:rPr>
          <w:rStyle w:val="Siln"/>
          <w:rFonts w:ascii="Times New Roman" w:hAnsi="Times New Roman"/>
          <w:b w:val="0"/>
          <w:color w:val="auto"/>
          <w:sz w:val="24"/>
          <w:szCs w:val="24"/>
        </w:rPr>
        <w:t>. Zmyslom projektu je vytvorenie databázy vedomostí o čo najefektívnejšom využití hodnotových reťazcov biomasy na národnej úrovni pre jednotlivé členské krajiny, z ktorých by sa čerpalo pri vytváraní na mieru šitých politík.</w:t>
      </w:r>
      <w:r w:rsidRPr="002834DF">
        <w:rPr>
          <w:rStyle w:val="Siln"/>
          <w:rFonts w:ascii="Times New Roman" w:hAnsi="Times New Roman"/>
          <w:b w:val="0"/>
          <w:bCs w:val="0"/>
          <w:color w:val="auto"/>
          <w:sz w:val="24"/>
          <w:szCs w:val="24"/>
        </w:rPr>
        <w:t xml:space="preserve"> Aktívne zapojenie národných agentúr v rámci projektu výrazne zvýši očakávaný dopad na národnej politickej úrovni. </w:t>
      </w:r>
      <w:r w:rsidRPr="002834DF">
        <w:rPr>
          <w:rStyle w:val="Siln"/>
          <w:rFonts w:ascii="Times New Roman" w:hAnsi="Times New Roman"/>
          <w:b w:val="0"/>
          <w:color w:val="auto"/>
          <w:sz w:val="24"/>
          <w:szCs w:val="24"/>
        </w:rPr>
        <w:t>V roku 2015 sa konali dve stretnutia projektových manažérov zúčastnených strán. Bola vypracovaná databáza energetických politík týkajúcich sa biomasy, doplnené údaje o poskytnutých podporách pre biomasu a odhad potenciálu biomasy ako i odhad nákladov pre jednotlivé vzdialenosti pre jednotlivé zdroje biomasy na základe štatistických a iných relevantných údajov.</w:t>
      </w:r>
    </w:p>
    <w:p w:rsidR="001803FE" w:rsidRPr="002834DF" w:rsidRDefault="001803FE" w:rsidP="001803FE">
      <w:pPr>
        <w:pStyle w:val="PredformtovanHTML"/>
        <w:spacing w:after="0" w:line="240" w:lineRule="auto"/>
        <w:jc w:val="both"/>
        <w:rPr>
          <w:rStyle w:val="Siln"/>
          <w:rFonts w:ascii="Times New Roman" w:hAnsi="Times New Roman"/>
          <w:b w:val="0"/>
          <w:color w:val="auto"/>
          <w:sz w:val="24"/>
          <w:szCs w:val="24"/>
        </w:rPr>
      </w:pPr>
    </w:p>
    <w:p w:rsidR="002834DF" w:rsidRPr="00CB5B0C" w:rsidRDefault="002834DF" w:rsidP="00CB5B0C">
      <w:pPr>
        <w:pStyle w:val="PredformtovanHTML"/>
        <w:spacing w:after="0" w:line="240" w:lineRule="auto"/>
        <w:jc w:val="both"/>
        <w:rPr>
          <w:rFonts w:ascii="Times New Roman" w:hAnsi="Times New Roman" w:cs="Times New Roman"/>
          <w:color w:val="auto"/>
          <w:sz w:val="24"/>
          <w:szCs w:val="24"/>
        </w:rPr>
      </w:pPr>
      <w:r w:rsidRPr="00CB5B0C">
        <w:rPr>
          <w:rStyle w:val="Siln"/>
          <w:rFonts w:ascii="Times New Roman" w:hAnsi="Times New Roman"/>
          <w:b w:val="0"/>
          <w:bCs w:val="0"/>
          <w:color w:val="auto"/>
          <w:sz w:val="24"/>
          <w:szCs w:val="24"/>
        </w:rPr>
        <w:t>Celkový rozpočet projektu</w:t>
      </w:r>
      <w:r w:rsidRPr="00CB5B0C">
        <w:rPr>
          <w:rFonts w:ascii="Times New Roman" w:hAnsi="Times New Roman" w:cs="Times New Roman"/>
          <w:b/>
          <w:color w:val="auto"/>
          <w:sz w:val="24"/>
          <w:szCs w:val="24"/>
        </w:rPr>
        <w:t xml:space="preserve">: </w:t>
      </w:r>
      <w:r w:rsidRPr="00CB5B0C">
        <w:rPr>
          <w:rFonts w:ascii="Times New Roman" w:hAnsi="Times New Roman" w:cs="Times New Roman"/>
          <w:color w:val="auto"/>
          <w:sz w:val="24"/>
          <w:szCs w:val="24"/>
        </w:rPr>
        <w:t xml:space="preserve">47 900,00 </w:t>
      </w:r>
      <w:r w:rsidR="00CB5B0C" w:rsidRPr="00CB5B0C">
        <w:rPr>
          <w:rFonts w:ascii="Times New Roman" w:hAnsi="Times New Roman" w:cs="Times New Roman"/>
          <w:sz w:val="24"/>
          <w:szCs w:val="24"/>
        </w:rPr>
        <w:t>eur</w:t>
      </w:r>
      <w:r w:rsidRPr="00CB5B0C">
        <w:rPr>
          <w:rFonts w:ascii="Times New Roman" w:hAnsi="Times New Roman" w:cs="Times New Roman"/>
          <w:color w:val="auto"/>
          <w:sz w:val="24"/>
          <w:szCs w:val="24"/>
        </w:rPr>
        <w:t xml:space="preserve"> </w:t>
      </w:r>
    </w:p>
    <w:p w:rsidR="002834DF" w:rsidRPr="00CB5B0C" w:rsidRDefault="002834DF" w:rsidP="00CB5B0C">
      <w:pPr>
        <w:pStyle w:val="PredformtovanHTML"/>
        <w:spacing w:after="0" w:line="240" w:lineRule="auto"/>
        <w:jc w:val="both"/>
        <w:rPr>
          <w:rStyle w:val="Siln"/>
          <w:rFonts w:ascii="Times New Roman" w:hAnsi="Times New Roman"/>
          <w:b w:val="0"/>
          <w:bCs w:val="0"/>
          <w:color w:val="auto"/>
          <w:sz w:val="24"/>
          <w:szCs w:val="24"/>
        </w:rPr>
      </w:pPr>
      <w:r w:rsidRPr="00CB5B0C">
        <w:rPr>
          <w:rStyle w:val="Siln"/>
          <w:rFonts w:ascii="Times New Roman" w:hAnsi="Times New Roman"/>
          <w:b w:val="0"/>
          <w:bCs w:val="0"/>
          <w:color w:val="auto"/>
          <w:sz w:val="24"/>
          <w:szCs w:val="24"/>
        </w:rPr>
        <w:t xml:space="preserve">Začiatok: 20.03.2013  </w:t>
      </w:r>
      <w:r w:rsidR="001803FE">
        <w:rPr>
          <w:rStyle w:val="Siln"/>
          <w:rFonts w:ascii="Times New Roman" w:hAnsi="Times New Roman"/>
          <w:b w:val="0"/>
          <w:bCs w:val="0"/>
          <w:color w:val="auto"/>
          <w:sz w:val="24"/>
          <w:szCs w:val="24"/>
        </w:rPr>
        <w:tab/>
      </w:r>
      <w:r w:rsidRPr="00CB5B0C">
        <w:rPr>
          <w:rStyle w:val="Siln"/>
          <w:rFonts w:ascii="Times New Roman" w:hAnsi="Times New Roman"/>
          <w:b w:val="0"/>
          <w:bCs w:val="0"/>
          <w:color w:val="auto"/>
          <w:sz w:val="24"/>
          <w:szCs w:val="24"/>
        </w:rPr>
        <w:t>Koniec: 19.03.2016</w:t>
      </w:r>
    </w:p>
    <w:p w:rsidR="002834DF" w:rsidRPr="002834DF" w:rsidRDefault="002834DF" w:rsidP="001803FE">
      <w:pPr>
        <w:pStyle w:val="PredformtovanHTML"/>
        <w:tabs>
          <w:tab w:val="clear" w:pos="916"/>
          <w:tab w:val="left" w:pos="709"/>
        </w:tabs>
        <w:spacing w:after="0" w:line="240" w:lineRule="auto"/>
        <w:ind w:left="720"/>
        <w:jc w:val="both"/>
        <w:rPr>
          <w:rFonts w:ascii="Times New Roman" w:hAnsi="Times New Roman" w:cs="Times New Roman"/>
          <w:b/>
          <w:color w:val="auto"/>
          <w:sz w:val="24"/>
          <w:szCs w:val="24"/>
        </w:rPr>
      </w:pPr>
    </w:p>
    <w:p w:rsidR="002834DF" w:rsidRDefault="002834DF" w:rsidP="002834DF">
      <w:pPr>
        <w:pStyle w:val="PredformtovanHTML"/>
        <w:numPr>
          <w:ilvl w:val="0"/>
          <w:numId w:val="32"/>
        </w:numPr>
        <w:tabs>
          <w:tab w:val="clear" w:pos="916"/>
          <w:tab w:val="left" w:pos="709"/>
        </w:tabs>
        <w:spacing w:after="0" w:line="240" w:lineRule="auto"/>
        <w:jc w:val="both"/>
        <w:rPr>
          <w:rStyle w:val="Siln"/>
          <w:rFonts w:ascii="Times New Roman" w:hAnsi="Times New Roman"/>
          <w:b w:val="0"/>
          <w:color w:val="auto"/>
          <w:sz w:val="24"/>
          <w:szCs w:val="24"/>
        </w:rPr>
      </w:pPr>
      <w:proofErr w:type="spellStart"/>
      <w:r w:rsidRPr="002834DF">
        <w:rPr>
          <w:rStyle w:val="Siln"/>
          <w:rFonts w:ascii="Times New Roman" w:hAnsi="Times New Roman"/>
          <w:color w:val="auto"/>
          <w:sz w:val="24"/>
          <w:szCs w:val="24"/>
        </w:rPr>
        <w:t>Bioenergy4Business</w:t>
      </w:r>
      <w:proofErr w:type="spellEnd"/>
      <w:r w:rsidRPr="002834DF">
        <w:rPr>
          <w:rStyle w:val="Siln"/>
          <w:rFonts w:ascii="Times New Roman" w:hAnsi="Times New Roman"/>
          <w:color w:val="auto"/>
          <w:sz w:val="24"/>
          <w:szCs w:val="24"/>
        </w:rPr>
        <w:t xml:space="preserve"> – </w:t>
      </w:r>
      <w:proofErr w:type="spellStart"/>
      <w:r w:rsidRPr="002834DF">
        <w:rPr>
          <w:rStyle w:val="Siln"/>
          <w:rFonts w:ascii="Times New Roman" w:hAnsi="Times New Roman"/>
          <w:color w:val="auto"/>
          <w:sz w:val="24"/>
          <w:szCs w:val="24"/>
        </w:rPr>
        <w:t>Uptake</w:t>
      </w:r>
      <w:proofErr w:type="spellEnd"/>
      <w:r w:rsidRPr="002834DF">
        <w:rPr>
          <w:rStyle w:val="Siln"/>
          <w:rFonts w:ascii="Times New Roman" w:hAnsi="Times New Roman"/>
          <w:color w:val="auto"/>
          <w:sz w:val="24"/>
          <w:szCs w:val="24"/>
        </w:rPr>
        <w:t xml:space="preserve"> of </w:t>
      </w:r>
      <w:proofErr w:type="spellStart"/>
      <w:r w:rsidRPr="002834DF">
        <w:rPr>
          <w:rStyle w:val="Siln"/>
          <w:rFonts w:ascii="Times New Roman" w:hAnsi="Times New Roman"/>
          <w:color w:val="auto"/>
          <w:sz w:val="24"/>
          <w:szCs w:val="24"/>
        </w:rPr>
        <w:t>solid</w:t>
      </w:r>
      <w:proofErr w:type="spellEnd"/>
      <w:r w:rsidRPr="002834DF">
        <w:rPr>
          <w:rStyle w:val="Siln"/>
          <w:rFonts w:ascii="Times New Roman" w:hAnsi="Times New Roman"/>
          <w:color w:val="auto"/>
          <w:sz w:val="24"/>
          <w:szCs w:val="24"/>
        </w:rPr>
        <w:t xml:space="preserve"> </w:t>
      </w:r>
      <w:proofErr w:type="spellStart"/>
      <w:r w:rsidRPr="002834DF">
        <w:rPr>
          <w:rStyle w:val="Siln"/>
          <w:rFonts w:ascii="Times New Roman" w:hAnsi="Times New Roman"/>
          <w:color w:val="auto"/>
          <w:sz w:val="24"/>
          <w:szCs w:val="24"/>
        </w:rPr>
        <w:t>bioenergy</w:t>
      </w:r>
      <w:proofErr w:type="spellEnd"/>
      <w:r w:rsidRPr="002834DF">
        <w:rPr>
          <w:rStyle w:val="Siln"/>
          <w:rFonts w:ascii="Times New Roman" w:hAnsi="Times New Roman"/>
          <w:color w:val="auto"/>
          <w:sz w:val="24"/>
          <w:szCs w:val="24"/>
        </w:rPr>
        <w:t xml:space="preserve"> in European </w:t>
      </w:r>
      <w:proofErr w:type="spellStart"/>
      <w:r w:rsidRPr="002834DF">
        <w:rPr>
          <w:rStyle w:val="Siln"/>
          <w:rFonts w:ascii="Times New Roman" w:hAnsi="Times New Roman"/>
          <w:color w:val="auto"/>
          <w:sz w:val="24"/>
          <w:szCs w:val="24"/>
        </w:rPr>
        <w:t>commercial</w:t>
      </w:r>
      <w:proofErr w:type="spellEnd"/>
      <w:r w:rsidRPr="002834DF">
        <w:rPr>
          <w:rStyle w:val="Siln"/>
          <w:rFonts w:ascii="Times New Roman" w:hAnsi="Times New Roman"/>
          <w:color w:val="auto"/>
          <w:sz w:val="24"/>
          <w:szCs w:val="24"/>
        </w:rPr>
        <w:t xml:space="preserve"> </w:t>
      </w:r>
      <w:proofErr w:type="spellStart"/>
      <w:r w:rsidRPr="002834DF">
        <w:rPr>
          <w:rStyle w:val="Siln"/>
          <w:rFonts w:ascii="Times New Roman" w:hAnsi="Times New Roman"/>
          <w:color w:val="auto"/>
          <w:sz w:val="24"/>
          <w:szCs w:val="24"/>
        </w:rPr>
        <w:t>sectors</w:t>
      </w:r>
      <w:proofErr w:type="spellEnd"/>
      <w:r w:rsidRPr="002834DF">
        <w:rPr>
          <w:rStyle w:val="Siln"/>
          <w:rFonts w:ascii="Times New Roman" w:hAnsi="Times New Roman"/>
          <w:color w:val="auto"/>
          <w:sz w:val="24"/>
          <w:szCs w:val="24"/>
        </w:rPr>
        <w:t xml:space="preserve"> (industry, </w:t>
      </w:r>
      <w:proofErr w:type="spellStart"/>
      <w:r w:rsidRPr="002834DF">
        <w:rPr>
          <w:rStyle w:val="Siln"/>
          <w:rFonts w:ascii="Times New Roman" w:hAnsi="Times New Roman"/>
          <w:color w:val="auto"/>
          <w:sz w:val="24"/>
          <w:szCs w:val="24"/>
        </w:rPr>
        <w:t>trade</w:t>
      </w:r>
      <w:proofErr w:type="spellEnd"/>
      <w:r w:rsidRPr="002834DF">
        <w:rPr>
          <w:rStyle w:val="Siln"/>
          <w:rFonts w:ascii="Times New Roman" w:hAnsi="Times New Roman"/>
          <w:color w:val="auto"/>
          <w:sz w:val="24"/>
          <w:szCs w:val="24"/>
        </w:rPr>
        <w:t xml:space="preserve">, </w:t>
      </w:r>
      <w:proofErr w:type="spellStart"/>
      <w:r w:rsidRPr="002834DF">
        <w:rPr>
          <w:rStyle w:val="Siln"/>
          <w:rFonts w:ascii="Times New Roman" w:hAnsi="Times New Roman"/>
          <w:color w:val="auto"/>
          <w:sz w:val="24"/>
          <w:szCs w:val="24"/>
        </w:rPr>
        <w:t>agricultural</w:t>
      </w:r>
      <w:proofErr w:type="spellEnd"/>
      <w:r w:rsidRPr="002834DF">
        <w:rPr>
          <w:rStyle w:val="Siln"/>
          <w:rFonts w:ascii="Times New Roman" w:hAnsi="Times New Roman"/>
          <w:color w:val="auto"/>
          <w:sz w:val="24"/>
          <w:szCs w:val="24"/>
        </w:rPr>
        <w:t xml:space="preserve"> and </w:t>
      </w:r>
      <w:proofErr w:type="spellStart"/>
      <w:r w:rsidRPr="002834DF">
        <w:rPr>
          <w:rStyle w:val="Siln"/>
          <w:rFonts w:ascii="Times New Roman" w:hAnsi="Times New Roman"/>
          <w:color w:val="auto"/>
          <w:sz w:val="24"/>
          <w:szCs w:val="24"/>
        </w:rPr>
        <w:t>service</w:t>
      </w:r>
      <w:proofErr w:type="spellEnd"/>
      <w:r w:rsidRPr="002834DF">
        <w:rPr>
          <w:rStyle w:val="Siln"/>
          <w:rFonts w:ascii="Times New Roman" w:hAnsi="Times New Roman"/>
          <w:color w:val="auto"/>
          <w:sz w:val="24"/>
          <w:szCs w:val="24"/>
        </w:rPr>
        <w:t xml:space="preserve"> </w:t>
      </w:r>
      <w:proofErr w:type="spellStart"/>
      <w:r w:rsidRPr="002834DF">
        <w:rPr>
          <w:rStyle w:val="Siln"/>
          <w:rFonts w:ascii="Times New Roman" w:hAnsi="Times New Roman"/>
          <w:color w:val="auto"/>
          <w:sz w:val="24"/>
          <w:szCs w:val="24"/>
        </w:rPr>
        <w:t>sectors</w:t>
      </w:r>
      <w:proofErr w:type="spellEnd"/>
      <w:r w:rsidRPr="002834DF">
        <w:rPr>
          <w:rStyle w:val="Siln"/>
          <w:rFonts w:ascii="Times New Roman" w:hAnsi="Times New Roman"/>
          <w:color w:val="auto"/>
          <w:sz w:val="24"/>
          <w:szCs w:val="24"/>
        </w:rPr>
        <w:t>)</w:t>
      </w:r>
      <w:r w:rsidRPr="002834DF">
        <w:rPr>
          <w:rFonts w:ascii="Times New Roman" w:hAnsi="Times New Roman" w:cs="Times New Roman"/>
          <w:sz w:val="24"/>
          <w:szCs w:val="24"/>
        </w:rPr>
        <w:t xml:space="preserve"> </w:t>
      </w:r>
      <w:r w:rsidRPr="002834DF">
        <w:rPr>
          <w:rStyle w:val="Siln"/>
          <w:rFonts w:ascii="Times New Roman" w:hAnsi="Times New Roman"/>
          <w:color w:val="auto"/>
          <w:sz w:val="24"/>
          <w:szCs w:val="24"/>
        </w:rPr>
        <w:t xml:space="preserve"> </w:t>
      </w:r>
      <w:r w:rsidRPr="002834DF">
        <w:rPr>
          <w:rStyle w:val="Siln"/>
          <w:rFonts w:ascii="Times New Roman" w:hAnsi="Times New Roman"/>
          <w:b w:val="0"/>
          <w:color w:val="auto"/>
          <w:sz w:val="24"/>
          <w:szCs w:val="24"/>
        </w:rPr>
        <w:t xml:space="preserve">– program </w:t>
      </w:r>
      <w:proofErr w:type="spellStart"/>
      <w:r w:rsidRPr="002834DF">
        <w:rPr>
          <w:rStyle w:val="Siln"/>
          <w:rFonts w:ascii="Times New Roman" w:hAnsi="Times New Roman"/>
          <w:b w:val="0"/>
          <w:color w:val="auto"/>
          <w:sz w:val="24"/>
          <w:szCs w:val="24"/>
        </w:rPr>
        <w:t>HORIZON</w:t>
      </w:r>
      <w:proofErr w:type="spellEnd"/>
      <w:r w:rsidRPr="002834DF">
        <w:rPr>
          <w:rStyle w:val="Siln"/>
          <w:rFonts w:ascii="Times New Roman" w:hAnsi="Times New Roman"/>
          <w:b w:val="0"/>
          <w:color w:val="auto"/>
          <w:sz w:val="24"/>
          <w:szCs w:val="24"/>
        </w:rPr>
        <w:t xml:space="preserve"> 2020</w:t>
      </w:r>
    </w:p>
    <w:p w:rsidR="001803FE" w:rsidRPr="002834DF" w:rsidRDefault="001803FE" w:rsidP="001803FE">
      <w:pPr>
        <w:pStyle w:val="PredformtovanHTML"/>
        <w:tabs>
          <w:tab w:val="clear" w:pos="916"/>
          <w:tab w:val="left" w:pos="709"/>
        </w:tabs>
        <w:spacing w:after="0" w:line="240" w:lineRule="auto"/>
        <w:ind w:left="720"/>
        <w:jc w:val="both"/>
        <w:rPr>
          <w:rStyle w:val="Siln"/>
          <w:rFonts w:ascii="Times New Roman" w:hAnsi="Times New Roman"/>
          <w:b w:val="0"/>
          <w:color w:val="auto"/>
          <w:sz w:val="24"/>
          <w:szCs w:val="24"/>
        </w:rPr>
      </w:pPr>
    </w:p>
    <w:p w:rsidR="002834DF" w:rsidRPr="001803FE" w:rsidRDefault="001803FE" w:rsidP="00E76D53">
      <w:pPr>
        <w:pStyle w:val="PredformtovanHTML"/>
        <w:tabs>
          <w:tab w:val="clear" w:pos="916"/>
          <w:tab w:val="left" w:pos="709"/>
        </w:tabs>
        <w:spacing w:after="0" w:line="240" w:lineRule="auto"/>
        <w:jc w:val="both"/>
        <w:rPr>
          <w:rStyle w:val="Siln"/>
          <w:rFonts w:ascii="Times New Roman" w:hAnsi="Times New Roman"/>
          <w:b w:val="0"/>
          <w:color w:val="auto"/>
          <w:sz w:val="24"/>
          <w:szCs w:val="24"/>
        </w:rPr>
      </w:pPr>
      <w:r>
        <w:rPr>
          <w:rStyle w:val="Siln"/>
          <w:rFonts w:ascii="Times New Roman" w:hAnsi="Times New Roman"/>
          <w:b w:val="0"/>
          <w:color w:val="auto"/>
          <w:sz w:val="24"/>
          <w:szCs w:val="24"/>
        </w:rPr>
        <w:tab/>
      </w:r>
      <w:r w:rsidR="002834DF" w:rsidRPr="002834DF">
        <w:rPr>
          <w:rStyle w:val="Siln"/>
          <w:rFonts w:ascii="Times New Roman" w:hAnsi="Times New Roman"/>
          <w:b w:val="0"/>
          <w:color w:val="auto"/>
          <w:sz w:val="24"/>
          <w:szCs w:val="24"/>
        </w:rPr>
        <w:t xml:space="preserve">Celkové výdavky projektu v roku 2015 dosiahli  </w:t>
      </w:r>
      <w:r w:rsidR="002834DF" w:rsidRPr="001803FE">
        <w:rPr>
          <w:rStyle w:val="Siln"/>
          <w:rFonts w:ascii="Times New Roman" w:hAnsi="Times New Roman"/>
          <w:b w:val="0"/>
          <w:color w:val="auto"/>
          <w:sz w:val="24"/>
          <w:szCs w:val="24"/>
        </w:rPr>
        <w:t xml:space="preserve">7336,74 </w:t>
      </w:r>
      <w:r w:rsidR="00CB5B0C" w:rsidRPr="001803FE">
        <w:rPr>
          <w:rFonts w:ascii="Times New Roman" w:hAnsi="Times New Roman" w:cs="Times New Roman"/>
          <w:sz w:val="24"/>
          <w:szCs w:val="24"/>
        </w:rPr>
        <w:t>eur</w:t>
      </w:r>
      <w:r w:rsidR="002834DF" w:rsidRPr="001803FE">
        <w:rPr>
          <w:rStyle w:val="Siln"/>
          <w:rFonts w:ascii="Times New Roman" w:hAnsi="Times New Roman"/>
          <w:b w:val="0"/>
          <w:color w:val="auto"/>
          <w:sz w:val="24"/>
          <w:szCs w:val="24"/>
        </w:rPr>
        <w:t>, príspevok z EÚ 100 %.</w:t>
      </w:r>
    </w:p>
    <w:p w:rsidR="002834DF" w:rsidRPr="002834DF" w:rsidRDefault="002834DF" w:rsidP="002834DF">
      <w:pPr>
        <w:pStyle w:val="PredformtovanHTML"/>
        <w:tabs>
          <w:tab w:val="clear" w:pos="916"/>
          <w:tab w:val="left" w:pos="709"/>
        </w:tabs>
        <w:spacing w:line="240" w:lineRule="auto"/>
        <w:jc w:val="both"/>
        <w:rPr>
          <w:rStyle w:val="Siln"/>
          <w:rFonts w:ascii="Times New Roman" w:hAnsi="Times New Roman"/>
          <w:b w:val="0"/>
          <w:color w:val="auto"/>
          <w:sz w:val="24"/>
          <w:szCs w:val="24"/>
        </w:rPr>
      </w:pPr>
      <w:r w:rsidRPr="002834DF">
        <w:rPr>
          <w:rStyle w:val="Siln"/>
          <w:rFonts w:ascii="Times New Roman" w:hAnsi="Times New Roman"/>
          <w:b w:val="0"/>
          <w:color w:val="auto"/>
          <w:sz w:val="24"/>
          <w:szCs w:val="24"/>
        </w:rPr>
        <w:t xml:space="preserve">Príprava projektu začala v roku 2014. Financovaný je prostredníctvom komunitárneho programu </w:t>
      </w:r>
      <w:proofErr w:type="spellStart"/>
      <w:r w:rsidRPr="002834DF">
        <w:rPr>
          <w:rStyle w:val="Siln"/>
          <w:rFonts w:ascii="Times New Roman" w:hAnsi="Times New Roman"/>
          <w:b w:val="0"/>
          <w:color w:val="auto"/>
          <w:sz w:val="24"/>
          <w:szCs w:val="24"/>
        </w:rPr>
        <w:t>HORIZON</w:t>
      </w:r>
      <w:proofErr w:type="spellEnd"/>
      <w:r w:rsidRPr="002834DF">
        <w:rPr>
          <w:rStyle w:val="Siln"/>
          <w:rFonts w:ascii="Times New Roman" w:hAnsi="Times New Roman"/>
          <w:b w:val="0"/>
          <w:color w:val="auto"/>
          <w:sz w:val="24"/>
          <w:szCs w:val="24"/>
        </w:rPr>
        <w:t xml:space="preserve"> 2020. Trvanie je plánované na 32 mesiacov. Hlavným cieľom je zvýšenie využívania pevnej biomasy ako náhrady uhlia, oleja a zemného plynu využívaných v komerčnom sektore pre účely tepla z </w:t>
      </w:r>
      <w:proofErr w:type="spellStart"/>
      <w:r w:rsidRPr="002834DF">
        <w:rPr>
          <w:rStyle w:val="Siln"/>
          <w:rFonts w:ascii="Times New Roman" w:hAnsi="Times New Roman"/>
          <w:b w:val="0"/>
          <w:color w:val="auto"/>
          <w:sz w:val="24"/>
          <w:szCs w:val="24"/>
        </w:rPr>
        <w:t>bioenergií</w:t>
      </w:r>
      <w:proofErr w:type="spellEnd"/>
      <w:r w:rsidRPr="002834DF">
        <w:rPr>
          <w:rStyle w:val="Siln"/>
          <w:rFonts w:ascii="Times New Roman" w:hAnsi="Times New Roman"/>
          <w:b w:val="0"/>
          <w:color w:val="auto"/>
          <w:sz w:val="24"/>
          <w:szCs w:val="24"/>
        </w:rPr>
        <w:t xml:space="preserve">. Projekt sa zameriava na </w:t>
      </w:r>
      <w:proofErr w:type="spellStart"/>
      <w:r w:rsidRPr="002834DF">
        <w:rPr>
          <w:rStyle w:val="Siln"/>
          <w:rFonts w:ascii="Times New Roman" w:hAnsi="Times New Roman"/>
          <w:b w:val="0"/>
          <w:color w:val="auto"/>
          <w:sz w:val="24"/>
          <w:szCs w:val="24"/>
        </w:rPr>
        <w:t>bioenergiu</w:t>
      </w:r>
      <w:proofErr w:type="spellEnd"/>
      <w:r w:rsidRPr="002834DF">
        <w:rPr>
          <w:rStyle w:val="Siln"/>
          <w:rFonts w:ascii="Times New Roman" w:hAnsi="Times New Roman"/>
          <w:b w:val="0"/>
          <w:color w:val="auto"/>
          <w:sz w:val="24"/>
          <w:szCs w:val="24"/>
        </w:rPr>
        <w:t xml:space="preserve"> z vedľajších produktov drevospracujúceho priemyslu, štiepky, slamy, </w:t>
      </w:r>
      <w:proofErr w:type="spellStart"/>
      <w:r w:rsidRPr="002834DF">
        <w:rPr>
          <w:rStyle w:val="Siln"/>
          <w:rFonts w:ascii="Times New Roman" w:hAnsi="Times New Roman"/>
          <w:b w:val="0"/>
          <w:color w:val="auto"/>
          <w:sz w:val="24"/>
          <w:szCs w:val="24"/>
        </w:rPr>
        <w:t>peliet</w:t>
      </w:r>
      <w:proofErr w:type="spellEnd"/>
      <w:r w:rsidRPr="002834DF">
        <w:rPr>
          <w:rStyle w:val="Siln"/>
          <w:rFonts w:ascii="Times New Roman" w:hAnsi="Times New Roman"/>
          <w:b w:val="0"/>
          <w:color w:val="auto"/>
          <w:sz w:val="24"/>
          <w:szCs w:val="24"/>
        </w:rPr>
        <w:t xml:space="preserve"> a pevného organického odpadu použiteľného vo väčších technologických riešeniach pre teplo v existujúcich i nových komerčných nízkoteplotných systémoch produkcie tepla, kotolniach a systémoch centrálneho zásobovania teplom. Očakáva sa prínos Dánskeho špecifického </w:t>
      </w:r>
      <w:proofErr w:type="spellStart"/>
      <w:r w:rsidRPr="002834DF">
        <w:rPr>
          <w:rStyle w:val="Siln"/>
          <w:rFonts w:ascii="Times New Roman" w:hAnsi="Times New Roman"/>
          <w:b w:val="0"/>
          <w:color w:val="auto"/>
          <w:sz w:val="24"/>
          <w:szCs w:val="24"/>
        </w:rPr>
        <w:t>know-how</w:t>
      </w:r>
      <w:proofErr w:type="spellEnd"/>
      <w:r w:rsidRPr="002834DF">
        <w:rPr>
          <w:rStyle w:val="Siln"/>
          <w:rFonts w:ascii="Times New Roman" w:hAnsi="Times New Roman"/>
          <w:b w:val="0"/>
          <w:color w:val="auto"/>
          <w:sz w:val="24"/>
          <w:szCs w:val="24"/>
        </w:rPr>
        <w:t xml:space="preserve"> na podporu rámcových podmienok pre využitie slamy a plánovanie využitia reťazcov a technológii premeny </w:t>
      </w:r>
      <w:proofErr w:type="spellStart"/>
      <w:r w:rsidRPr="002834DF">
        <w:rPr>
          <w:rStyle w:val="Siln"/>
          <w:rFonts w:ascii="Times New Roman" w:hAnsi="Times New Roman"/>
          <w:b w:val="0"/>
          <w:color w:val="auto"/>
          <w:sz w:val="24"/>
          <w:szCs w:val="24"/>
        </w:rPr>
        <w:t>bioenergie</w:t>
      </w:r>
      <w:proofErr w:type="spellEnd"/>
      <w:r w:rsidRPr="002834DF">
        <w:rPr>
          <w:rStyle w:val="Siln"/>
          <w:rFonts w:ascii="Times New Roman" w:hAnsi="Times New Roman"/>
          <w:b w:val="0"/>
          <w:color w:val="auto"/>
          <w:sz w:val="24"/>
          <w:szCs w:val="24"/>
        </w:rPr>
        <w:t xml:space="preserve"> zo slamy. V roku 2015 sa konali dva </w:t>
      </w:r>
      <w:proofErr w:type="spellStart"/>
      <w:r w:rsidRPr="002834DF">
        <w:rPr>
          <w:rStyle w:val="Siln"/>
          <w:rFonts w:ascii="Times New Roman" w:hAnsi="Times New Roman"/>
          <w:b w:val="0"/>
          <w:color w:val="auto"/>
          <w:sz w:val="24"/>
          <w:szCs w:val="24"/>
        </w:rPr>
        <w:t>meetingy</w:t>
      </w:r>
      <w:proofErr w:type="spellEnd"/>
      <w:r w:rsidRPr="002834DF">
        <w:rPr>
          <w:rStyle w:val="Siln"/>
          <w:rFonts w:ascii="Times New Roman" w:hAnsi="Times New Roman"/>
          <w:b w:val="0"/>
          <w:color w:val="auto"/>
          <w:sz w:val="24"/>
          <w:szCs w:val="24"/>
        </w:rPr>
        <w:t xml:space="preserve"> zúčastnených partnerov projektu. V rámci pripravených dotazníkov boli v roku 2015 zbierané údaje o </w:t>
      </w:r>
      <w:proofErr w:type="spellStart"/>
      <w:r w:rsidRPr="002834DF">
        <w:rPr>
          <w:rStyle w:val="Siln"/>
          <w:rFonts w:ascii="Times New Roman" w:hAnsi="Times New Roman"/>
          <w:b w:val="0"/>
          <w:color w:val="auto"/>
          <w:sz w:val="24"/>
          <w:szCs w:val="24"/>
        </w:rPr>
        <w:t>bioenergii</w:t>
      </w:r>
      <w:proofErr w:type="spellEnd"/>
      <w:r w:rsidRPr="002834DF">
        <w:rPr>
          <w:rStyle w:val="Siln"/>
          <w:rFonts w:ascii="Times New Roman" w:hAnsi="Times New Roman"/>
          <w:b w:val="0"/>
          <w:color w:val="auto"/>
          <w:sz w:val="24"/>
          <w:szCs w:val="24"/>
        </w:rPr>
        <w:t>, úspešných projektoch v jednotlivých krajinách ako i  možnostiach jej podpory, financovania a tiež údaje o nákladoch, ktoré sú stále v procese získavania, ktoré budú použité ako referenčné hodnoty pre práve sa tvoriaci výpočtový nástroj pre investície do výroby tepla z </w:t>
      </w:r>
      <w:proofErr w:type="spellStart"/>
      <w:r w:rsidRPr="002834DF">
        <w:rPr>
          <w:rStyle w:val="Siln"/>
          <w:rFonts w:ascii="Times New Roman" w:hAnsi="Times New Roman"/>
          <w:b w:val="0"/>
          <w:color w:val="auto"/>
          <w:sz w:val="24"/>
          <w:szCs w:val="24"/>
        </w:rPr>
        <w:t>bioenergie</w:t>
      </w:r>
      <w:proofErr w:type="spellEnd"/>
      <w:r w:rsidRPr="002834DF">
        <w:rPr>
          <w:rStyle w:val="Siln"/>
          <w:rFonts w:ascii="Times New Roman" w:hAnsi="Times New Roman"/>
          <w:b w:val="0"/>
          <w:color w:val="auto"/>
          <w:sz w:val="24"/>
          <w:szCs w:val="24"/>
        </w:rPr>
        <w:t>.</w:t>
      </w:r>
    </w:p>
    <w:p w:rsidR="002834DF" w:rsidRPr="00CB5B0C" w:rsidRDefault="002834DF" w:rsidP="001803FE">
      <w:pPr>
        <w:pStyle w:val="PredformtovanHTML"/>
        <w:tabs>
          <w:tab w:val="clear" w:pos="916"/>
          <w:tab w:val="left" w:pos="709"/>
        </w:tabs>
        <w:spacing w:after="0" w:line="240" w:lineRule="auto"/>
        <w:jc w:val="both"/>
        <w:rPr>
          <w:rFonts w:ascii="Times New Roman" w:hAnsi="Times New Roman" w:cs="Times New Roman"/>
          <w:b/>
          <w:color w:val="auto"/>
          <w:sz w:val="24"/>
          <w:szCs w:val="24"/>
        </w:rPr>
      </w:pPr>
      <w:r w:rsidRPr="00CB5B0C">
        <w:rPr>
          <w:rStyle w:val="Siln"/>
          <w:rFonts w:ascii="Times New Roman" w:hAnsi="Times New Roman"/>
          <w:b w:val="0"/>
          <w:bCs w:val="0"/>
          <w:color w:val="auto"/>
          <w:sz w:val="24"/>
          <w:szCs w:val="24"/>
        </w:rPr>
        <w:t>Celkový rozpočet projektu</w:t>
      </w:r>
      <w:r w:rsidRPr="00CB5B0C">
        <w:rPr>
          <w:rFonts w:ascii="Times New Roman" w:hAnsi="Times New Roman" w:cs="Times New Roman"/>
          <w:b/>
          <w:color w:val="auto"/>
          <w:sz w:val="24"/>
          <w:szCs w:val="24"/>
        </w:rPr>
        <w:t xml:space="preserve">: </w:t>
      </w:r>
      <w:r w:rsidRPr="00CB5B0C">
        <w:rPr>
          <w:rFonts w:ascii="Times New Roman" w:hAnsi="Times New Roman" w:cs="Times New Roman"/>
          <w:color w:val="auto"/>
          <w:sz w:val="24"/>
          <w:szCs w:val="24"/>
        </w:rPr>
        <w:t xml:space="preserve">51 666,00 </w:t>
      </w:r>
      <w:r w:rsidR="00CB5B0C" w:rsidRPr="00CB5B0C">
        <w:rPr>
          <w:rFonts w:ascii="Times New Roman" w:hAnsi="Times New Roman" w:cs="Times New Roman"/>
          <w:sz w:val="24"/>
          <w:szCs w:val="24"/>
        </w:rPr>
        <w:t>eur</w:t>
      </w:r>
      <w:r w:rsidRPr="00CB5B0C">
        <w:rPr>
          <w:rFonts w:ascii="Times New Roman" w:hAnsi="Times New Roman" w:cs="Times New Roman"/>
          <w:b/>
          <w:color w:val="auto"/>
          <w:sz w:val="24"/>
          <w:szCs w:val="24"/>
        </w:rPr>
        <w:t xml:space="preserve"> </w:t>
      </w:r>
    </w:p>
    <w:p w:rsidR="002834DF" w:rsidRPr="00CB5B0C" w:rsidRDefault="002834DF" w:rsidP="008C782D">
      <w:pPr>
        <w:pStyle w:val="PredformtovanHTML"/>
        <w:tabs>
          <w:tab w:val="clear" w:pos="916"/>
          <w:tab w:val="left" w:pos="709"/>
        </w:tabs>
        <w:spacing w:line="240" w:lineRule="auto"/>
        <w:jc w:val="both"/>
        <w:rPr>
          <w:rStyle w:val="Siln"/>
          <w:rFonts w:ascii="Times New Roman" w:hAnsi="Times New Roman"/>
          <w:b w:val="0"/>
          <w:bCs w:val="0"/>
          <w:color w:val="auto"/>
          <w:sz w:val="24"/>
          <w:szCs w:val="24"/>
        </w:rPr>
      </w:pPr>
      <w:r w:rsidRPr="00CB5B0C">
        <w:rPr>
          <w:rStyle w:val="Siln"/>
          <w:rFonts w:ascii="Times New Roman" w:hAnsi="Times New Roman"/>
          <w:b w:val="0"/>
          <w:bCs w:val="0"/>
          <w:color w:val="auto"/>
          <w:sz w:val="24"/>
          <w:szCs w:val="24"/>
        </w:rPr>
        <w:t xml:space="preserve">Začiatok: 01.01.2015  </w:t>
      </w:r>
      <w:r w:rsidR="001803FE">
        <w:rPr>
          <w:rStyle w:val="Siln"/>
          <w:rFonts w:ascii="Times New Roman" w:hAnsi="Times New Roman"/>
          <w:b w:val="0"/>
          <w:bCs w:val="0"/>
          <w:color w:val="auto"/>
          <w:sz w:val="24"/>
          <w:szCs w:val="24"/>
        </w:rPr>
        <w:tab/>
      </w:r>
      <w:r w:rsidRPr="00CB5B0C">
        <w:rPr>
          <w:rStyle w:val="Siln"/>
          <w:rFonts w:ascii="Times New Roman" w:hAnsi="Times New Roman"/>
          <w:b w:val="0"/>
          <w:bCs w:val="0"/>
          <w:color w:val="auto"/>
          <w:sz w:val="24"/>
          <w:szCs w:val="24"/>
        </w:rPr>
        <w:t>Koniec: 01.09.2017</w:t>
      </w:r>
    </w:p>
    <w:p w:rsidR="002834DF" w:rsidRPr="002834DF" w:rsidRDefault="002834DF" w:rsidP="00334B8D">
      <w:pPr>
        <w:pStyle w:val="PredformtovanHTML"/>
        <w:numPr>
          <w:ilvl w:val="0"/>
          <w:numId w:val="32"/>
        </w:numPr>
        <w:tabs>
          <w:tab w:val="clear" w:pos="916"/>
          <w:tab w:val="left" w:pos="709"/>
        </w:tabs>
        <w:spacing w:after="0" w:line="240" w:lineRule="auto"/>
        <w:jc w:val="both"/>
        <w:rPr>
          <w:rStyle w:val="Siln"/>
          <w:rFonts w:ascii="Times New Roman" w:hAnsi="Times New Roman"/>
          <w:b w:val="0"/>
          <w:color w:val="auto"/>
          <w:sz w:val="24"/>
          <w:szCs w:val="24"/>
        </w:rPr>
      </w:pPr>
      <w:proofErr w:type="spellStart"/>
      <w:r w:rsidRPr="002834DF">
        <w:rPr>
          <w:rStyle w:val="Siln"/>
          <w:rFonts w:ascii="Times New Roman" w:hAnsi="Times New Roman"/>
          <w:color w:val="auto"/>
          <w:sz w:val="24"/>
          <w:szCs w:val="24"/>
        </w:rPr>
        <w:t>multEE</w:t>
      </w:r>
      <w:proofErr w:type="spellEnd"/>
      <w:r w:rsidRPr="002834DF">
        <w:rPr>
          <w:rStyle w:val="Siln"/>
          <w:rFonts w:ascii="Times New Roman" w:hAnsi="Times New Roman"/>
          <w:color w:val="auto"/>
          <w:sz w:val="24"/>
          <w:szCs w:val="24"/>
        </w:rPr>
        <w:t xml:space="preserve"> – </w:t>
      </w:r>
      <w:proofErr w:type="spellStart"/>
      <w:r w:rsidRPr="002834DF">
        <w:rPr>
          <w:rStyle w:val="Siln"/>
          <w:rFonts w:ascii="Times New Roman" w:hAnsi="Times New Roman"/>
          <w:color w:val="auto"/>
          <w:sz w:val="24"/>
          <w:szCs w:val="24"/>
        </w:rPr>
        <w:t>Facilitating</w:t>
      </w:r>
      <w:proofErr w:type="spellEnd"/>
      <w:r w:rsidRPr="002834DF">
        <w:rPr>
          <w:rStyle w:val="Siln"/>
          <w:rFonts w:ascii="Times New Roman" w:hAnsi="Times New Roman"/>
          <w:color w:val="auto"/>
          <w:sz w:val="24"/>
          <w:szCs w:val="24"/>
        </w:rPr>
        <w:t xml:space="preserve"> </w:t>
      </w:r>
      <w:proofErr w:type="spellStart"/>
      <w:r w:rsidRPr="002834DF">
        <w:rPr>
          <w:rStyle w:val="Siln"/>
          <w:rFonts w:ascii="Times New Roman" w:hAnsi="Times New Roman"/>
          <w:color w:val="auto"/>
          <w:sz w:val="24"/>
          <w:szCs w:val="24"/>
        </w:rPr>
        <w:t>multi-level</w:t>
      </w:r>
      <w:proofErr w:type="spellEnd"/>
      <w:r w:rsidRPr="002834DF">
        <w:rPr>
          <w:rStyle w:val="Siln"/>
          <w:rFonts w:ascii="Times New Roman" w:hAnsi="Times New Roman"/>
          <w:color w:val="auto"/>
          <w:sz w:val="24"/>
          <w:szCs w:val="24"/>
        </w:rPr>
        <w:t xml:space="preserve"> </w:t>
      </w:r>
      <w:proofErr w:type="spellStart"/>
      <w:r w:rsidRPr="002834DF">
        <w:rPr>
          <w:rStyle w:val="Siln"/>
          <w:rFonts w:ascii="Times New Roman" w:hAnsi="Times New Roman"/>
          <w:color w:val="auto"/>
          <w:sz w:val="24"/>
          <w:szCs w:val="24"/>
        </w:rPr>
        <w:t>governance</w:t>
      </w:r>
      <w:proofErr w:type="spellEnd"/>
      <w:r w:rsidRPr="002834DF">
        <w:rPr>
          <w:rStyle w:val="Siln"/>
          <w:rFonts w:ascii="Times New Roman" w:hAnsi="Times New Roman"/>
          <w:color w:val="auto"/>
          <w:sz w:val="24"/>
          <w:szCs w:val="24"/>
        </w:rPr>
        <w:t xml:space="preserve"> for Energy </w:t>
      </w:r>
      <w:proofErr w:type="spellStart"/>
      <w:r w:rsidRPr="002834DF">
        <w:rPr>
          <w:rStyle w:val="Siln"/>
          <w:rFonts w:ascii="Times New Roman" w:hAnsi="Times New Roman"/>
          <w:color w:val="auto"/>
          <w:sz w:val="24"/>
          <w:szCs w:val="24"/>
        </w:rPr>
        <w:t>Efficiency</w:t>
      </w:r>
      <w:proofErr w:type="spellEnd"/>
      <w:r w:rsidRPr="002834DF">
        <w:rPr>
          <w:rFonts w:ascii="Times New Roman" w:hAnsi="Times New Roman" w:cs="Times New Roman"/>
          <w:sz w:val="24"/>
          <w:szCs w:val="24"/>
        </w:rPr>
        <w:t xml:space="preserve"> </w:t>
      </w:r>
      <w:r w:rsidRPr="002834DF">
        <w:rPr>
          <w:rStyle w:val="Siln"/>
          <w:rFonts w:ascii="Times New Roman" w:hAnsi="Times New Roman"/>
          <w:color w:val="auto"/>
          <w:sz w:val="24"/>
          <w:szCs w:val="24"/>
        </w:rPr>
        <w:t xml:space="preserve"> </w:t>
      </w:r>
      <w:r w:rsidRPr="002834DF">
        <w:rPr>
          <w:rStyle w:val="Siln"/>
          <w:rFonts w:ascii="Times New Roman" w:hAnsi="Times New Roman"/>
          <w:b w:val="0"/>
          <w:color w:val="auto"/>
          <w:sz w:val="24"/>
          <w:szCs w:val="24"/>
        </w:rPr>
        <w:t xml:space="preserve">– program </w:t>
      </w:r>
      <w:proofErr w:type="spellStart"/>
      <w:r w:rsidRPr="002834DF">
        <w:rPr>
          <w:rStyle w:val="Siln"/>
          <w:rFonts w:ascii="Times New Roman" w:hAnsi="Times New Roman"/>
          <w:b w:val="0"/>
          <w:color w:val="auto"/>
          <w:sz w:val="24"/>
          <w:szCs w:val="24"/>
        </w:rPr>
        <w:t>HORIZON</w:t>
      </w:r>
      <w:proofErr w:type="spellEnd"/>
      <w:r w:rsidRPr="002834DF">
        <w:rPr>
          <w:rStyle w:val="Siln"/>
          <w:rFonts w:ascii="Times New Roman" w:hAnsi="Times New Roman"/>
          <w:b w:val="0"/>
          <w:color w:val="auto"/>
          <w:sz w:val="24"/>
          <w:szCs w:val="24"/>
        </w:rPr>
        <w:t xml:space="preserve"> 2020</w:t>
      </w:r>
    </w:p>
    <w:p w:rsidR="002834DF" w:rsidRPr="002834DF" w:rsidRDefault="002834DF" w:rsidP="001803FE">
      <w:pPr>
        <w:pStyle w:val="PredformtovanHTML"/>
        <w:tabs>
          <w:tab w:val="clear" w:pos="916"/>
          <w:tab w:val="left" w:pos="709"/>
        </w:tabs>
        <w:spacing w:after="0" w:line="240" w:lineRule="auto"/>
        <w:jc w:val="both"/>
        <w:rPr>
          <w:rStyle w:val="Siln"/>
          <w:rFonts w:ascii="Times New Roman" w:hAnsi="Times New Roman"/>
          <w:b w:val="0"/>
          <w:color w:val="auto"/>
          <w:sz w:val="24"/>
          <w:szCs w:val="24"/>
        </w:rPr>
      </w:pPr>
    </w:p>
    <w:p w:rsidR="002834DF" w:rsidRPr="002834DF" w:rsidRDefault="001803FE" w:rsidP="00E76D53">
      <w:pPr>
        <w:pStyle w:val="PredformtovanHTML"/>
        <w:tabs>
          <w:tab w:val="clear" w:pos="916"/>
          <w:tab w:val="left" w:pos="709"/>
        </w:tabs>
        <w:spacing w:after="0" w:line="240" w:lineRule="auto"/>
        <w:jc w:val="both"/>
        <w:rPr>
          <w:rStyle w:val="Siln"/>
          <w:rFonts w:ascii="Times New Roman" w:hAnsi="Times New Roman"/>
          <w:b w:val="0"/>
          <w:color w:val="auto"/>
          <w:sz w:val="24"/>
          <w:szCs w:val="24"/>
        </w:rPr>
      </w:pPr>
      <w:r>
        <w:rPr>
          <w:rStyle w:val="Siln"/>
          <w:rFonts w:ascii="Times New Roman" w:hAnsi="Times New Roman"/>
          <w:b w:val="0"/>
          <w:color w:val="auto"/>
          <w:sz w:val="24"/>
          <w:szCs w:val="24"/>
        </w:rPr>
        <w:tab/>
      </w:r>
      <w:r w:rsidR="002834DF" w:rsidRPr="002834DF">
        <w:rPr>
          <w:rStyle w:val="Siln"/>
          <w:rFonts w:ascii="Times New Roman" w:hAnsi="Times New Roman"/>
          <w:b w:val="0"/>
          <w:color w:val="auto"/>
          <w:sz w:val="24"/>
          <w:szCs w:val="24"/>
        </w:rPr>
        <w:t xml:space="preserve">Celkové výdavky projektu v roku 2015 dosiahli  </w:t>
      </w:r>
      <w:r w:rsidR="002834DF" w:rsidRPr="00CB5B0C">
        <w:rPr>
          <w:rStyle w:val="Siln"/>
          <w:rFonts w:ascii="Times New Roman" w:hAnsi="Times New Roman"/>
          <w:b w:val="0"/>
          <w:color w:val="auto"/>
          <w:sz w:val="24"/>
          <w:szCs w:val="24"/>
        </w:rPr>
        <w:t>5</w:t>
      </w:r>
      <w:r w:rsidR="00CB5B0C">
        <w:rPr>
          <w:rStyle w:val="Siln"/>
          <w:rFonts w:ascii="Times New Roman" w:hAnsi="Times New Roman"/>
          <w:b w:val="0"/>
          <w:color w:val="auto"/>
          <w:sz w:val="24"/>
          <w:szCs w:val="24"/>
        </w:rPr>
        <w:t> </w:t>
      </w:r>
      <w:r w:rsidR="002834DF" w:rsidRPr="00CB5B0C">
        <w:rPr>
          <w:rStyle w:val="Siln"/>
          <w:rFonts w:ascii="Times New Roman" w:hAnsi="Times New Roman"/>
          <w:b w:val="0"/>
          <w:color w:val="auto"/>
          <w:sz w:val="24"/>
          <w:szCs w:val="24"/>
        </w:rPr>
        <w:t>835</w:t>
      </w:r>
      <w:r w:rsidR="00CB5B0C">
        <w:rPr>
          <w:rStyle w:val="Siln"/>
          <w:rFonts w:ascii="Times New Roman" w:hAnsi="Times New Roman"/>
          <w:b w:val="0"/>
          <w:color w:val="auto"/>
          <w:sz w:val="24"/>
          <w:szCs w:val="24"/>
        </w:rPr>
        <w:t>,00</w:t>
      </w:r>
      <w:r w:rsidR="002834DF" w:rsidRPr="00CB5B0C">
        <w:rPr>
          <w:rStyle w:val="Siln"/>
          <w:rFonts w:ascii="Times New Roman" w:hAnsi="Times New Roman"/>
          <w:b w:val="0"/>
          <w:color w:val="auto"/>
          <w:sz w:val="24"/>
          <w:szCs w:val="24"/>
        </w:rPr>
        <w:t xml:space="preserve"> </w:t>
      </w:r>
      <w:r w:rsidR="00CB5B0C" w:rsidRPr="00CB5B0C">
        <w:rPr>
          <w:rFonts w:ascii="Times New Roman" w:hAnsi="Times New Roman" w:cs="Times New Roman"/>
          <w:sz w:val="24"/>
          <w:szCs w:val="24"/>
        </w:rPr>
        <w:t>eur</w:t>
      </w:r>
      <w:r w:rsidR="002834DF" w:rsidRPr="00CB5B0C">
        <w:rPr>
          <w:rStyle w:val="Siln"/>
          <w:rFonts w:ascii="Times New Roman" w:hAnsi="Times New Roman"/>
          <w:color w:val="auto"/>
          <w:sz w:val="24"/>
          <w:szCs w:val="24"/>
        </w:rPr>
        <w:t>,</w:t>
      </w:r>
      <w:r w:rsidR="002834DF" w:rsidRPr="00CB5B0C">
        <w:rPr>
          <w:rStyle w:val="Siln"/>
          <w:rFonts w:ascii="Times New Roman" w:hAnsi="Times New Roman"/>
          <w:b w:val="0"/>
          <w:color w:val="auto"/>
          <w:sz w:val="24"/>
          <w:szCs w:val="24"/>
        </w:rPr>
        <w:t xml:space="preserve"> príspevok z EÚ 100 %.</w:t>
      </w:r>
    </w:p>
    <w:p w:rsidR="002834DF" w:rsidRPr="002834DF" w:rsidRDefault="002834DF" w:rsidP="002834DF">
      <w:pPr>
        <w:pStyle w:val="Normlnywebov"/>
        <w:framePr w:hSpace="141" w:wrap="around" w:vAnchor="text" w:hAnchor="text" w:xAlign="right" w:y="1"/>
        <w:spacing w:line="240" w:lineRule="auto"/>
        <w:jc w:val="both"/>
        <w:rPr>
          <w:rStyle w:val="Siln"/>
          <w:rFonts w:ascii="Times New Roman" w:hAnsi="Times New Roman"/>
          <w:b w:val="0"/>
          <w:sz w:val="24"/>
          <w:szCs w:val="24"/>
        </w:rPr>
      </w:pPr>
      <w:r w:rsidRPr="002834DF">
        <w:rPr>
          <w:rStyle w:val="Siln"/>
          <w:rFonts w:ascii="Times New Roman" w:hAnsi="Times New Roman"/>
          <w:b w:val="0"/>
          <w:sz w:val="24"/>
          <w:szCs w:val="24"/>
        </w:rPr>
        <w:t xml:space="preserve">Projekt, ktorý začal v apríli 2015, je financovaný Európskou úniou v rámci programu </w:t>
      </w:r>
      <w:proofErr w:type="spellStart"/>
      <w:r w:rsidRPr="002834DF">
        <w:rPr>
          <w:rStyle w:val="Siln"/>
          <w:rFonts w:ascii="Times New Roman" w:hAnsi="Times New Roman"/>
          <w:b w:val="0"/>
          <w:sz w:val="24"/>
          <w:szCs w:val="24"/>
        </w:rPr>
        <w:t>Horizon</w:t>
      </w:r>
      <w:proofErr w:type="spellEnd"/>
      <w:r w:rsidRPr="002834DF">
        <w:rPr>
          <w:rStyle w:val="Siln"/>
          <w:rFonts w:ascii="Times New Roman" w:hAnsi="Times New Roman"/>
          <w:b w:val="0"/>
          <w:sz w:val="24"/>
          <w:szCs w:val="24"/>
        </w:rPr>
        <w:t xml:space="preserve"> 2020 a predstavuje inovatívne schémy monitorovania a overovania (</w:t>
      </w:r>
      <w:proofErr w:type="spellStart"/>
      <w:r w:rsidRPr="002834DF">
        <w:rPr>
          <w:rStyle w:val="Siln"/>
          <w:rFonts w:ascii="Times New Roman" w:hAnsi="Times New Roman"/>
          <w:b w:val="0"/>
          <w:sz w:val="24"/>
          <w:szCs w:val="24"/>
        </w:rPr>
        <w:t>MaO</w:t>
      </w:r>
      <w:proofErr w:type="spellEnd"/>
      <w:r w:rsidRPr="002834DF">
        <w:rPr>
          <w:rStyle w:val="Siln"/>
          <w:rFonts w:ascii="Times New Roman" w:hAnsi="Times New Roman"/>
          <w:b w:val="0"/>
          <w:sz w:val="24"/>
          <w:szCs w:val="24"/>
        </w:rPr>
        <w:t xml:space="preserve">) zhora nadol na zaistenie, že dopady opatrení energetickej efektívnosti sú efektívne a správne vyhodnotené pre budúce plánovanie. </w:t>
      </w:r>
      <w:proofErr w:type="spellStart"/>
      <w:r w:rsidRPr="002834DF">
        <w:rPr>
          <w:rStyle w:val="Siln"/>
          <w:rFonts w:ascii="Times New Roman" w:hAnsi="Times New Roman"/>
          <w:b w:val="0"/>
          <w:sz w:val="24"/>
          <w:szCs w:val="24"/>
        </w:rPr>
        <w:t>MultEE</w:t>
      </w:r>
      <w:proofErr w:type="spellEnd"/>
      <w:r w:rsidRPr="002834DF">
        <w:rPr>
          <w:rStyle w:val="Siln"/>
          <w:rFonts w:ascii="Times New Roman" w:hAnsi="Times New Roman"/>
          <w:b w:val="0"/>
          <w:sz w:val="24"/>
          <w:szCs w:val="24"/>
        </w:rPr>
        <w:t xml:space="preserve"> zlepšuje vertikálnu koordináciu medzi administratívnymi úrovňami za účelom využitia plného potenciálu integrovaných schém </w:t>
      </w:r>
      <w:proofErr w:type="spellStart"/>
      <w:r w:rsidRPr="002834DF">
        <w:rPr>
          <w:rStyle w:val="Siln"/>
          <w:rFonts w:ascii="Times New Roman" w:hAnsi="Times New Roman"/>
          <w:b w:val="0"/>
          <w:sz w:val="24"/>
          <w:szCs w:val="24"/>
        </w:rPr>
        <w:t>MaO</w:t>
      </w:r>
      <w:proofErr w:type="spellEnd"/>
      <w:r w:rsidRPr="002834DF">
        <w:rPr>
          <w:rStyle w:val="Siln"/>
          <w:rFonts w:ascii="Times New Roman" w:hAnsi="Times New Roman"/>
          <w:b w:val="0"/>
          <w:sz w:val="24"/>
          <w:szCs w:val="24"/>
        </w:rPr>
        <w:t xml:space="preserve"> a zlepšenie celkovej kvality plánovania a implementácie energetickej efektívnosti.</w:t>
      </w:r>
    </w:p>
    <w:p w:rsidR="002834DF" w:rsidRPr="002834DF" w:rsidRDefault="001803FE" w:rsidP="002834DF">
      <w:pPr>
        <w:pStyle w:val="Normlnywebov"/>
        <w:framePr w:hSpace="141" w:wrap="around" w:vAnchor="text" w:hAnchor="text" w:xAlign="right" w:y="1"/>
        <w:spacing w:line="240" w:lineRule="auto"/>
        <w:jc w:val="both"/>
        <w:rPr>
          <w:rStyle w:val="Siln"/>
          <w:rFonts w:ascii="Times New Roman" w:hAnsi="Times New Roman"/>
          <w:b w:val="0"/>
          <w:sz w:val="24"/>
          <w:szCs w:val="24"/>
        </w:rPr>
      </w:pPr>
      <w:r>
        <w:rPr>
          <w:rStyle w:val="Siln"/>
          <w:rFonts w:ascii="Times New Roman" w:hAnsi="Times New Roman"/>
          <w:b w:val="0"/>
          <w:sz w:val="24"/>
          <w:szCs w:val="24"/>
        </w:rPr>
        <w:t>Partnermi projektu sú</w:t>
      </w:r>
      <w:r w:rsidR="002834DF" w:rsidRPr="002834DF">
        <w:rPr>
          <w:rStyle w:val="Siln"/>
          <w:rFonts w:ascii="Times New Roman" w:hAnsi="Times New Roman"/>
          <w:b w:val="0"/>
          <w:sz w:val="24"/>
          <w:szCs w:val="24"/>
        </w:rPr>
        <w:t xml:space="preserve"> energetické agentúry AT, HR, SK, DE, </w:t>
      </w:r>
      <w:proofErr w:type="spellStart"/>
      <w:r w:rsidR="002834DF" w:rsidRPr="002834DF">
        <w:rPr>
          <w:rStyle w:val="Siln"/>
          <w:rFonts w:ascii="Times New Roman" w:hAnsi="Times New Roman"/>
          <w:b w:val="0"/>
          <w:sz w:val="24"/>
          <w:szCs w:val="24"/>
        </w:rPr>
        <w:t>DK</w:t>
      </w:r>
      <w:proofErr w:type="spellEnd"/>
      <w:r w:rsidR="002834DF" w:rsidRPr="002834DF">
        <w:rPr>
          <w:rStyle w:val="Siln"/>
          <w:rFonts w:ascii="Times New Roman" w:hAnsi="Times New Roman"/>
          <w:b w:val="0"/>
          <w:sz w:val="24"/>
          <w:szCs w:val="24"/>
        </w:rPr>
        <w:t xml:space="preserve">, </w:t>
      </w:r>
      <w:proofErr w:type="spellStart"/>
      <w:r w:rsidR="002834DF" w:rsidRPr="002834DF">
        <w:rPr>
          <w:rStyle w:val="Siln"/>
          <w:rFonts w:ascii="Times New Roman" w:hAnsi="Times New Roman"/>
          <w:b w:val="0"/>
          <w:sz w:val="24"/>
          <w:szCs w:val="24"/>
        </w:rPr>
        <w:t>GR</w:t>
      </w:r>
      <w:proofErr w:type="spellEnd"/>
      <w:r w:rsidR="002834DF" w:rsidRPr="002834DF">
        <w:rPr>
          <w:rStyle w:val="Siln"/>
          <w:rFonts w:ascii="Times New Roman" w:hAnsi="Times New Roman"/>
          <w:b w:val="0"/>
          <w:sz w:val="24"/>
          <w:szCs w:val="24"/>
        </w:rPr>
        <w:t xml:space="preserve">, </w:t>
      </w:r>
      <w:proofErr w:type="spellStart"/>
      <w:r w:rsidR="002834DF" w:rsidRPr="002834DF">
        <w:rPr>
          <w:rStyle w:val="Siln"/>
          <w:rFonts w:ascii="Times New Roman" w:hAnsi="Times New Roman"/>
          <w:b w:val="0"/>
          <w:sz w:val="24"/>
          <w:szCs w:val="24"/>
        </w:rPr>
        <w:t>LV</w:t>
      </w:r>
      <w:proofErr w:type="spellEnd"/>
      <w:r w:rsidR="002834DF" w:rsidRPr="002834DF">
        <w:rPr>
          <w:rStyle w:val="Siln"/>
          <w:rFonts w:ascii="Times New Roman" w:hAnsi="Times New Roman"/>
          <w:b w:val="0"/>
          <w:sz w:val="24"/>
          <w:szCs w:val="24"/>
        </w:rPr>
        <w:t xml:space="preserve">, </w:t>
      </w:r>
      <w:proofErr w:type="spellStart"/>
      <w:r w:rsidR="002834DF" w:rsidRPr="002834DF">
        <w:rPr>
          <w:rStyle w:val="Siln"/>
          <w:rFonts w:ascii="Times New Roman" w:hAnsi="Times New Roman"/>
          <w:b w:val="0"/>
          <w:sz w:val="24"/>
          <w:szCs w:val="24"/>
        </w:rPr>
        <w:t>LT</w:t>
      </w:r>
      <w:proofErr w:type="spellEnd"/>
      <w:r w:rsidR="002834DF" w:rsidRPr="002834DF">
        <w:rPr>
          <w:rStyle w:val="Siln"/>
          <w:rFonts w:ascii="Times New Roman" w:hAnsi="Times New Roman"/>
          <w:b w:val="0"/>
          <w:sz w:val="24"/>
          <w:szCs w:val="24"/>
        </w:rPr>
        <w:t xml:space="preserve">, </w:t>
      </w:r>
      <w:proofErr w:type="spellStart"/>
      <w:r w:rsidR="002834DF" w:rsidRPr="002834DF">
        <w:rPr>
          <w:rStyle w:val="Siln"/>
          <w:rFonts w:ascii="Times New Roman" w:hAnsi="Times New Roman"/>
          <w:b w:val="0"/>
          <w:sz w:val="24"/>
          <w:szCs w:val="24"/>
        </w:rPr>
        <w:t>MK</w:t>
      </w:r>
      <w:proofErr w:type="spellEnd"/>
      <w:r w:rsidR="002834DF" w:rsidRPr="002834DF">
        <w:rPr>
          <w:rStyle w:val="Siln"/>
          <w:rFonts w:ascii="Times New Roman" w:hAnsi="Times New Roman"/>
          <w:b w:val="0"/>
          <w:sz w:val="24"/>
          <w:szCs w:val="24"/>
        </w:rPr>
        <w:t>.  Partneri predstavujú výskumné inštitúcie s prierezovými znalosťami v oblasti meraní energetickej efektívnosti, dodávky energie a prípravy energetických stratégií, národné agentúry zodpovedné za vývoj a implementáciu politík energetickej efektívnosti a ostatné organizácie so špecifickými skúsenosťami v oblasti rozvoja kapacít, prenosu poznatkov a ich šírenia.</w:t>
      </w:r>
    </w:p>
    <w:p w:rsidR="002834DF" w:rsidRPr="002834DF" w:rsidRDefault="002834DF" w:rsidP="002834DF">
      <w:pPr>
        <w:pStyle w:val="PredformtovanHTML"/>
        <w:spacing w:line="240" w:lineRule="auto"/>
        <w:jc w:val="both"/>
        <w:rPr>
          <w:rStyle w:val="Siln"/>
          <w:rFonts w:ascii="Times New Roman" w:hAnsi="Times New Roman"/>
          <w:b w:val="0"/>
          <w:color w:val="auto"/>
          <w:sz w:val="24"/>
          <w:szCs w:val="24"/>
        </w:rPr>
      </w:pPr>
      <w:r w:rsidRPr="002834DF">
        <w:rPr>
          <w:rStyle w:val="Siln"/>
          <w:rFonts w:ascii="Times New Roman" w:hAnsi="Times New Roman"/>
          <w:b w:val="0"/>
          <w:color w:val="auto"/>
          <w:sz w:val="24"/>
          <w:szCs w:val="24"/>
        </w:rPr>
        <w:t xml:space="preserve">Na začiatku projektu boli spracované prehľadové údaje pre zúčastnené krajiny o ich schémach merania a verifikácie údajov pre energetickú efektívnosť (ďalej len </w:t>
      </w:r>
      <w:proofErr w:type="spellStart"/>
      <w:r w:rsidRPr="002834DF">
        <w:rPr>
          <w:rStyle w:val="Siln"/>
          <w:rFonts w:ascii="Times New Roman" w:hAnsi="Times New Roman"/>
          <w:b w:val="0"/>
          <w:color w:val="auto"/>
          <w:sz w:val="24"/>
          <w:szCs w:val="24"/>
        </w:rPr>
        <w:t>EE</w:t>
      </w:r>
      <w:proofErr w:type="spellEnd"/>
      <w:r w:rsidRPr="002834DF">
        <w:rPr>
          <w:rStyle w:val="Siln"/>
          <w:rFonts w:ascii="Times New Roman" w:hAnsi="Times New Roman"/>
          <w:b w:val="0"/>
          <w:color w:val="auto"/>
          <w:sz w:val="24"/>
          <w:szCs w:val="24"/>
        </w:rPr>
        <w:t xml:space="preserve">) na základe európskej smernice o Energetickej efektívnosti. Zo zozbieraných údajov sa vytvorila údajová základňa a prehľad jednotlivých schém. Každá zúčastnená krajina dostala na výber zoznam opatrení, ktoré by mali byť zahrnuté do monitorovacieho systému </w:t>
      </w:r>
      <w:proofErr w:type="spellStart"/>
      <w:r w:rsidRPr="002834DF">
        <w:rPr>
          <w:rStyle w:val="Siln"/>
          <w:rFonts w:ascii="Times New Roman" w:hAnsi="Times New Roman"/>
          <w:b w:val="0"/>
          <w:color w:val="auto"/>
          <w:sz w:val="24"/>
          <w:szCs w:val="24"/>
        </w:rPr>
        <w:t>EE</w:t>
      </w:r>
      <w:proofErr w:type="spellEnd"/>
      <w:r w:rsidRPr="002834DF">
        <w:rPr>
          <w:rStyle w:val="Siln"/>
          <w:rFonts w:ascii="Times New Roman" w:hAnsi="Times New Roman"/>
          <w:b w:val="0"/>
          <w:color w:val="auto"/>
          <w:sz w:val="24"/>
          <w:szCs w:val="24"/>
        </w:rPr>
        <w:t xml:space="preserve"> a na základe zvolených opatrení sa bude postupne vytvárať monitorovací systém, ktorý by výraznou mierou mohol prispieť k pomoci krajinám kde ešte nie je aplikovaný a ani sa nevytvára. Prvý </w:t>
      </w:r>
      <w:proofErr w:type="spellStart"/>
      <w:r w:rsidRPr="002834DF">
        <w:rPr>
          <w:rStyle w:val="Siln"/>
          <w:rFonts w:ascii="Times New Roman" w:hAnsi="Times New Roman"/>
          <w:b w:val="0"/>
          <w:color w:val="auto"/>
          <w:sz w:val="24"/>
          <w:szCs w:val="24"/>
        </w:rPr>
        <w:t>nástrel</w:t>
      </w:r>
      <w:proofErr w:type="spellEnd"/>
      <w:r w:rsidRPr="002834DF">
        <w:rPr>
          <w:rStyle w:val="Siln"/>
          <w:rFonts w:ascii="Times New Roman" w:hAnsi="Times New Roman"/>
          <w:b w:val="0"/>
          <w:color w:val="auto"/>
          <w:sz w:val="24"/>
          <w:szCs w:val="24"/>
        </w:rPr>
        <w:t xml:space="preserve"> programu by mal byť predstavený tento rok na stretnutí partnerov v Sarajeve.</w:t>
      </w:r>
    </w:p>
    <w:p w:rsidR="002834DF" w:rsidRPr="00CB5B0C" w:rsidRDefault="002834DF" w:rsidP="001803FE">
      <w:pPr>
        <w:pStyle w:val="PredformtovanHTML"/>
        <w:spacing w:after="0" w:line="240" w:lineRule="auto"/>
        <w:jc w:val="both"/>
        <w:rPr>
          <w:rFonts w:ascii="Times New Roman" w:hAnsi="Times New Roman" w:cs="Times New Roman"/>
          <w:b/>
          <w:color w:val="auto"/>
          <w:sz w:val="24"/>
          <w:szCs w:val="24"/>
        </w:rPr>
      </w:pPr>
      <w:r w:rsidRPr="00CB5B0C">
        <w:rPr>
          <w:rStyle w:val="Siln"/>
          <w:rFonts w:ascii="Times New Roman" w:hAnsi="Times New Roman"/>
          <w:b w:val="0"/>
          <w:bCs w:val="0"/>
          <w:color w:val="auto"/>
          <w:sz w:val="24"/>
          <w:szCs w:val="24"/>
        </w:rPr>
        <w:t>Celkový rozpočet projektu</w:t>
      </w:r>
      <w:r w:rsidRPr="00CB5B0C">
        <w:rPr>
          <w:rFonts w:ascii="Times New Roman" w:hAnsi="Times New Roman" w:cs="Times New Roman"/>
          <w:b/>
          <w:color w:val="auto"/>
          <w:sz w:val="24"/>
          <w:szCs w:val="24"/>
        </w:rPr>
        <w:t xml:space="preserve">: </w:t>
      </w:r>
      <w:r w:rsidRPr="00CB5B0C">
        <w:rPr>
          <w:rFonts w:ascii="Times New Roman" w:hAnsi="Times New Roman" w:cs="Times New Roman"/>
          <w:color w:val="auto"/>
          <w:sz w:val="24"/>
          <w:szCs w:val="24"/>
        </w:rPr>
        <w:t xml:space="preserve">106 507,50 </w:t>
      </w:r>
      <w:r w:rsidR="00CB5B0C" w:rsidRPr="00CB5B0C">
        <w:rPr>
          <w:rFonts w:ascii="Times New Roman" w:hAnsi="Times New Roman" w:cs="Times New Roman"/>
          <w:sz w:val="24"/>
          <w:szCs w:val="24"/>
        </w:rPr>
        <w:t>eur</w:t>
      </w:r>
      <w:r w:rsidRPr="00CB5B0C">
        <w:rPr>
          <w:rFonts w:ascii="Times New Roman" w:hAnsi="Times New Roman" w:cs="Times New Roman"/>
          <w:b/>
          <w:color w:val="auto"/>
          <w:sz w:val="24"/>
          <w:szCs w:val="24"/>
        </w:rPr>
        <w:t xml:space="preserve"> </w:t>
      </w:r>
    </w:p>
    <w:p w:rsidR="002834DF" w:rsidRPr="00CB5B0C" w:rsidRDefault="002834DF" w:rsidP="001803FE">
      <w:pPr>
        <w:pStyle w:val="PredformtovanHTML"/>
        <w:spacing w:after="0" w:line="240" w:lineRule="auto"/>
        <w:jc w:val="both"/>
        <w:rPr>
          <w:rStyle w:val="Siln"/>
          <w:rFonts w:ascii="Times New Roman" w:hAnsi="Times New Roman"/>
          <w:b w:val="0"/>
          <w:bCs w:val="0"/>
          <w:color w:val="auto"/>
          <w:sz w:val="24"/>
          <w:szCs w:val="24"/>
        </w:rPr>
      </w:pPr>
      <w:r w:rsidRPr="00CB5B0C">
        <w:rPr>
          <w:rStyle w:val="Siln"/>
          <w:rFonts w:ascii="Times New Roman" w:hAnsi="Times New Roman"/>
          <w:b w:val="0"/>
          <w:bCs w:val="0"/>
          <w:color w:val="auto"/>
          <w:sz w:val="24"/>
          <w:szCs w:val="24"/>
        </w:rPr>
        <w:t xml:space="preserve">Začiatok: 01.02.2015  </w:t>
      </w:r>
      <w:r w:rsidR="001803FE">
        <w:rPr>
          <w:rStyle w:val="Siln"/>
          <w:rFonts w:ascii="Times New Roman" w:hAnsi="Times New Roman"/>
          <w:b w:val="0"/>
          <w:bCs w:val="0"/>
          <w:color w:val="auto"/>
          <w:sz w:val="24"/>
          <w:szCs w:val="24"/>
        </w:rPr>
        <w:tab/>
      </w:r>
      <w:r w:rsidRPr="00CB5B0C">
        <w:rPr>
          <w:rStyle w:val="Siln"/>
          <w:rFonts w:ascii="Times New Roman" w:hAnsi="Times New Roman"/>
          <w:b w:val="0"/>
          <w:bCs w:val="0"/>
          <w:color w:val="auto"/>
          <w:sz w:val="24"/>
          <w:szCs w:val="24"/>
        </w:rPr>
        <w:t>Koniec: 01.02.2018</w:t>
      </w:r>
    </w:p>
    <w:p w:rsidR="002834DF" w:rsidRPr="002834DF" w:rsidRDefault="002834DF" w:rsidP="008C782D">
      <w:pPr>
        <w:numPr>
          <w:ilvl w:val="0"/>
          <w:numId w:val="32"/>
        </w:numPr>
        <w:spacing w:before="240" w:after="0" w:line="240" w:lineRule="auto"/>
        <w:rPr>
          <w:rFonts w:ascii="Times New Roman" w:hAnsi="Times New Roman" w:cs="Times New Roman"/>
          <w:b/>
          <w:sz w:val="24"/>
          <w:szCs w:val="24"/>
        </w:rPr>
      </w:pPr>
      <w:proofErr w:type="spellStart"/>
      <w:r w:rsidRPr="002834DF">
        <w:rPr>
          <w:rFonts w:ascii="Times New Roman" w:hAnsi="Times New Roman" w:cs="Times New Roman"/>
          <w:b/>
          <w:sz w:val="24"/>
          <w:szCs w:val="24"/>
        </w:rPr>
        <w:t>ACE</w:t>
      </w:r>
      <w:proofErr w:type="spellEnd"/>
      <w:r w:rsidRPr="002834DF">
        <w:rPr>
          <w:rFonts w:ascii="Times New Roman" w:hAnsi="Times New Roman" w:cs="Times New Roman"/>
          <w:b/>
          <w:sz w:val="24"/>
          <w:szCs w:val="24"/>
        </w:rPr>
        <w:t xml:space="preserve"> – Achieving Cluster Excellence</w:t>
      </w:r>
    </w:p>
    <w:p w:rsidR="002834DF" w:rsidRPr="002834DF" w:rsidRDefault="001803FE" w:rsidP="00334B8D">
      <w:pPr>
        <w:pStyle w:val="PredformtovanHTML"/>
        <w:tabs>
          <w:tab w:val="clear" w:pos="916"/>
          <w:tab w:val="left" w:pos="709"/>
        </w:tabs>
        <w:spacing w:before="240" w:after="0" w:line="240" w:lineRule="auto"/>
        <w:jc w:val="both"/>
        <w:rPr>
          <w:rStyle w:val="Siln"/>
          <w:rFonts w:ascii="Times New Roman" w:hAnsi="Times New Roman"/>
          <w:color w:val="auto"/>
          <w:sz w:val="24"/>
          <w:szCs w:val="24"/>
        </w:rPr>
      </w:pPr>
      <w:r>
        <w:rPr>
          <w:rStyle w:val="Siln"/>
          <w:rFonts w:ascii="Times New Roman" w:hAnsi="Times New Roman"/>
          <w:b w:val="0"/>
          <w:color w:val="auto"/>
          <w:sz w:val="24"/>
          <w:szCs w:val="24"/>
        </w:rPr>
        <w:tab/>
      </w:r>
      <w:r w:rsidR="002834DF" w:rsidRPr="002834DF">
        <w:rPr>
          <w:rStyle w:val="Siln"/>
          <w:rFonts w:ascii="Times New Roman" w:hAnsi="Times New Roman"/>
          <w:b w:val="0"/>
          <w:color w:val="auto"/>
          <w:sz w:val="24"/>
          <w:szCs w:val="24"/>
        </w:rPr>
        <w:t>Celkové výdavky na projekt v roku 2015 dosiahli 23 690,15</w:t>
      </w:r>
      <w:r w:rsidR="002834DF" w:rsidRPr="00CB5B0C">
        <w:rPr>
          <w:rStyle w:val="Siln"/>
          <w:rFonts w:ascii="Times New Roman" w:hAnsi="Times New Roman"/>
          <w:b w:val="0"/>
          <w:color w:val="auto"/>
          <w:sz w:val="24"/>
          <w:szCs w:val="24"/>
        </w:rPr>
        <w:t xml:space="preserve"> </w:t>
      </w:r>
      <w:r w:rsidR="00CB5B0C" w:rsidRPr="00CB5B0C">
        <w:rPr>
          <w:rStyle w:val="Siln"/>
          <w:rFonts w:ascii="Times New Roman" w:hAnsi="Times New Roman"/>
          <w:b w:val="0"/>
          <w:color w:val="auto"/>
          <w:sz w:val="24"/>
        </w:rPr>
        <w:t>eur</w:t>
      </w:r>
      <w:r w:rsidR="002834DF" w:rsidRPr="00CB5B0C">
        <w:rPr>
          <w:rStyle w:val="Siln"/>
          <w:rFonts w:ascii="Times New Roman" w:hAnsi="Times New Roman"/>
          <w:b w:val="0"/>
          <w:color w:val="auto"/>
          <w:sz w:val="24"/>
          <w:szCs w:val="24"/>
        </w:rPr>
        <w:t>, príspevok z EÚ 95 %.</w:t>
      </w:r>
    </w:p>
    <w:p w:rsidR="002834DF" w:rsidRPr="002834DF" w:rsidRDefault="002834DF" w:rsidP="002834DF">
      <w:pPr>
        <w:spacing w:line="240" w:lineRule="auto"/>
        <w:jc w:val="both"/>
        <w:rPr>
          <w:rFonts w:ascii="Times New Roman" w:hAnsi="Times New Roman" w:cs="Times New Roman"/>
          <w:sz w:val="24"/>
          <w:szCs w:val="24"/>
        </w:rPr>
      </w:pPr>
      <w:r w:rsidRPr="002834DF">
        <w:rPr>
          <w:rFonts w:ascii="Times New Roman" w:hAnsi="Times New Roman" w:cs="Times New Roman"/>
          <w:sz w:val="24"/>
          <w:szCs w:val="24"/>
        </w:rPr>
        <w:t xml:space="preserve">Cieľom projektu bolo posilnenie riadenia klastrov,  zvýšenie ich konkurencieschopnosti prostredníctvom medzinárodnej certifikácie, vzájomná výmena skúseností a osvedčených postupov, vzdelávanie odborníkov v klastrovom manažmente a informačný transfer pri využití európskych klastrových platforiem (Cluster Obsrevatory, European Cluster Platform). </w:t>
      </w:r>
    </w:p>
    <w:p w:rsidR="002834DF" w:rsidRPr="002834DF" w:rsidRDefault="002834DF" w:rsidP="002834DF">
      <w:pPr>
        <w:spacing w:line="240" w:lineRule="auto"/>
        <w:jc w:val="both"/>
        <w:rPr>
          <w:rFonts w:ascii="Times New Roman" w:hAnsi="Times New Roman" w:cs="Times New Roman"/>
          <w:sz w:val="24"/>
          <w:szCs w:val="24"/>
        </w:rPr>
      </w:pPr>
      <w:r w:rsidRPr="002834DF">
        <w:rPr>
          <w:rFonts w:ascii="Times New Roman" w:hAnsi="Times New Roman" w:cs="Times New Roman"/>
          <w:sz w:val="24"/>
          <w:szCs w:val="24"/>
        </w:rPr>
        <w:t xml:space="preserve">Partnerské organizácie projektu </w:t>
      </w:r>
      <w:proofErr w:type="spellStart"/>
      <w:r w:rsidRPr="002834DF">
        <w:rPr>
          <w:rFonts w:ascii="Times New Roman" w:hAnsi="Times New Roman" w:cs="Times New Roman"/>
          <w:sz w:val="24"/>
          <w:szCs w:val="24"/>
        </w:rPr>
        <w:t>ACE</w:t>
      </w:r>
      <w:proofErr w:type="spellEnd"/>
      <w:r w:rsidRPr="002834DF">
        <w:rPr>
          <w:rFonts w:ascii="Times New Roman" w:hAnsi="Times New Roman" w:cs="Times New Roman"/>
          <w:sz w:val="24"/>
          <w:szCs w:val="24"/>
        </w:rPr>
        <w:t xml:space="preserve">: Finpiemonte (Taliansko – líder projektu), Ministerstvo národného hospodárstva (Maďarsko), </w:t>
      </w:r>
      <w:proofErr w:type="spellStart"/>
      <w:r w:rsidRPr="002834DF">
        <w:rPr>
          <w:rFonts w:ascii="Times New Roman" w:hAnsi="Times New Roman" w:cs="Times New Roman"/>
          <w:sz w:val="24"/>
          <w:szCs w:val="24"/>
        </w:rPr>
        <w:t>ADER</w:t>
      </w:r>
      <w:proofErr w:type="spellEnd"/>
      <w:r w:rsidRPr="002834DF">
        <w:rPr>
          <w:rFonts w:ascii="Times New Roman" w:hAnsi="Times New Roman" w:cs="Times New Roman"/>
          <w:sz w:val="24"/>
          <w:szCs w:val="24"/>
        </w:rPr>
        <w:t xml:space="preserve"> (Španielsko), </w:t>
      </w:r>
      <w:proofErr w:type="spellStart"/>
      <w:r w:rsidRPr="002834DF">
        <w:rPr>
          <w:rFonts w:ascii="Times New Roman" w:hAnsi="Times New Roman" w:cs="Times New Roman"/>
          <w:sz w:val="24"/>
          <w:szCs w:val="24"/>
          <w:lang w:val="en-US"/>
        </w:rPr>
        <w:t>SIEA</w:t>
      </w:r>
      <w:proofErr w:type="spellEnd"/>
      <w:r w:rsidRPr="002834DF">
        <w:rPr>
          <w:rFonts w:ascii="Times New Roman" w:hAnsi="Times New Roman" w:cs="Times New Roman"/>
          <w:sz w:val="24"/>
          <w:szCs w:val="24"/>
          <w:lang w:val="en-US"/>
        </w:rPr>
        <w:t xml:space="preserve"> </w:t>
      </w:r>
      <w:r w:rsidRPr="002834DF">
        <w:rPr>
          <w:rFonts w:ascii="Times New Roman" w:hAnsi="Times New Roman" w:cs="Times New Roman"/>
          <w:sz w:val="24"/>
          <w:szCs w:val="24"/>
        </w:rPr>
        <w:t>(Slovenská republika).</w:t>
      </w:r>
    </w:p>
    <w:p w:rsidR="002834DF" w:rsidRPr="002834DF" w:rsidRDefault="002834DF" w:rsidP="002834DF">
      <w:pPr>
        <w:spacing w:line="240" w:lineRule="auto"/>
        <w:jc w:val="both"/>
        <w:rPr>
          <w:rFonts w:ascii="Times New Roman" w:hAnsi="Times New Roman" w:cs="Times New Roman"/>
          <w:sz w:val="24"/>
          <w:szCs w:val="24"/>
        </w:rPr>
      </w:pPr>
      <w:r w:rsidRPr="002834DF">
        <w:rPr>
          <w:rFonts w:ascii="Times New Roman" w:hAnsi="Times New Roman" w:cs="Times New Roman"/>
          <w:sz w:val="24"/>
          <w:szCs w:val="24"/>
        </w:rPr>
        <w:t xml:space="preserve">Aktivity za rok 2015 boli orientované na proces </w:t>
      </w:r>
      <w:proofErr w:type="spellStart"/>
      <w:r w:rsidRPr="002834DF">
        <w:rPr>
          <w:rFonts w:ascii="Times New Roman" w:hAnsi="Times New Roman" w:cs="Times New Roman"/>
          <w:sz w:val="24"/>
          <w:szCs w:val="24"/>
        </w:rPr>
        <w:t>evaluácie</w:t>
      </w:r>
      <w:proofErr w:type="spellEnd"/>
      <w:r w:rsidRPr="002834DF">
        <w:rPr>
          <w:rFonts w:ascii="Times New Roman" w:hAnsi="Times New Roman" w:cs="Times New Roman"/>
          <w:sz w:val="24"/>
          <w:szCs w:val="24"/>
        </w:rPr>
        <w:t xml:space="preserve"> vybraného </w:t>
      </w:r>
      <w:proofErr w:type="spellStart"/>
      <w:r w:rsidRPr="002834DF">
        <w:rPr>
          <w:rFonts w:ascii="Times New Roman" w:hAnsi="Times New Roman" w:cs="Times New Roman"/>
          <w:sz w:val="24"/>
          <w:szCs w:val="24"/>
        </w:rPr>
        <w:t>klastra</w:t>
      </w:r>
      <w:proofErr w:type="spellEnd"/>
      <w:r w:rsidRPr="002834DF">
        <w:rPr>
          <w:rFonts w:ascii="Times New Roman" w:hAnsi="Times New Roman" w:cs="Times New Roman"/>
          <w:sz w:val="24"/>
          <w:szCs w:val="24"/>
        </w:rPr>
        <w:t xml:space="preserve"> na zlatý certifikát excelencie (klaster Košice </w:t>
      </w:r>
      <w:proofErr w:type="spellStart"/>
      <w:r w:rsidRPr="002834DF">
        <w:rPr>
          <w:rFonts w:ascii="Times New Roman" w:hAnsi="Times New Roman" w:cs="Times New Roman"/>
          <w:sz w:val="24"/>
          <w:szCs w:val="24"/>
        </w:rPr>
        <w:t>IT</w:t>
      </w:r>
      <w:proofErr w:type="spellEnd"/>
      <w:r w:rsidRPr="002834DF">
        <w:rPr>
          <w:rFonts w:ascii="Times New Roman" w:hAnsi="Times New Roman" w:cs="Times New Roman"/>
          <w:sz w:val="24"/>
          <w:szCs w:val="24"/>
        </w:rPr>
        <w:t xml:space="preserve"> </w:t>
      </w:r>
      <w:proofErr w:type="spellStart"/>
      <w:r w:rsidRPr="002834DF">
        <w:rPr>
          <w:rFonts w:ascii="Times New Roman" w:hAnsi="Times New Roman" w:cs="Times New Roman"/>
          <w:sz w:val="24"/>
          <w:szCs w:val="24"/>
        </w:rPr>
        <w:t>Valley</w:t>
      </w:r>
      <w:proofErr w:type="spellEnd"/>
      <w:r w:rsidRPr="002834DF">
        <w:rPr>
          <w:rFonts w:ascii="Times New Roman" w:hAnsi="Times New Roman" w:cs="Times New Roman"/>
          <w:sz w:val="24"/>
          <w:szCs w:val="24"/>
        </w:rPr>
        <w:t xml:space="preserve"> získal uvedený certifikát), procesy </w:t>
      </w:r>
      <w:proofErr w:type="spellStart"/>
      <w:r w:rsidRPr="002834DF">
        <w:rPr>
          <w:rFonts w:ascii="Times New Roman" w:hAnsi="Times New Roman" w:cs="Times New Roman"/>
          <w:sz w:val="24"/>
          <w:szCs w:val="24"/>
        </w:rPr>
        <w:t>diseminácie</w:t>
      </w:r>
      <w:proofErr w:type="spellEnd"/>
      <w:r w:rsidRPr="002834DF">
        <w:rPr>
          <w:rFonts w:ascii="Times New Roman" w:hAnsi="Times New Roman" w:cs="Times New Roman"/>
          <w:sz w:val="24"/>
          <w:szCs w:val="24"/>
        </w:rPr>
        <w:t xml:space="preserve">  výsledkov projektu a záverečné obhájenie prác v rámci kurzu  „Train the Trainers“. </w:t>
      </w:r>
    </w:p>
    <w:p w:rsidR="002834DF" w:rsidRPr="00CB5B0C" w:rsidRDefault="002834DF" w:rsidP="00CB5B0C">
      <w:pPr>
        <w:spacing w:after="0" w:line="240" w:lineRule="auto"/>
        <w:jc w:val="both"/>
        <w:rPr>
          <w:rFonts w:ascii="Times New Roman" w:hAnsi="Times New Roman" w:cs="Times New Roman"/>
          <w:bCs/>
          <w:sz w:val="24"/>
          <w:szCs w:val="24"/>
        </w:rPr>
      </w:pPr>
      <w:r w:rsidRPr="00CB5B0C">
        <w:rPr>
          <w:rFonts w:ascii="Times New Roman" w:hAnsi="Times New Roman" w:cs="Times New Roman"/>
          <w:bCs/>
          <w:sz w:val="24"/>
          <w:szCs w:val="24"/>
        </w:rPr>
        <w:t>Celkový rozpočet projektu: 53 026,47</w:t>
      </w:r>
      <w:r w:rsidRPr="00CB5B0C">
        <w:rPr>
          <w:rFonts w:ascii="Times New Roman" w:hAnsi="Times New Roman" w:cs="Times New Roman"/>
          <w:bCs/>
          <w:iCs/>
          <w:sz w:val="24"/>
          <w:szCs w:val="24"/>
        </w:rPr>
        <w:t xml:space="preserve"> </w:t>
      </w:r>
      <w:r w:rsidR="00CB5B0C" w:rsidRPr="00CB5B0C">
        <w:rPr>
          <w:rFonts w:ascii="Times New Roman" w:hAnsi="Times New Roman" w:cs="Times New Roman"/>
          <w:sz w:val="24"/>
          <w:szCs w:val="24"/>
        </w:rPr>
        <w:t>eur</w:t>
      </w:r>
    </w:p>
    <w:p w:rsidR="002834DF" w:rsidRDefault="002834DF" w:rsidP="001803FE">
      <w:pPr>
        <w:spacing w:after="0" w:line="240" w:lineRule="auto"/>
        <w:jc w:val="both"/>
        <w:rPr>
          <w:rFonts w:ascii="Times New Roman" w:hAnsi="Times New Roman" w:cs="Times New Roman"/>
          <w:bCs/>
          <w:sz w:val="24"/>
          <w:szCs w:val="24"/>
        </w:rPr>
      </w:pPr>
      <w:r w:rsidRPr="00CB5B0C">
        <w:rPr>
          <w:rFonts w:ascii="Times New Roman" w:hAnsi="Times New Roman" w:cs="Times New Roman"/>
          <w:bCs/>
          <w:sz w:val="24"/>
          <w:szCs w:val="24"/>
        </w:rPr>
        <w:t xml:space="preserve">Začiatok: 06.01.2014  </w:t>
      </w:r>
      <w:r w:rsidR="001803FE">
        <w:rPr>
          <w:rFonts w:ascii="Times New Roman" w:hAnsi="Times New Roman" w:cs="Times New Roman"/>
          <w:bCs/>
          <w:sz w:val="24"/>
          <w:szCs w:val="24"/>
        </w:rPr>
        <w:tab/>
      </w:r>
      <w:r w:rsidRPr="00CB5B0C">
        <w:rPr>
          <w:rFonts w:ascii="Times New Roman" w:hAnsi="Times New Roman" w:cs="Times New Roman"/>
          <w:bCs/>
          <w:sz w:val="24"/>
          <w:szCs w:val="24"/>
        </w:rPr>
        <w:t>Koniec: 05.01.2016</w:t>
      </w:r>
    </w:p>
    <w:p w:rsidR="00E76D53" w:rsidRDefault="00E76D53" w:rsidP="00CB5B0C">
      <w:pPr>
        <w:spacing w:after="0" w:line="240" w:lineRule="auto"/>
        <w:ind w:firstLine="708"/>
        <w:jc w:val="both"/>
        <w:rPr>
          <w:rFonts w:ascii="Times New Roman" w:hAnsi="Times New Roman" w:cs="Times New Roman"/>
          <w:sz w:val="24"/>
          <w:szCs w:val="24"/>
        </w:rPr>
      </w:pPr>
    </w:p>
    <w:p w:rsidR="004A7C9B" w:rsidRPr="00E81F99" w:rsidRDefault="004A7C9B" w:rsidP="00CB5B0C">
      <w:pPr>
        <w:spacing w:after="0" w:line="240" w:lineRule="auto"/>
        <w:ind w:firstLine="708"/>
        <w:jc w:val="both"/>
        <w:rPr>
          <w:rFonts w:ascii="Times New Roman" w:hAnsi="Times New Roman" w:cs="Times New Roman"/>
          <w:sz w:val="24"/>
          <w:szCs w:val="24"/>
        </w:rPr>
      </w:pPr>
      <w:proofErr w:type="spellStart"/>
      <w:r w:rsidRPr="00E81F99">
        <w:rPr>
          <w:rFonts w:ascii="Times New Roman" w:hAnsi="Times New Roman" w:cs="Times New Roman"/>
          <w:sz w:val="24"/>
          <w:szCs w:val="24"/>
        </w:rPr>
        <w:t>SIEA</w:t>
      </w:r>
      <w:proofErr w:type="spellEnd"/>
      <w:r w:rsidRPr="00E81F99">
        <w:rPr>
          <w:rFonts w:ascii="Times New Roman" w:hAnsi="Times New Roman" w:cs="Times New Roman"/>
          <w:sz w:val="24"/>
          <w:szCs w:val="24"/>
        </w:rPr>
        <w:t xml:space="preserve"> v roku 2014 nemala iné prostriedky zo zahraničia poskytnuté Slovenskej republike na základe medzinárodných zmlúv uzavretých medzi Slovenskou republikou a inými štátmi.</w:t>
      </w:r>
    </w:p>
    <w:p w:rsidR="005E2B05" w:rsidRPr="00E81F99" w:rsidRDefault="005E2B05" w:rsidP="00E81F99">
      <w:pPr>
        <w:pStyle w:val="PredformtovanHTML"/>
        <w:tabs>
          <w:tab w:val="clear" w:pos="916"/>
          <w:tab w:val="left" w:pos="540"/>
        </w:tabs>
        <w:spacing w:after="0" w:line="240" w:lineRule="auto"/>
        <w:jc w:val="both"/>
        <w:rPr>
          <w:rFonts w:ascii="Times New Roman" w:hAnsi="Times New Roman" w:cs="Times New Roman"/>
          <w:i/>
          <w:color w:val="00FF00"/>
          <w:sz w:val="24"/>
          <w:szCs w:val="24"/>
        </w:rPr>
      </w:pPr>
    </w:p>
    <w:p w:rsidR="005E2B05" w:rsidRPr="00E81F99" w:rsidRDefault="00D11A1B" w:rsidP="00DC4E55">
      <w:pPr>
        <w:tabs>
          <w:tab w:val="left" w:pos="567"/>
        </w:tabs>
        <w:spacing w:after="0" w:line="240" w:lineRule="auto"/>
        <w:ind w:left="1276" w:hanging="567"/>
        <w:jc w:val="both"/>
        <w:rPr>
          <w:rFonts w:ascii="Times New Roman" w:hAnsi="Times New Roman" w:cs="Times New Roman"/>
          <w:b/>
          <w:sz w:val="24"/>
          <w:szCs w:val="24"/>
        </w:rPr>
      </w:pPr>
      <w:r w:rsidRPr="00E81F99">
        <w:rPr>
          <w:rFonts w:ascii="Times New Roman" w:hAnsi="Times New Roman" w:cs="Times New Roman"/>
          <w:b/>
          <w:sz w:val="24"/>
          <w:szCs w:val="24"/>
        </w:rPr>
        <w:t xml:space="preserve">1.3.4. </w:t>
      </w:r>
      <w:r w:rsidR="00786D85" w:rsidRPr="00E81F99">
        <w:rPr>
          <w:rFonts w:ascii="Times New Roman" w:hAnsi="Times New Roman" w:cs="Times New Roman"/>
          <w:b/>
          <w:sz w:val="24"/>
          <w:szCs w:val="24"/>
        </w:rPr>
        <w:t xml:space="preserve"> </w:t>
      </w:r>
      <w:r w:rsidR="005E2B05" w:rsidRPr="00E81F99">
        <w:rPr>
          <w:rFonts w:ascii="Times New Roman" w:hAnsi="Times New Roman" w:cs="Times New Roman"/>
          <w:b/>
          <w:sz w:val="24"/>
          <w:szCs w:val="24"/>
        </w:rPr>
        <w:t>Úpravy pôvodne schváleného rozpočtu výdavkov v priebehu roka 201</w:t>
      </w:r>
      <w:r w:rsidR="007D267A">
        <w:rPr>
          <w:rFonts w:ascii="Times New Roman" w:hAnsi="Times New Roman" w:cs="Times New Roman"/>
          <w:b/>
          <w:sz w:val="24"/>
          <w:szCs w:val="24"/>
        </w:rPr>
        <w:t>5</w:t>
      </w:r>
    </w:p>
    <w:p w:rsidR="005E2B05" w:rsidRPr="000C0C90" w:rsidRDefault="005E2B05" w:rsidP="00E81F99">
      <w:pPr>
        <w:pStyle w:val="PredformtovanHTML"/>
        <w:tabs>
          <w:tab w:val="clear" w:pos="916"/>
          <w:tab w:val="left" w:pos="540"/>
        </w:tabs>
        <w:spacing w:after="0" w:line="240" w:lineRule="auto"/>
        <w:jc w:val="both"/>
        <w:rPr>
          <w:rFonts w:ascii="Times New Roman" w:hAnsi="Times New Roman" w:cs="Times New Roman"/>
          <w:color w:val="00FF00"/>
          <w:sz w:val="24"/>
          <w:szCs w:val="24"/>
        </w:rPr>
      </w:pPr>
    </w:p>
    <w:p w:rsidR="00487F06" w:rsidRPr="000C0C90" w:rsidRDefault="00487F06" w:rsidP="00E24FF0">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sk-SK"/>
        </w:rPr>
      </w:pPr>
      <w:r w:rsidRPr="000C0C90">
        <w:rPr>
          <w:rFonts w:ascii="Times New Roman" w:hAnsi="Times New Roman" w:cs="Times New Roman"/>
          <w:sz w:val="24"/>
          <w:szCs w:val="24"/>
        </w:rPr>
        <w:t>Výška výdavkov kapitoly MH SR bola v priebehu roka 201</w:t>
      </w:r>
      <w:r w:rsidR="007D267A" w:rsidRPr="000C0C90">
        <w:rPr>
          <w:rFonts w:ascii="Times New Roman" w:hAnsi="Times New Roman" w:cs="Times New Roman"/>
          <w:sz w:val="24"/>
          <w:szCs w:val="24"/>
        </w:rPr>
        <w:t>5</w:t>
      </w:r>
      <w:r w:rsidRPr="000C0C90">
        <w:rPr>
          <w:rFonts w:ascii="Times New Roman" w:hAnsi="Times New Roman" w:cs="Times New Roman"/>
          <w:sz w:val="24"/>
          <w:szCs w:val="24"/>
        </w:rPr>
        <w:t xml:space="preserve">  upravená </w:t>
      </w:r>
      <w:r w:rsidR="00E24FF0" w:rsidRPr="000C0C90">
        <w:rPr>
          <w:rFonts w:ascii="Times New Roman" w:hAnsi="Times New Roman" w:cs="Times New Roman"/>
          <w:sz w:val="24"/>
          <w:szCs w:val="24"/>
        </w:rPr>
        <w:t xml:space="preserve">            šesťdesia</w:t>
      </w:r>
      <w:r w:rsidR="00DC4E55" w:rsidRPr="000C0C90">
        <w:rPr>
          <w:rFonts w:ascii="Times New Roman" w:hAnsi="Times New Roman" w:cs="Times New Roman"/>
          <w:sz w:val="24"/>
          <w:szCs w:val="24"/>
        </w:rPr>
        <w:t>t</w:t>
      </w:r>
      <w:r w:rsidR="00B57F7D" w:rsidRPr="000C0C90">
        <w:rPr>
          <w:rFonts w:ascii="Times New Roman" w:hAnsi="Times New Roman" w:cs="Times New Roman"/>
          <w:sz w:val="24"/>
          <w:szCs w:val="24"/>
        </w:rPr>
        <w:t>imi</w:t>
      </w:r>
      <w:r w:rsidR="00E24FF0" w:rsidRPr="000C0C90">
        <w:rPr>
          <w:rFonts w:ascii="Times New Roman" w:hAnsi="Times New Roman" w:cs="Times New Roman"/>
          <w:sz w:val="24"/>
          <w:szCs w:val="24"/>
        </w:rPr>
        <w:t xml:space="preserve"> </w:t>
      </w:r>
      <w:r w:rsidR="00B57F7D" w:rsidRPr="000C0C90">
        <w:rPr>
          <w:rFonts w:ascii="Times New Roman" w:hAnsi="Times New Roman" w:cs="Times New Roman"/>
          <w:sz w:val="24"/>
          <w:szCs w:val="24"/>
        </w:rPr>
        <w:t>deviatimi</w:t>
      </w:r>
      <w:r w:rsidR="00452FA0" w:rsidRPr="000C0C90">
        <w:rPr>
          <w:rFonts w:ascii="Times New Roman" w:hAnsi="Times New Roman" w:cs="Times New Roman"/>
          <w:sz w:val="24"/>
          <w:szCs w:val="24"/>
        </w:rPr>
        <w:t xml:space="preserve"> rozpočtovými opatreniami z úrovne MF SR </w:t>
      </w:r>
      <w:r w:rsidRPr="000C0C90">
        <w:rPr>
          <w:rFonts w:ascii="Times New Roman" w:hAnsi="Times New Roman" w:cs="Times New Roman"/>
          <w:sz w:val="24"/>
          <w:szCs w:val="24"/>
        </w:rPr>
        <w:t xml:space="preserve">zo schválenej výšky </w:t>
      </w:r>
      <w:r w:rsidR="00E76D53">
        <w:rPr>
          <w:rFonts w:ascii="Times New Roman" w:hAnsi="Times New Roman" w:cs="Times New Roman"/>
          <w:sz w:val="24"/>
          <w:szCs w:val="24"/>
        </w:rPr>
        <w:t xml:space="preserve">rozpočtových </w:t>
      </w:r>
      <w:r w:rsidRPr="000C0C90">
        <w:rPr>
          <w:rFonts w:ascii="Times New Roman" w:hAnsi="Times New Roman" w:cs="Times New Roman"/>
          <w:sz w:val="24"/>
          <w:szCs w:val="24"/>
        </w:rPr>
        <w:t>výdavkov v</w:t>
      </w:r>
      <w:r w:rsidR="00E24FF0" w:rsidRPr="000C0C90">
        <w:rPr>
          <w:rFonts w:ascii="Times New Roman" w:hAnsi="Times New Roman" w:cs="Times New Roman"/>
          <w:sz w:val="24"/>
          <w:szCs w:val="24"/>
        </w:rPr>
        <w:t> sume 298 270 138,00</w:t>
      </w:r>
      <w:r w:rsidRPr="000C0C90">
        <w:rPr>
          <w:rFonts w:ascii="Times New Roman" w:eastAsia="Times New Roman" w:hAnsi="Times New Roman" w:cs="Times New Roman"/>
          <w:b/>
          <w:bCs/>
          <w:sz w:val="24"/>
          <w:szCs w:val="24"/>
          <w:lang w:eastAsia="sk-SK"/>
        </w:rPr>
        <w:t xml:space="preserve"> </w:t>
      </w:r>
      <w:r w:rsidRPr="000C0C90">
        <w:rPr>
          <w:rFonts w:ascii="Times New Roman" w:eastAsia="Times New Roman" w:hAnsi="Times New Roman" w:cs="Times New Roman"/>
          <w:bCs/>
          <w:sz w:val="24"/>
          <w:szCs w:val="24"/>
          <w:lang w:eastAsia="sk-SK"/>
        </w:rPr>
        <w:t xml:space="preserve">eur na </w:t>
      </w:r>
      <w:r w:rsidR="00E24FF0" w:rsidRPr="000C0C90">
        <w:rPr>
          <w:rFonts w:ascii="Times New Roman" w:eastAsia="Times New Roman" w:hAnsi="Times New Roman" w:cs="Times New Roman"/>
          <w:bCs/>
          <w:sz w:val="24"/>
          <w:szCs w:val="24"/>
          <w:lang w:eastAsia="sk-SK"/>
        </w:rPr>
        <w:t>sumu 441 217 548,62</w:t>
      </w:r>
      <w:r w:rsidRPr="000C0C90">
        <w:rPr>
          <w:rFonts w:ascii="Times New Roman" w:eastAsia="Times New Roman" w:hAnsi="Times New Roman" w:cs="Times New Roman"/>
          <w:bCs/>
          <w:sz w:val="24"/>
          <w:szCs w:val="24"/>
          <w:lang w:eastAsia="sk-SK"/>
        </w:rPr>
        <w:t xml:space="preserve"> eur </w:t>
      </w:r>
      <w:r w:rsidR="00452FA0" w:rsidRPr="000C0C90">
        <w:rPr>
          <w:rFonts w:ascii="Times New Roman" w:eastAsia="Times New Roman" w:hAnsi="Times New Roman" w:cs="Times New Roman"/>
          <w:bCs/>
          <w:sz w:val="24"/>
          <w:szCs w:val="24"/>
          <w:lang w:eastAsia="sk-SK"/>
        </w:rPr>
        <w:t xml:space="preserve"> a</w:t>
      </w:r>
      <w:r w:rsidR="00E24FF0" w:rsidRPr="000C0C90">
        <w:rPr>
          <w:rFonts w:ascii="Times New Roman" w:eastAsia="Times New Roman" w:hAnsi="Times New Roman" w:cs="Times New Roman"/>
          <w:bCs/>
          <w:sz w:val="24"/>
          <w:szCs w:val="24"/>
          <w:lang w:eastAsia="sk-SK"/>
        </w:rPr>
        <w:t xml:space="preserve"> </w:t>
      </w:r>
      <w:r w:rsidR="00452FA0" w:rsidRPr="000C0C90">
        <w:rPr>
          <w:rFonts w:ascii="Times New Roman" w:eastAsia="Times New Roman" w:hAnsi="Times New Roman" w:cs="Times New Roman"/>
          <w:bCs/>
          <w:sz w:val="24"/>
          <w:szCs w:val="24"/>
          <w:lang w:eastAsia="sk-SK"/>
        </w:rPr>
        <w:t> to povoleným prekročením</w:t>
      </w:r>
      <w:r w:rsidR="00E76D53">
        <w:rPr>
          <w:rFonts w:ascii="Times New Roman" w:eastAsia="Times New Roman" w:hAnsi="Times New Roman" w:cs="Times New Roman"/>
          <w:bCs/>
          <w:sz w:val="24"/>
          <w:szCs w:val="24"/>
          <w:lang w:eastAsia="sk-SK"/>
        </w:rPr>
        <w:t xml:space="preserve"> </w:t>
      </w:r>
      <w:r w:rsidR="00452FA0" w:rsidRPr="000C0C90">
        <w:rPr>
          <w:rFonts w:ascii="Times New Roman" w:eastAsia="Times New Roman" w:hAnsi="Times New Roman" w:cs="Times New Roman"/>
          <w:bCs/>
          <w:sz w:val="24"/>
          <w:szCs w:val="24"/>
          <w:lang w:eastAsia="sk-SK"/>
        </w:rPr>
        <w:t>rozpočtu o</w:t>
      </w:r>
      <w:r w:rsidR="000A77C6">
        <w:rPr>
          <w:rFonts w:ascii="Times New Roman" w:eastAsia="Times New Roman" w:hAnsi="Times New Roman" w:cs="Times New Roman"/>
          <w:bCs/>
          <w:sz w:val="24"/>
          <w:szCs w:val="24"/>
          <w:lang w:eastAsia="sk-SK"/>
        </w:rPr>
        <w:t xml:space="preserve"> </w:t>
      </w:r>
      <w:r w:rsidR="00E24FF0" w:rsidRPr="000C0C90">
        <w:rPr>
          <w:rFonts w:ascii="Times New Roman" w:eastAsia="Times New Roman" w:hAnsi="Times New Roman" w:cs="Times New Roman"/>
          <w:bCs/>
          <w:sz w:val="24"/>
          <w:szCs w:val="24"/>
          <w:lang w:eastAsia="sk-SK"/>
        </w:rPr>
        <w:t> 427 780 934,31</w:t>
      </w:r>
      <w:r w:rsidR="00452FA0" w:rsidRPr="000C0C90">
        <w:rPr>
          <w:rFonts w:ascii="Times New Roman" w:hAnsi="Times New Roman" w:cs="Times New Roman"/>
          <w:color w:val="000000"/>
          <w:sz w:val="24"/>
          <w:szCs w:val="24"/>
          <w:lang w:eastAsia="sk-SK"/>
        </w:rPr>
        <w:t xml:space="preserve"> eur a</w:t>
      </w:r>
      <w:r w:rsidR="000A77C6">
        <w:rPr>
          <w:rFonts w:ascii="Times New Roman" w:hAnsi="Times New Roman" w:cs="Times New Roman"/>
          <w:color w:val="000000"/>
          <w:sz w:val="24"/>
          <w:szCs w:val="24"/>
          <w:lang w:eastAsia="sk-SK"/>
        </w:rPr>
        <w:t xml:space="preserve"> </w:t>
      </w:r>
      <w:r w:rsidR="00452FA0" w:rsidRPr="000C0C90">
        <w:rPr>
          <w:rFonts w:ascii="Times New Roman" w:hAnsi="Times New Roman" w:cs="Times New Roman"/>
          <w:color w:val="000000"/>
          <w:sz w:val="24"/>
          <w:szCs w:val="24"/>
          <w:lang w:eastAsia="sk-SK"/>
        </w:rPr>
        <w:t> viazaním rozpočtu o</w:t>
      </w:r>
      <w:r w:rsidR="00E24FF0" w:rsidRPr="000C0C90">
        <w:rPr>
          <w:rFonts w:ascii="Times New Roman" w:hAnsi="Times New Roman" w:cs="Times New Roman"/>
          <w:color w:val="000000"/>
          <w:sz w:val="24"/>
          <w:szCs w:val="24"/>
          <w:lang w:eastAsia="sk-SK"/>
        </w:rPr>
        <w:t> 284 833 523,69</w:t>
      </w:r>
      <w:r w:rsidR="00452FA0" w:rsidRPr="000C0C90">
        <w:rPr>
          <w:rFonts w:ascii="Times New Roman" w:hAnsi="Times New Roman" w:cs="Times New Roman"/>
          <w:color w:val="000000"/>
          <w:sz w:val="24"/>
          <w:szCs w:val="24"/>
          <w:lang w:eastAsia="sk-SK"/>
        </w:rPr>
        <w:t xml:space="preserve"> eur. K</w:t>
      </w:r>
      <w:r w:rsidRPr="000C0C90">
        <w:rPr>
          <w:rFonts w:ascii="Times New Roman" w:eastAsia="Times New Roman" w:hAnsi="Times New Roman" w:cs="Times New Roman"/>
          <w:bCs/>
          <w:sz w:val="24"/>
          <w:szCs w:val="24"/>
          <w:lang w:eastAsia="sk-SK"/>
        </w:rPr>
        <w:t> 31.12.201</w:t>
      </w:r>
      <w:r w:rsidR="00E24FF0" w:rsidRPr="000C0C90">
        <w:rPr>
          <w:rFonts w:ascii="Times New Roman" w:eastAsia="Times New Roman" w:hAnsi="Times New Roman" w:cs="Times New Roman"/>
          <w:bCs/>
          <w:sz w:val="24"/>
          <w:szCs w:val="24"/>
          <w:lang w:eastAsia="sk-SK"/>
        </w:rPr>
        <w:t>5</w:t>
      </w:r>
      <w:r w:rsidR="00452FA0" w:rsidRPr="000C0C90">
        <w:rPr>
          <w:rFonts w:ascii="Times New Roman" w:eastAsia="Times New Roman" w:hAnsi="Times New Roman" w:cs="Times New Roman"/>
          <w:bCs/>
          <w:sz w:val="24"/>
          <w:szCs w:val="24"/>
          <w:lang w:eastAsia="sk-SK"/>
        </w:rPr>
        <w:t xml:space="preserve"> bol rozpočet výdavkov kapitoly MH SR upravený celkovo </w:t>
      </w:r>
      <w:r w:rsidRPr="000C0C90">
        <w:rPr>
          <w:rFonts w:ascii="Times New Roman" w:eastAsia="Times New Roman" w:hAnsi="Times New Roman" w:cs="Times New Roman"/>
          <w:bCs/>
          <w:sz w:val="24"/>
          <w:szCs w:val="24"/>
          <w:lang w:eastAsia="sk-SK"/>
        </w:rPr>
        <w:t xml:space="preserve">o </w:t>
      </w:r>
      <w:r w:rsidR="00E24FF0" w:rsidRPr="000C0C90">
        <w:rPr>
          <w:rFonts w:ascii="Times New Roman" w:eastAsia="Times New Roman" w:hAnsi="Times New Roman" w:cs="Times New Roman"/>
          <w:bCs/>
          <w:sz w:val="24"/>
          <w:szCs w:val="24"/>
          <w:lang w:eastAsia="sk-SK"/>
        </w:rPr>
        <w:t>+ 142 947 410,62</w:t>
      </w:r>
      <w:r w:rsidRPr="000C0C90">
        <w:rPr>
          <w:rFonts w:ascii="Times New Roman" w:eastAsia="Times New Roman" w:hAnsi="Times New Roman" w:cs="Times New Roman"/>
          <w:bCs/>
          <w:sz w:val="24"/>
          <w:szCs w:val="24"/>
          <w:lang w:eastAsia="sk-SK"/>
        </w:rPr>
        <w:t xml:space="preserve"> eur.</w:t>
      </w:r>
    </w:p>
    <w:p w:rsidR="00487F06" w:rsidRPr="000C0C90" w:rsidRDefault="00487F06" w:rsidP="00E81F99">
      <w:pPr>
        <w:tabs>
          <w:tab w:val="left" w:pos="0"/>
          <w:tab w:val="right" w:pos="9072"/>
        </w:tabs>
        <w:spacing w:after="0" w:line="240" w:lineRule="auto"/>
        <w:ind w:firstLine="567"/>
        <w:jc w:val="both"/>
        <w:rPr>
          <w:rFonts w:ascii="Times New Roman" w:hAnsi="Times New Roman" w:cs="Times New Roman"/>
          <w:i/>
          <w:sz w:val="24"/>
          <w:szCs w:val="24"/>
        </w:rPr>
      </w:pPr>
    </w:p>
    <w:p w:rsidR="00487F06" w:rsidRPr="000C0C90" w:rsidRDefault="00487F06" w:rsidP="00B700D4">
      <w:pPr>
        <w:tabs>
          <w:tab w:val="left" w:pos="0"/>
          <w:tab w:val="right" w:pos="9072"/>
        </w:tabs>
        <w:spacing w:after="0" w:line="240" w:lineRule="auto"/>
        <w:ind w:firstLine="709"/>
        <w:jc w:val="both"/>
        <w:rPr>
          <w:rFonts w:ascii="Times New Roman" w:hAnsi="Times New Roman" w:cs="Times New Roman"/>
          <w:sz w:val="24"/>
          <w:szCs w:val="24"/>
        </w:rPr>
      </w:pPr>
      <w:r w:rsidRPr="000C0C90">
        <w:rPr>
          <w:rFonts w:ascii="Times New Roman" w:hAnsi="Times New Roman" w:cs="Times New Roman"/>
          <w:sz w:val="24"/>
          <w:szCs w:val="24"/>
        </w:rPr>
        <w:t>Rozpočet výdavkov bol v roku 201</w:t>
      </w:r>
      <w:r w:rsidR="007D267A" w:rsidRPr="000C0C90">
        <w:rPr>
          <w:rFonts w:ascii="Times New Roman" w:hAnsi="Times New Roman" w:cs="Times New Roman"/>
          <w:sz w:val="24"/>
          <w:szCs w:val="24"/>
        </w:rPr>
        <w:t>5</w:t>
      </w:r>
      <w:r w:rsidRPr="000C0C90">
        <w:rPr>
          <w:rFonts w:ascii="Times New Roman" w:hAnsi="Times New Roman" w:cs="Times New Roman"/>
          <w:sz w:val="24"/>
          <w:szCs w:val="24"/>
        </w:rPr>
        <w:t xml:space="preserve"> v najväčšej miere ovplyvnený nasledovnými úpravami rozpočtu :</w:t>
      </w:r>
    </w:p>
    <w:p w:rsidR="00837728" w:rsidRPr="000C0C90" w:rsidRDefault="00837728" w:rsidP="00E81F99">
      <w:pPr>
        <w:tabs>
          <w:tab w:val="left" w:pos="0"/>
          <w:tab w:val="right" w:pos="9072"/>
        </w:tabs>
        <w:spacing w:after="0" w:line="240" w:lineRule="auto"/>
        <w:ind w:firstLine="567"/>
        <w:jc w:val="both"/>
        <w:rPr>
          <w:rFonts w:ascii="Times New Roman" w:hAnsi="Times New Roman" w:cs="Times New Roman"/>
          <w:sz w:val="24"/>
          <w:szCs w:val="24"/>
        </w:rPr>
      </w:pPr>
    </w:p>
    <w:p w:rsidR="00487F06" w:rsidRPr="000C0C90" w:rsidRDefault="00487F06" w:rsidP="00B700D4">
      <w:pPr>
        <w:tabs>
          <w:tab w:val="left" w:pos="0"/>
          <w:tab w:val="right" w:pos="9072"/>
        </w:tabs>
        <w:spacing w:after="0" w:line="240" w:lineRule="auto"/>
        <w:ind w:firstLine="709"/>
        <w:jc w:val="both"/>
        <w:rPr>
          <w:rFonts w:ascii="Times New Roman" w:hAnsi="Times New Roman" w:cs="Times New Roman"/>
          <w:sz w:val="24"/>
          <w:szCs w:val="24"/>
        </w:rPr>
      </w:pPr>
      <w:r w:rsidRPr="00E76D53">
        <w:rPr>
          <w:rFonts w:ascii="Times New Roman" w:hAnsi="Times New Roman" w:cs="Times New Roman"/>
          <w:i/>
          <w:sz w:val="24"/>
          <w:szCs w:val="24"/>
        </w:rPr>
        <w:t>Zvýšenie rozpočtu výdavkov</w:t>
      </w:r>
      <w:r w:rsidRPr="000C0C90">
        <w:rPr>
          <w:rFonts w:ascii="Times New Roman" w:hAnsi="Times New Roman" w:cs="Times New Roman"/>
          <w:sz w:val="24"/>
          <w:szCs w:val="24"/>
        </w:rPr>
        <w:t xml:space="preserve">  kapitoly oproti schválenému rozpisu rozpočtu ovplyvnili rozpočtové opatrenia MF SR: </w:t>
      </w:r>
    </w:p>
    <w:p w:rsidR="008D323B" w:rsidRPr="000C0C90" w:rsidRDefault="008D323B" w:rsidP="00B700D4">
      <w:pPr>
        <w:tabs>
          <w:tab w:val="left" w:pos="0"/>
          <w:tab w:val="right" w:pos="9072"/>
        </w:tabs>
        <w:spacing w:after="0" w:line="240" w:lineRule="auto"/>
        <w:ind w:firstLine="709"/>
        <w:jc w:val="both"/>
        <w:rPr>
          <w:rFonts w:ascii="Times New Roman" w:hAnsi="Times New Roman" w:cs="Times New Roman"/>
          <w:sz w:val="24"/>
          <w:szCs w:val="24"/>
        </w:rPr>
      </w:pP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kapitálových výdavkov viazaných v r. 2014 podľa § 8 ods. 6 </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 xml:space="preserve">a  § 17 zákona NR SR č.523/2004 – medzirezortný podprogram 06H01 Hospodárska mobilizácia MH SR (zdroj 131E)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1/2015,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kapitálových výdavkov  viazaných v r.2014 podľa § 8  ods. 6 a   § 17 zákona NR SR č.  523/2004 – podprogram 07L04 Podpora programov rezortu </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 xml:space="preserve">MH SR  (zdroj 131E)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2/2015,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výdavkov a príjmov (prostriedky EÚ + spolufinancovanie) viazaných v roku 2014 podľa § 8 ods. 6 a § 17 zákona NR SR č.523/2004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5/2015,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povolené prekročenie limitu kapitálových výdavkov viazaných v r. 2014 podľa § 8 ods. 6</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 xml:space="preserve"> a § 17 zákona NR SR č.523/2004 – podprogram 07L04 Podpora programov rezortu </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 xml:space="preserve">MH SR  (zdroj 131E)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6/2015,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kapitálových výdavkov viazaných v r. 2014 podľa § 8 ods. 6 </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 xml:space="preserve">a § 17 zákona NR SR č.523/2004 – prvok 07K0403 Podpora rozvoja strategických investícií – Investičné stimuly (zdroj 131D, 131E)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12/2015,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rozpočtových výdavkov na program 0A90G </w:t>
      </w:r>
      <w:r w:rsidRPr="000C0C90">
        <w:rPr>
          <w:rFonts w:ascii="Times New Roman" w:hAnsi="Times New Roman" w:cs="Times New Roman"/>
          <w:bCs/>
          <w:color w:val="000000"/>
          <w:sz w:val="24"/>
          <w:szCs w:val="24"/>
        </w:rPr>
        <w:t xml:space="preserve">Elektronizácia služieb MH SR - OPIS (zdroj 13S1, 13S2, 13S3) – </w:t>
      </w:r>
      <w:proofErr w:type="spellStart"/>
      <w:r w:rsidRPr="000C0C90">
        <w:rPr>
          <w:rFonts w:ascii="Times New Roman" w:hAnsi="Times New Roman" w:cs="Times New Roman"/>
          <w:bCs/>
          <w:color w:val="000000"/>
          <w:sz w:val="24"/>
          <w:szCs w:val="24"/>
        </w:rPr>
        <w:t>RO</w:t>
      </w:r>
      <w:proofErr w:type="spellEnd"/>
      <w:r w:rsidRPr="000C0C90">
        <w:rPr>
          <w:rFonts w:ascii="Times New Roman" w:hAnsi="Times New Roman" w:cs="Times New Roman"/>
          <w:bCs/>
          <w:color w:val="000000"/>
          <w:sz w:val="24"/>
          <w:szCs w:val="24"/>
        </w:rPr>
        <w:t xml:space="preserve"> č. 15/2015,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výdavkov v rezortnom programe 07K Rozvoj priemyslu a podpora podnikania – prvok 07K0202 Administrácia podporných programov a schém – na prevádzku SBA (zdroj 111)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16/2015,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výdavkov v zmysle rokovania Rady vlády SR na EXPO Miláno 2015 v rezortnom programe 07L Tvorba a implementácia politík – podprogram 07L04 Podpora programov rezortu MH SR  (zdroj 111)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17/2015,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výdavkov v rezortnom programe 07K Rozvoj priemyslu a podpora podnikania – prvok 07K0403 Podpora rozvoja strategických investícií – Investičné stimuly (zdroj 131D)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21/2015,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výdavkov na základe schválenej žiadosti o platbu v prvku </w:t>
      </w:r>
      <w:proofErr w:type="spellStart"/>
      <w:r w:rsidRPr="000C0C90">
        <w:rPr>
          <w:rFonts w:ascii="Times New Roman" w:hAnsi="Times New Roman" w:cs="Times New Roman"/>
          <w:sz w:val="24"/>
          <w:szCs w:val="24"/>
        </w:rPr>
        <w:t>0A90G01</w:t>
      </w:r>
      <w:proofErr w:type="spellEnd"/>
      <w:r w:rsidRPr="000C0C90">
        <w:rPr>
          <w:rFonts w:ascii="Times New Roman" w:hAnsi="Times New Roman" w:cs="Times New Roman"/>
          <w:sz w:val="24"/>
          <w:szCs w:val="24"/>
        </w:rPr>
        <w:t xml:space="preserve"> - Elektronizácia služieb MH SR - OPIS (zdroje 13S1, 13S2, 13S3)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25/2015,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kapitálových výdavkov na prvku 07K0403 - Podpora rozvoja strategických investícií – Investičné stimuly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50/2015,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povolené prekročenie limitu kapitálových výdavkov (§ 8) na prvku 07K0403 - Podpora rozvoja strategických investícií – Investičné stimuly (zdroj 131D)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52/2015,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lang w:eastAsia="sk-SK"/>
        </w:rPr>
        <w:t>navýšenie limitu výdavkov na prvku 0A90G Elektronizácia VS a rozvoj elektronických služieb na centrálnej úrovni MF SR - MH SR – (</w:t>
      </w:r>
      <w:proofErr w:type="spellStart"/>
      <w:r w:rsidRPr="000C0C90">
        <w:rPr>
          <w:rFonts w:ascii="Times New Roman" w:hAnsi="Times New Roman" w:cs="Times New Roman"/>
          <w:sz w:val="24"/>
          <w:szCs w:val="24"/>
          <w:lang w:eastAsia="sk-SK"/>
        </w:rPr>
        <w:t>ZoP</w:t>
      </w:r>
      <w:proofErr w:type="spellEnd"/>
      <w:r w:rsidRPr="000C0C90">
        <w:rPr>
          <w:rFonts w:ascii="Times New Roman" w:hAnsi="Times New Roman" w:cs="Times New Roman"/>
          <w:sz w:val="24"/>
          <w:szCs w:val="24"/>
          <w:lang w:eastAsia="sk-SK"/>
        </w:rPr>
        <w:t xml:space="preserve">: 21110120021118 </w:t>
      </w:r>
      <w:proofErr w:type="spellStart"/>
      <w:r w:rsidRPr="000C0C90">
        <w:rPr>
          <w:rFonts w:ascii="Times New Roman" w:hAnsi="Times New Roman" w:cs="Times New Roman"/>
          <w:sz w:val="24"/>
          <w:szCs w:val="24"/>
          <w:lang w:eastAsia="sk-SK"/>
        </w:rPr>
        <w:t>KPR</w:t>
      </w:r>
      <w:proofErr w:type="spellEnd"/>
      <w:r w:rsidRPr="000C0C90">
        <w:rPr>
          <w:rFonts w:ascii="Times New Roman" w:hAnsi="Times New Roman" w:cs="Times New Roman"/>
          <w:sz w:val="24"/>
          <w:szCs w:val="24"/>
          <w:lang w:eastAsia="sk-SK"/>
        </w:rPr>
        <w:t xml:space="preserve">) – </w:t>
      </w:r>
      <w:proofErr w:type="spellStart"/>
      <w:r w:rsidRPr="000C0C90">
        <w:rPr>
          <w:rFonts w:ascii="Times New Roman" w:hAnsi="Times New Roman" w:cs="Times New Roman"/>
          <w:sz w:val="24"/>
          <w:szCs w:val="24"/>
          <w:lang w:eastAsia="sk-SK"/>
        </w:rPr>
        <w:t>RO</w:t>
      </w:r>
      <w:proofErr w:type="spellEnd"/>
      <w:r w:rsidR="00E76D53">
        <w:rPr>
          <w:rFonts w:ascii="Times New Roman" w:hAnsi="Times New Roman" w:cs="Times New Roman"/>
          <w:sz w:val="24"/>
          <w:szCs w:val="24"/>
          <w:lang w:eastAsia="sk-SK"/>
        </w:rPr>
        <w:t xml:space="preserve">          </w:t>
      </w:r>
      <w:r w:rsidRPr="000C0C90">
        <w:rPr>
          <w:rFonts w:ascii="Times New Roman" w:hAnsi="Times New Roman" w:cs="Times New Roman"/>
          <w:sz w:val="24"/>
          <w:szCs w:val="24"/>
          <w:lang w:eastAsia="sk-SK"/>
        </w:rPr>
        <w:t xml:space="preserve"> č. 56/2015,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lang w:eastAsia="sk-SK"/>
        </w:rPr>
        <w:t>navýšenie limitu výdavkov na prvku 0A90G Elektronizácia VS a rozvoj elektronických služieb na centrálnej úrovni MF SR - MH SR – (</w:t>
      </w:r>
      <w:proofErr w:type="spellStart"/>
      <w:r w:rsidRPr="000C0C90">
        <w:rPr>
          <w:rFonts w:ascii="Times New Roman" w:hAnsi="Times New Roman" w:cs="Times New Roman"/>
          <w:sz w:val="24"/>
          <w:szCs w:val="24"/>
          <w:lang w:eastAsia="sk-SK"/>
        </w:rPr>
        <w:t>ZoP</w:t>
      </w:r>
      <w:proofErr w:type="spellEnd"/>
      <w:r w:rsidRPr="000C0C90">
        <w:rPr>
          <w:rFonts w:ascii="Times New Roman" w:hAnsi="Times New Roman" w:cs="Times New Roman"/>
          <w:sz w:val="24"/>
          <w:szCs w:val="24"/>
          <w:lang w:eastAsia="sk-SK"/>
        </w:rPr>
        <w:t xml:space="preserve">: 21110120021120 </w:t>
      </w:r>
      <w:proofErr w:type="spellStart"/>
      <w:r w:rsidRPr="000C0C90">
        <w:rPr>
          <w:rFonts w:ascii="Times New Roman" w:hAnsi="Times New Roman" w:cs="Times New Roman"/>
          <w:sz w:val="24"/>
          <w:szCs w:val="24"/>
          <w:lang w:eastAsia="sk-SK"/>
        </w:rPr>
        <w:t>KPR</w:t>
      </w:r>
      <w:proofErr w:type="spellEnd"/>
      <w:r w:rsidRPr="000C0C90">
        <w:rPr>
          <w:rFonts w:ascii="Times New Roman" w:hAnsi="Times New Roman" w:cs="Times New Roman"/>
          <w:sz w:val="24"/>
          <w:szCs w:val="24"/>
          <w:lang w:eastAsia="sk-SK"/>
        </w:rPr>
        <w:t xml:space="preserve">) – </w:t>
      </w:r>
      <w:proofErr w:type="spellStart"/>
      <w:r w:rsidRPr="000C0C90">
        <w:rPr>
          <w:rFonts w:ascii="Times New Roman" w:hAnsi="Times New Roman" w:cs="Times New Roman"/>
          <w:sz w:val="24"/>
          <w:szCs w:val="24"/>
          <w:lang w:eastAsia="sk-SK"/>
        </w:rPr>
        <w:t>RO</w:t>
      </w:r>
      <w:proofErr w:type="spellEnd"/>
      <w:r w:rsidRPr="000C0C90">
        <w:rPr>
          <w:rFonts w:ascii="Times New Roman" w:hAnsi="Times New Roman" w:cs="Times New Roman"/>
          <w:sz w:val="24"/>
          <w:szCs w:val="24"/>
          <w:lang w:eastAsia="sk-SK"/>
        </w:rPr>
        <w:t xml:space="preserve"> </w:t>
      </w:r>
      <w:r w:rsidR="00E76D53">
        <w:rPr>
          <w:rFonts w:ascii="Times New Roman" w:hAnsi="Times New Roman" w:cs="Times New Roman"/>
          <w:sz w:val="24"/>
          <w:szCs w:val="24"/>
          <w:lang w:eastAsia="sk-SK"/>
        </w:rPr>
        <w:t xml:space="preserve">         </w:t>
      </w:r>
      <w:r w:rsidRPr="000C0C90">
        <w:rPr>
          <w:rFonts w:ascii="Times New Roman" w:hAnsi="Times New Roman" w:cs="Times New Roman"/>
          <w:sz w:val="24"/>
          <w:szCs w:val="24"/>
          <w:lang w:eastAsia="sk-SK"/>
        </w:rPr>
        <w:t>č. 63/2015,</w:t>
      </w:r>
    </w:p>
    <w:p w:rsidR="008D323B" w:rsidRPr="000C0C90" w:rsidRDefault="008D323B" w:rsidP="008D323B">
      <w:pPr>
        <w:numPr>
          <w:ilvl w:val="0"/>
          <w:numId w:val="9"/>
        </w:numPr>
        <w:tabs>
          <w:tab w:val="left" w:pos="284"/>
          <w:tab w:val="right" w:pos="9072"/>
        </w:tabs>
        <w:autoSpaceDE w:val="0"/>
        <w:autoSpaceDN w:val="0"/>
        <w:adjustRightInd w:val="0"/>
        <w:spacing w:after="0" w:line="240" w:lineRule="auto"/>
        <w:ind w:left="284" w:hanging="284"/>
        <w:jc w:val="both"/>
        <w:rPr>
          <w:rFonts w:ascii="Times New Roman" w:hAnsi="Times New Roman" w:cs="Times New Roman"/>
          <w:sz w:val="24"/>
          <w:szCs w:val="24"/>
          <w:lang w:eastAsia="sk-SK"/>
        </w:rPr>
      </w:pPr>
      <w:r w:rsidRPr="000C0C90">
        <w:rPr>
          <w:rFonts w:ascii="Times New Roman" w:hAnsi="Times New Roman" w:cs="Times New Roman"/>
          <w:sz w:val="24"/>
          <w:szCs w:val="24"/>
        </w:rPr>
        <w:t xml:space="preserve">povolené prekročenie limitu kapitálových výdavkov na programe 07K Rozvoj priemyslu a podpora podnikania, prvku 07K0D01 zvyšovanie energetickej efektívnosti na strane výroby a spotreby a zavádzanie progresívnych technológií v energetike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67/2015.</w:t>
      </w:r>
    </w:p>
    <w:p w:rsidR="008D323B" w:rsidRPr="000C0C90" w:rsidRDefault="008D323B" w:rsidP="00B700D4">
      <w:pPr>
        <w:tabs>
          <w:tab w:val="left" w:pos="709"/>
          <w:tab w:val="right" w:pos="9072"/>
        </w:tabs>
        <w:spacing w:after="0" w:line="240" w:lineRule="auto"/>
        <w:jc w:val="both"/>
        <w:rPr>
          <w:rFonts w:ascii="Times New Roman" w:hAnsi="Times New Roman" w:cs="Times New Roman"/>
          <w:sz w:val="24"/>
          <w:szCs w:val="24"/>
        </w:rPr>
      </w:pPr>
    </w:p>
    <w:p w:rsidR="00487F06" w:rsidRPr="000C0C90" w:rsidRDefault="00487F06" w:rsidP="00B700D4">
      <w:pPr>
        <w:tabs>
          <w:tab w:val="left" w:pos="709"/>
          <w:tab w:val="right" w:pos="9072"/>
        </w:tabs>
        <w:spacing w:after="0" w:line="240" w:lineRule="auto"/>
        <w:jc w:val="both"/>
        <w:rPr>
          <w:rFonts w:ascii="Times New Roman" w:hAnsi="Times New Roman" w:cs="Times New Roman"/>
          <w:sz w:val="24"/>
          <w:szCs w:val="24"/>
        </w:rPr>
      </w:pPr>
      <w:r w:rsidRPr="000C0C90">
        <w:rPr>
          <w:rFonts w:ascii="Times New Roman" w:hAnsi="Times New Roman" w:cs="Times New Roman"/>
          <w:sz w:val="24"/>
          <w:szCs w:val="24"/>
        </w:rPr>
        <w:tab/>
      </w:r>
      <w:r w:rsidRPr="00E76D53">
        <w:rPr>
          <w:rFonts w:ascii="Times New Roman" w:hAnsi="Times New Roman" w:cs="Times New Roman"/>
          <w:i/>
          <w:sz w:val="24"/>
          <w:szCs w:val="24"/>
        </w:rPr>
        <w:t>Zníženie rozpočtu výdavkov</w:t>
      </w:r>
      <w:r w:rsidRPr="000C0C90">
        <w:rPr>
          <w:rFonts w:ascii="Times New Roman" w:hAnsi="Times New Roman" w:cs="Times New Roman"/>
          <w:sz w:val="24"/>
          <w:szCs w:val="24"/>
        </w:rPr>
        <w:t xml:space="preserve"> kapitoly oproti schválenému rozpisu rozpočtu ovplyvnili rozpočtové opatrenia MF SR: </w:t>
      </w:r>
    </w:p>
    <w:p w:rsidR="008D323B" w:rsidRPr="000C0C90" w:rsidRDefault="008D323B" w:rsidP="00B700D4">
      <w:pPr>
        <w:tabs>
          <w:tab w:val="left" w:pos="709"/>
          <w:tab w:val="right" w:pos="9072"/>
        </w:tabs>
        <w:spacing w:after="0" w:line="240" w:lineRule="auto"/>
        <w:jc w:val="both"/>
        <w:rPr>
          <w:rFonts w:ascii="Times New Roman" w:hAnsi="Times New Roman" w:cs="Times New Roman"/>
          <w:sz w:val="24"/>
          <w:szCs w:val="24"/>
        </w:rPr>
      </w:pP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viazanie limitu kapitálových výdavkov v prvku 07K0403 Podpora rozvoja strategických investícií – Investičné stimuly (zdroj 131D) – z titulu neplnenia záväzného ukazovateľa príjmov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53/2015,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viazanie limitu kapitálových výdavkov v prvku 07K0403 Podpora rozvoja strategických investícií – Investičné stimuly (zdroj 131D) a zároveň viazanie limitu príjmov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č. 54/2015,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viazanie rozpočtových prostriedkov § 8 - prostriedky EÚ a spolufinancovania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w:t>
      </w:r>
      <w:r w:rsidR="00E76D53">
        <w:rPr>
          <w:rFonts w:ascii="Times New Roman" w:hAnsi="Times New Roman" w:cs="Times New Roman"/>
          <w:sz w:val="24"/>
          <w:szCs w:val="24"/>
        </w:rPr>
        <w:t xml:space="preserve">         </w:t>
      </w:r>
      <w:r w:rsidRPr="000C0C90">
        <w:rPr>
          <w:rFonts w:ascii="Times New Roman" w:hAnsi="Times New Roman" w:cs="Times New Roman"/>
          <w:sz w:val="24"/>
          <w:szCs w:val="24"/>
        </w:rPr>
        <w:t>č. 65/2015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viazanie rozpočtových prostriedkov § 8 – viazanie kapitálových výdavkov v programe 07K Rozvoj priemyslu a podpora podnikania, v programe 07L Tvorba  a implementácia politík a v medzirezortnom programe 06H01 Hospodárska mobilizácia MH SR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66/2015,</w:t>
      </w:r>
    </w:p>
    <w:p w:rsidR="008D323B" w:rsidRPr="000C0C90" w:rsidRDefault="008D323B" w:rsidP="008D323B">
      <w:pPr>
        <w:numPr>
          <w:ilvl w:val="0"/>
          <w:numId w:val="9"/>
        </w:numPr>
        <w:tabs>
          <w:tab w:val="left" w:pos="284"/>
          <w:tab w:val="right" w:pos="9072"/>
        </w:tabs>
        <w:spacing w:after="0" w:line="240" w:lineRule="auto"/>
        <w:ind w:left="284" w:hanging="284"/>
        <w:jc w:val="both"/>
        <w:rPr>
          <w:rFonts w:ascii="Times New Roman" w:hAnsi="Times New Roman" w:cs="Times New Roman"/>
          <w:sz w:val="24"/>
          <w:szCs w:val="24"/>
        </w:rPr>
      </w:pPr>
      <w:r w:rsidRPr="000C0C90">
        <w:rPr>
          <w:rFonts w:ascii="Times New Roman" w:hAnsi="Times New Roman" w:cs="Times New Roman"/>
          <w:sz w:val="24"/>
          <w:szCs w:val="24"/>
        </w:rPr>
        <w:t xml:space="preserve">viazanie rozpočtových prostriedkov (§ 8) na programe 07K Rozvoj priemyslu a podpora podnikania – </w:t>
      </w:r>
      <w:proofErr w:type="spellStart"/>
      <w:r w:rsidRPr="000C0C90">
        <w:rPr>
          <w:rFonts w:ascii="Times New Roman" w:hAnsi="Times New Roman" w:cs="Times New Roman"/>
          <w:sz w:val="24"/>
          <w:szCs w:val="24"/>
        </w:rPr>
        <w:t>RO</w:t>
      </w:r>
      <w:proofErr w:type="spellEnd"/>
      <w:r w:rsidRPr="000C0C90">
        <w:rPr>
          <w:rFonts w:ascii="Times New Roman" w:hAnsi="Times New Roman" w:cs="Times New Roman"/>
          <w:sz w:val="24"/>
          <w:szCs w:val="24"/>
        </w:rPr>
        <w:t xml:space="preserve"> č. 69/2015.</w:t>
      </w:r>
    </w:p>
    <w:p w:rsidR="008D323B" w:rsidRDefault="008D323B" w:rsidP="000C0C90">
      <w:pPr>
        <w:tabs>
          <w:tab w:val="left" w:pos="284"/>
          <w:tab w:val="right" w:pos="9072"/>
        </w:tabs>
        <w:spacing w:after="0" w:line="240" w:lineRule="auto"/>
        <w:jc w:val="both"/>
        <w:rPr>
          <w:szCs w:val="24"/>
        </w:rPr>
      </w:pPr>
    </w:p>
    <w:p w:rsidR="00B16961" w:rsidRPr="000500C7" w:rsidRDefault="00B16961" w:rsidP="003B66AB">
      <w:pPr>
        <w:pStyle w:val="Zarkazkladnhotextu"/>
        <w:tabs>
          <w:tab w:val="left" w:pos="540"/>
        </w:tabs>
        <w:spacing w:after="0" w:line="240" w:lineRule="auto"/>
        <w:ind w:left="0" w:firstLine="540"/>
        <w:jc w:val="both"/>
        <w:rPr>
          <w:rFonts w:ascii="Times New Roman" w:hAnsi="Times New Roman" w:cs="Times New Roman"/>
          <w:sz w:val="24"/>
          <w:szCs w:val="24"/>
        </w:rPr>
      </w:pPr>
    </w:p>
    <w:p w:rsidR="0012367D" w:rsidRPr="000500C7" w:rsidRDefault="0012367D" w:rsidP="00C41A95">
      <w:pPr>
        <w:pStyle w:val="Nadpis2"/>
        <w:numPr>
          <w:ilvl w:val="1"/>
          <w:numId w:val="25"/>
        </w:numPr>
        <w:spacing w:before="0" w:line="240" w:lineRule="auto"/>
        <w:ind w:left="567" w:hanging="567"/>
        <w:jc w:val="both"/>
        <w:rPr>
          <w:rFonts w:ascii="Times New Roman" w:hAnsi="Times New Roman" w:cs="Times New Roman"/>
          <w:sz w:val="24"/>
          <w:szCs w:val="24"/>
        </w:rPr>
      </w:pPr>
      <w:bookmarkStart w:id="13" w:name="_Toc415553103"/>
      <w:r w:rsidRPr="000500C7">
        <w:rPr>
          <w:rFonts w:ascii="Times New Roman" w:hAnsi="Times New Roman" w:cs="Times New Roman"/>
          <w:sz w:val="24"/>
          <w:szCs w:val="24"/>
        </w:rPr>
        <w:t>Finančné operácie</w:t>
      </w:r>
      <w:bookmarkEnd w:id="13"/>
    </w:p>
    <w:p w:rsidR="0012367D" w:rsidRPr="000500C7" w:rsidRDefault="0012367D" w:rsidP="00334D3B">
      <w:pPr>
        <w:spacing w:after="0" w:line="240" w:lineRule="auto"/>
        <w:ind w:firstLine="709"/>
        <w:rPr>
          <w:rFonts w:ascii="Times New Roman" w:hAnsi="Times New Roman" w:cs="Times New Roman"/>
          <w:sz w:val="24"/>
          <w:szCs w:val="24"/>
        </w:rPr>
      </w:pPr>
    </w:p>
    <w:p w:rsidR="000500C7" w:rsidRPr="000500C7" w:rsidRDefault="000500C7" w:rsidP="000500C7">
      <w:pPr>
        <w:autoSpaceDE w:val="0"/>
        <w:autoSpaceDN w:val="0"/>
        <w:adjustRightInd w:val="0"/>
        <w:spacing w:after="0" w:line="240" w:lineRule="auto"/>
        <w:ind w:firstLine="709"/>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Finančnými operáciami sa rozumie každá transakcia s finančnými aktívami a finančnými pasívami. Finančné operácie sú príjmové a výdavkové. Príjmové operácie zahŕňajú príjmy z transakcií s finančnými aktívami a finančnými pasívami a prijaté úvery, pôžičky a návratné finančné výpomoci. Výdavkové operácie pozostávajú z platieb za úvery, pôžičky, návratné finančné výpomoci, kapitálové účasti a iné výdavkové finančné operácie.</w:t>
      </w:r>
    </w:p>
    <w:p w:rsidR="000500C7" w:rsidRPr="000500C7"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E5291B" w:rsidRPr="003B66AB" w:rsidRDefault="00E5291B" w:rsidP="00E5291B">
      <w:pPr>
        <w:tabs>
          <w:tab w:val="left" w:pos="567"/>
        </w:tabs>
        <w:spacing w:after="0" w:line="240" w:lineRule="auto"/>
        <w:ind w:left="1276" w:hanging="567"/>
        <w:jc w:val="both"/>
        <w:rPr>
          <w:rFonts w:ascii="Times New Roman" w:hAnsi="Times New Roman" w:cs="Times New Roman"/>
          <w:b/>
          <w:sz w:val="24"/>
          <w:szCs w:val="24"/>
        </w:rPr>
      </w:pPr>
      <w:r w:rsidRPr="003B66AB">
        <w:rPr>
          <w:rFonts w:ascii="Times New Roman" w:hAnsi="Times New Roman" w:cs="Times New Roman"/>
          <w:b/>
          <w:sz w:val="24"/>
          <w:szCs w:val="24"/>
        </w:rPr>
        <w:t>1.</w:t>
      </w:r>
      <w:r>
        <w:rPr>
          <w:rFonts w:ascii="Times New Roman" w:hAnsi="Times New Roman" w:cs="Times New Roman"/>
          <w:b/>
          <w:sz w:val="24"/>
          <w:szCs w:val="24"/>
        </w:rPr>
        <w:t>4</w:t>
      </w:r>
      <w:r w:rsidRPr="003B66AB">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3B66AB">
        <w:rPr>
          <w:rFonts w:ascii="Times New Roman" w:hAnsi="Times New Roman" w:cs="Times New Roman"/>
          <w:b/>
          <w:sz w:val="24"/>
          <w:szCs w:val="24"/>
        </w:rPr>
        <w:t xml:space="preserve">Príjmové finančné operácie </w:t>
      </w:r>
    </w:p>
    <w:p w:rsidR="000500C7" w:rsidRPr="000500C7"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0500C7" w:rsidRPr="000500C7" w:rsidRDefault="000500C7" w:rsidP="000500C7">
      <w:pPr>
        <w:autoSpaceDE w:val="0"/>
        <w:autoSpaceDN w:val="0"/>
        <w:adjustRightInd w:val="0"/>
        <w:spacing w:after="0" w:line="240" w:lineRule="auto"/>
        <w:ind w:firstLine="709"/>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Finančné operácie kapitoly MH SR v úhrnnej sume 134 503 149,74 eur za rok 2015 v príjmovej časti predstavujú zostatky prostriedkov na mimorozpočtových účtoch z predchádzajúcich rokov v sume 28 292 539,74 eur a príjmové operácie tvoriace vklady a zvýšenia základného imania obchodných spoločností v pôsobnosti MH SR v sume 106 210 610,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 v zložení:</w:t>
      </w:r>
    </w:p>
    <w:p w:rsidR="000500C7" w:rsidRPr="000500C7"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0500C7" w:rsidRPr="000500C7" w:rsidRDefault="000500C7" w:rsidP="000500C7">
      <w:pPr>
        <w:pStyle w:val="Odsekzoznamu"/>
        <w:numPr>
          <w:ilvl w:val="0"/>
          <w:numId w:val="6"/>
        </w:numPr>
        <w:tabs>
          <w:tab w:val="clear" w:pos="720"/>
        </w:tabs>
        <w:autoSpaceDE w:val="0"/>
        <w:autoSpaceDN w:val="0"/>
        <w:adjustRightInd w:val="0"/>
        <w:spacing w:after="0" w:line="240" w:lineRule="auto"/>
        <w:ind w:left="426" w:hanging="284"/>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úrad MH SR v sume 27 756 042,31 eur.</w:t>
      </w:r>
    </w:p>
    <w:p w:rsidR="000500C7" w:rsidRPr="000500C7" w:rsidRDefault="000500C7" w:rsidP="000C164C">
      <w:pPr>
        <w:autoSpaceDE w:val="0"/>
        <w:autoSpaceDN w:val="0"/>
        <w:adjustRightInd w:val="0"/>
        <w:spacing w:after="0" w:line="240" w:lineRule="auto"/>
        <w:ind w:left="426" w:firstLine="567"/>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V uvedenej sume sú vykázané finančné prostriedky úradu MH SR na bežných účtoch (v sume 14 373 227,92 eur) a Fondu národného majetku (v sume 13 382 814,39 eur), ktoré spravuje Ministerstvo hospodárstva SR podľa zákona č. 347/1990 Zb. v znení neskorších predpisov. Tieto prostriedky sú vedené mimo štátneho rozpočtu SR.</w:t>
      </w:r>
    </w:p>
    <w:p w:rsidR="000500C7" w:rsidRPr="000500C7"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0500C7" w:rsidRPr="000500C7" w:rsidRDefault="000500C7" w:rsidP="000500C7">
      <w:pPr>
        <w:pStyle w:val="Odsekzoznamu"/>
        <w:numPr>
          <w:ilvl w:val="0"/>
          <w:numId w:val="6"/>
        </w:numPr>
        <w:tabs>
          <w:tab w:val="clear" w:pos="720"/>
        </w:tabs>
        <w:autoSpaceDE w:val="0"/>
        <w:autoSpaceDN w:val="0"/>
        <w:adjustRightInd w:val="0"/>
        <w:spacing w:after="0" w:line="240" w:lineRule="auto"/>
        <w:ind w:left="426" w:hanging="284"/>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rozpočtové organizácie v zakladateľskej pôsobnosti MH SR v sume 536 497,43 eur.</w:t>
      </w:r>
    </w:p>
    <w:p w:rsidR="000500C7" w:rsidRPr="000500C7" w:rsidRDefault="000500C7" w:rsidP="000500C7">
      <w:pPr>
        <w:autoSpaceDE w:val="0"/>
        <w:autoSpaceDN w:val="0"/>
        <w:adjustRightInd w:val="0"/>
        <w:spacing w:after="0" w:line="240" w:lineRule="auto"/>
        <w:ind w:left="567"/>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V uvedenej sume sú vykázané zostatky na bežných účtoch rozpočtových organizácií v zložení:</w:t>
      </w:r>
    </w:p>
    <w:p w:rsidR="000500C7" w:rsidRPr="000500C7" w:rsidRDefault="000500C7" w:rsidP="000500C7">
      <w:pPr>
        <w:pStyle w:val="Odsekzoznamu"/>
        <w:tabs>
          <w:tab w:val="left" w:pos="4253"/>
        </w:tabs>
        <w:autoSpaceDE w:val="0"/>
        <w:autoSpaceDN w:val="0"/>
        <w:adjustRightInd w:val="0"/>
        <w:spacing w:after="0" w:line="240" w:lineRule="auto"/>
        <w:ind w:left="1418"/>
        <w:contextualSpacing/>
        <w:jc w:val="both"/>
        <w:rPr>
          <w:rFonts w:ascii="Times New Roman" w:hAnsi="Times New Roman" w:cs="Times New Roman"/>
          <w:b/>
          <w:sz w:val="24"/>
          <w:szCs w:val="24"/>
          <w:lang w:bidi="sk-SK"/>
        </w:rPr>
      </w:pPr>
      <w:r>
        <w:rPr>
          <w:rFonts w:ascii="Times New Roman" w:hAnsi="Times New Roman" w:cs="Times New Roman"/>
          <w:sz w:val="24"/>
          <w:szCs w:val="24"/>
          <w:lang w:bidi="sk-SK"/>
        </w:rPr>
        <w:t xml:space="preserve">- </w:t>
      </w:r>
      <w:r w:rsidRPr="000500C7">
        <w:rPr>
          <w:rFonts w:ascii="Times New Roman" w:hAnsi="Times New Roman" w:cs="Times New Roman"/>
          <w:sz w:val="24"/>
          <w:szCs w:val="24"/>
          <w:lang w:bidi="sk-SK"/>
        </w:rPr>
        <w:t xml:space="preserve">Hlavný banský úrad                     </w:t>
      </w:r>
      <w:r w:rsidRPr="000500C7">
        <w:rPr>
          <w:rFonts w:ascii="Times New Roman" w:hAnsi="Times New Roman" w:cs="Times New Roman"/>
          <w:sz w:val="24"/>
          <w:szCs w:val="24"/>
          <w:lang w:bidi="sk-SK"/>
        </w:rPr>
        <w:tab/>
        <w:t>143 115,25 eur</w:t>
      </w:r>
    </w:p>
    <w:p w:rsidR="000500C7" w:rsidRPr="000500C7" w:rsidRDefault="000500C7" w:rsidP="000500C7">
      <w:pPr>
        <w:pStyle w:val="Odsekzoznamu"/>
        <w:tabs>
          <w:tab w:val="left" w:pos="4253"/>
        </w:tabs>
        <w:autoSpaceDE w:val="0"/>
        <w:autoSpaceDN w:val="0"/>
        <w:adjustRightInd w:val="0"/>
        <w:spacing w:after="0" w:line="240" w:lineRule="auto"/>
        <w:ind w:left="1418"/>
        <w:contextualSpacing/>
        <w:jc w:val="both"/>
        <w:rPr>
          <w:rFonts w:ascii="Times New Roman" w:hAnsi="Times New Roman" w:cs="Times New Roman"/>
          <w:b/>
          <w:sz w:val="24"/>
          <w:szCs w:val="24"/>
          <w:lang w:bidi="sk-SK"/>
        </w:rPr>
      </w:pPr>
      <w:r>
        <w:rPr>
          <w:rFonts w:ascii="Times New Roman" w:hAnsi="Times New Roman" w:cs="Times New Roman"/>
          <w:sz w:val="24"/>
          <w:szCs w:val="24"/>
          <w:lang w:bidi="sk-SK"/>
        </w:rPr>
        <w:t xml:space="preserve">- </w:t>
      </w:r>
      <w:r w:rsidRPr="000500C7">
        <w:rPr>
          <w:rFonts w:ascii="Times New Roman" w:hAnsi="Times New Roman" w:cs="Times New Roman"/>
          <w:sz w:val="24"/>
          <w:szCs w:val="24"/>
          <w:lang w:bidi="sk-SK"/>
        </w:rPr>
        <w:t xml:space="preserve">Puncový úrad SR                          </w:t>
      </w:r>
      <w:r w:rsidRPr="000500C7">
        <w:rPr>
          <w:rFonts w:ascii="Times New Roman" w:hAnsi="Times New Roman" w:cs="Times New Roman"/>
          <w:sz w:val="24"/>
          <w:szCs w:val="24"/>
          <w:lang w:bidi="sk-SK"/>
        </w:rPr>
        <w:tab/>
        <w:t xml:space="preserve">  31 228,45 eur</w:t>
      </w:r>
    </w:p>
    <w:p w:rsidR="000500C7" w:rsidRPr="000500C7" w:rsidRDefault="000500C7" w:rsidP="000500C7">
      <w:pPr>
        <w:pStyle w:val="Odsekzoznamu"/>
        <w:tabs>
          <w:tab w:val="left" w:pos="4253"/>
        </w:tabs>
        <w:autoSpaceDE w:val="0"/>
        <w:autoSpaceDN w:val="0"/>
        <w:adjustRightInd w:val="0"/>
        <w:spacing w:after="0" w:line="240" w:lineRule="auto"/>
        <w:ind w:left="1418"/>
        <w:contextualSpacing/>
        <w:jc w:val="both"/>
        <w:rPr>
          <w:rFonts w:ascii="Times New Roman" w:hAnsi="Times New Roman" w:cs="Times New Roman"/>
          <w:b/>
          <w:sz w:val="24"/>
          <w:szCs w:val="24"/>
          <w:lang w:bidi="sk-SK"/>
        </w:rPr>
      </w:pPr>
      <w:r>
        <w:rPr>
          <w:rFonts w:ascii="Times New Roman" w:hAnsi="Times New Roman" w:cs="Times New Roman"/>
          <w:sz w:val="24"/>
          <w:szCs w:val="24"/>
          <w:lang w:bidi="sk-SK"/>
        </w:rPr>
        <w:t xml:space="preserve">- </w:t>
      </w:r>
      <w:r w:rsidRPr="000500C7">
        <w:rPr>
          <w:rFonts w:ascii="Times New Roman" w:hAnsi="Times New Roman" w:cs="Times New Roman"/>
          <w:sz w:val="24"/>
          <w:szCs w:val="24"/>
          <w:lang w:bidi="sk-SK"/>
        </w:rPr>
        <w:t xml:space="preserve">Slovenská obchodná inšpekcia   </w:t>
      </w:r>
      <w:r w:rsidRPr="000500C7">
        <w:rPr>
          <w:rFonts w:ascii="Times New Roman" w:hAnsi="Times New Roman" w:cs="Times New Roman"/>
          <w:sz w:val="24"/>
          <w:szCs w:val="24"/>
          <w:lang w:bidi="sk-SK"/>
        </w:rPr>
        <w:tab/>
        <w:t>362 153,73 eur</w:t>
      </w:r>
      <w:r>
        <w:rPr>
          <w:rFonts w:ascii="Times New Roman" w:hAnsi="Times New Roman" w:cs="Times New Roman"/>
          <w:sz w:val="24"/>
          <w:szCs w:val="24"/>
          <w:lang w:bidi="sk-SK"/>
        </w:rPr>
        <w:t>.</w:t>
      </w:r>
    </w:p>
    <w:p w:rsidR="000500C7" w:rsidRPr="000500C7" w:rsidRDefault="000500C7" w:rsidP="000500C7">
      <w:pPr>
        <w:pStyle w:val="Odsekzoznamu"/>
        <w:tabs>
          <w:tab w:val="left" w:pos="4253"/>
        </w:tabs>
        <w:autoSpaceDE w:val="0"/>
        <w:autoSpaceDN w:val="0"/>
        <w:adjustRightInd w:val="0"/>
        <w:spacing w:after="0" w:line="240" w:lineRule="auto"/>
        <w:contextualSpacing/>
        <w:jc w:val="both"/>
        <w:rPr>
          <w:rFonts w:ascii="Times New Roman" w:hAnsi="Times New Roman" w:cs="Times New Roman"/>
          <w:b/>
          <w:sz w:val="24"/>
          <w:szCs w:val="24"/>
          <w:lang w:bidi="sk-SK"/>
        </w:rPr>
      </w:pPr>
    </w:p>
    <w:p w:rsidR="000500C7" w:rsidRPr="000500C7" w:rsidRDefault="000500C7" w:rsidP="000500C7">
      <w:pPr>
        <w:pStyle w:val="Odsekzoznamu"/>
        <w:numPr>
          <w:ilvl w:val="0"/>
          <w:numId w:val="6"/>
        </w:numPr>
        <w:tabs>
          <w:tab w:val="clear" w:pos="720"/>
        </w:tabs>
        <w:autoSpaceDE w:val="0"/>
        <w:autoSpaceDN w:val="0"/>
        <w:adjustRightInd w:val="0"/>
        <w:spacing w:after="0" w:line="240" w:lineRule="auto"/>
        <w:ind w:left="426" w:hanging="284"/>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s.r.o., zvýšenie základného imania </w:t>
      </w:r>
      <w:r w:rsidR="002257BB">
        <w:rPr>
          <w:rFonts w:ascii="Times New Roman" w:hAnsi="Times New Roman" w:cs="Times New Roman"/>
          <w:sz w:val="24"/>
          <w:szCs w:val="24"/>
          <w:lang w:bidi="sk-SK"/>
        </w:rPr>
        <w:t>(</w:t>
      </w:r>
      <w:proofErr w:type="spellStart"/>
      <w:r w:rsidR="002257BB">
        <w:rPr>
          <w:rFonts w:ascii="Times New Roman" w:hAnsi="Times New Roman" w:cs="Times New Roman"/>
          <w:sz w:val="24"/>
          <w:szCs w:val="24"/>
          <w:lang w:bidi="sk-SK"/>
        </w:rPr>
        <w:t>ZI</w:t>
      </w:r>
      <w:proofErr w:type="spellEnd"/>
      <w:r w:rsidR="002257BB">
        <w:rPr>
          <w:rFonts w:ascii="Times New Roman" w:hAnsi="Times New Roman" w:cs="Times New Roman"/>
          <w:sz w:val="24"/>
          <w:szCs w:val="24"/>
          <w:lang w:bidi="sk-SK"/>
        </w:rPr>
        <w:t xml:space="preserve">) </w:t>
      </w:r>
      <w:r w:rsidRPr="000500C7">
        <w:rPr>
          <w:rFonts w:ascii="Times New Roman" w:hAnsi="Times New Roman" w:cs="Times New Roman"/>
          <w:sz w:val="24"/>
          <w:szCs w:val="24"/>
          <w:lang w:bidi="sk-SK"/>
        </w:rPr>
        <w:t>spoločnosti v sume 99 788 110,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p>
    <w:p w:rsidR="000500C7" w:rsidRPr="000500C7" w:rsidRDefault="000500C7" w:rsidP="000500C7">
      <w:pPr>
        <w:pStyle w:val="Odsekzoznamu"/>
        <w:numPr>
          <w:ilvl w:val="0"/>
          <w:numId w:val="6"/>
        </w:numPr>
        <w:tabs>
          <w:tab w:val="clear" w:pos="720"/>
        </w:tabs>
        <w:autoSpaceDE w:val="0"/>
        <w:autoSpaceDN w:val="0"/>
        <w:adjustRightInd w:val="0"/>
        <w:spacing w:after="0" w:line="240" w:lineRule="auto"/>
        <w:ind w:left="426" w:hanging="284"/>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w:t>
      </w:r>
      <w:proofErr w:type="spellStart"/>
      <w:r w:rsidRPr="000500C7">
        <w:rPr>
          <w:rFonts w:ascii="Times New Roman" w:hAnsi="Times New Roman" w:cs="Times New Roman"/>
          <w:sz w:val="24"/>
          <w:szCs w:val="24"/>
          <w:lang w:bidi="sk-SK"/>
        </w:rPr>
        <w:t>II</w:t>
      </w:r>
      <w:proofErr w:type="spellEnd"/>
      <w:r w:rsidRPr="000500C7">
        <w:rPr>
          <w:rFonts w:ascii="Times New Roman" w:hAnsi="Times New Roman" w:cs="Times New Roman"/>
          <w:sz w:val="24"/>
          <w:szCs w:val="24"/>
          <w:lang w:bidi="sk-SK"/>
        </w:rPr>
        <w:t xml:space="preserve">, s.r.o. vklad do </w:t>
      </w:r>
      <w:proofErr w:type="spellStart"/>
      <w:r w:rsidRPr="000500C7">
        <w:rPr>
          <w:rFonts w:ascii="Times New Roman" w:hAnsi="Times New Roman" w:cs="Times New Roman"/>
          <w:sz w:val="24"/>
          <w:szCs w:val="24"/>
          <w:lang w:bidi="sk-SK"/>
        </w:rPr>
        <w:t>ZI</w:t>
      </w:r>
      <w:proofErr w:type="spellEnd"/>
      <w:r w:rsidRPr="000500C7">
        <w:rPr>
          <w:rFonts w:ascii="Times New Roman" w:hAnsi="Times New Roman" w:cs="Times New Roman"/>
          <w:sz w:val="24"/>
          <w:szCs w:val="24"/>
          <w:lang w:bidi="sk-SK"/>
        </w:rPr>
        <w:t xml:space="preserve"> spoločnosti v sume 5 000,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p>
    <w:p w:rsidR="000500C7" w:rsidRPr="000500C7" w:rsidRDefault="000500C7" w:rsidP="000500C7">
      <w:pPr>
        <w:pStyle w:val="Odsekzoznamu"/>
        <w:numPr>
          <w:ilvl w:val="0"/>
          <w:numId w:val="6"/>
        </w:numPr>
        <w:tabs>
          <w:tab w:val="clear" w:pos="720"/>
        </w:tabs>
        <w:autoSpaceDE w:val="0"/>
        <w:autoSpaceDN w:val="0"/>
        <w:adjustRightInd w:val="0"/>
        <w:spacing w:after="0" w:line="240" w:lineRule="auto"/>
        <w:ind w:left="426" w:hanging="284"/>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w:t>
      </w:r>
      <w:proofErr w:type="spellStart"/>
      <w:r w:rsidRPr="000500C7">
        <w:rPr>
          <w:rFonts w:ascii="Times New Roman" w:hAnsi="Times New Roman" w:cs="Times New Roman"/>
          <w:sz w:val="24"/>
          <w:szCs w:val="24"/>
          <w:lang w:bidi="sk-SK"/>
        </w:rPr>
        <w:t>II</w:t>
      </w:r>
      <w:proofErr w:type="spellEnd"/>
      <w:r w:rsidRPr="000500C7">
        <w:rPr>
          <w:rFonts w:ascii="Times New Roman" w:hAnsi="Times New Roman" w:cs="Times New Roman"/>
          <w:sz w:val="24"/>
          <w:szCs w:val="24"/>
          <w:lang w:bidi="sk-SK"/>
        </w:rPr>
        <w:t xml:space="preserve">, s.r.o. zvýšenie </w:t>
      </w:r>
      <w:proofErr w:type="spellStart"/>
      <w:r w:rsidRPr="000500C7">
        <w:rPr>
          <w:rFonts w:ascii="Times New Roman" w:hAnsi="Times New Roman" w:cs="Times New Roman"/>
          <w:sz w:val="24"/>
          <w:szCs w:val="24"/>
          <w:lang w:bidi="sk-SK"/>
        </w:rPr>
        <w:t>ZI</w:t>
      </w:r>
      <w:proofErr w:type="spellEnd"/>
      <w:r w:rsidRPr="000500C7">
        <w:rPr>
          <w:rFonts w:ascii="Times New Roman" w:hAnsi="Times New Roman" w:cs="Times New Roman"/>
          <w:sz w:val="24"/>
          <w:szCs w:val="24"/>
          <w:lang w:bidi="sk-SK"/>
        </w:rPr>
        <w:t xml:space="preserve"> spoločnosti v sume 6 390 000,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p>
    <w:p w:rsidR="000500C7" w:rsidRPr="000500C7" w:rsidRDefault="000500C7" w:rsidP="000500C7">
      <w:pPr>
        <w:pStyle w:val="Odsekzoznamu"/>
        <w:numPr>
          <w:ilvl w:val="0"/>
          <w:numId w:val="6"/>
        </w:numPr>
        <w:tabs>
          <w:tab w:val="clear" w:pos="720"/>
        </w:tabs>
        <w:autoSpaceDE w:val="0"/>
        <w:autoSpaceDN w:val="0"/>
        <w:adjustRightInd w:val="0"/>
        <w:spacing w:after="0" w:line="240" w:lineRule="auto"/>
        <w:ind w:left="426" w:hanging="284"/>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Manažment, a.s., vklad do </w:t>
      </w:r>
      <w:proofErr w:type="spellStart"/>
      <w:r w:rsidRPr="000500C7">
        <w:rPr>
          <w:rFonts w:ascii="Times New Roman" w:hAnsi="Times New Roman" w:cs="Times New Roman"/>
          <w:sz w:val="24"/>
          <w:szCs w:val="24"/>
          <w:lang w:bidi="sk-SK"/>
        </w:rPr>
        <w:t>ZI</w:t>
      </w:r>
      <w:proofErr w:type="spellEnd"/>
      <w:r w:rsidRPr="000500C7">
        <w:rPr>
          <w:rFonts w:ascii="Times New Roman" w:hAnsi="Times New Roman" w:cs="Times New Roman"/>
          <w:sz w:val="24"/>
          <w:szCs w:val="24"/>
          <w:lang w:bidi="sk-SK"/>
        </w:rPr>
        <w:t xml:space="preserve"> spoločnosti 25 000,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 a do rezervného fondu v sume 2 500,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p>
    <w:p w:rsidR="000500C7" w:rsidRPr="000500C7"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E5291B" w:rsidRPr="003B66AB" w:rsidRDefault="000500C7" w:rsidP="00E5291B">
      <w:pPr>
        <w:spacing w:after="0" w:line="240" w:lineRule="auto"/>
        <w:ind w:firstLine="709"/>
        <w:jc w:val="both"/>
        <w:rPr>
          <w:rFonts w:ascii="Times New Roman" w:hAnsi="Times New Roman" w:cs="Times New Roman"/>
          <w:b/>
          <w:sz w:val="24"/>
          <w:szCs w:val="24"/>
        </w:rPr>
      </w:pPr>
      <w:r w:rsidRPr="000500C7">
        <w:rPr>
          <w:rFonts w:ascii="Times New Roman" w:hAnsi="Times New Roman" w:cs="Times New Roman"/>
          <w:i/>
          <w:sz w:val="24"/>
          <w:szCs w:val="24"/>
          <w:lang w:bidi="sk-SK"/>
        </w:rPr>
        <w:t xml:space="preserve"> </w:t>
      </w:r>
      <w:r w:rsidR="00E5291B" w:rsidRPr="003B66AB">
        <w:rPr>
          <w:rFonts w:ascii="Times New Roman" w:hAnsi="Times New Roman" w:cs="Times New Roman"/>
          <w:b/>
          <w:sz w:val="24"/>
          <w:szCs w:val="24"/>
        </w:rPr>
        <w:t>1.</w:t>
      </w:r>
      <w:r w:rsidR="00E5291B">
        <w:rPr>
          <w:rFonts w:ascii="Times New Roman" w:hAnsi="Times New Roman" w:cs="Times New Roman"/>
          <w:b/>
          <w:sz w:val="24"/>
          <w:szCs w:val="24"/>
        </w:rPr>
        <w:t>4</w:t>
      </w:r>
      <w:r w:rsidR="00E5291B" w:rsidRPr="003B66AB">
        <w:rPr>
          <w:rFonts w:ascii="Times New Roman" w:hAnsi="Times New Roman" w:cs="Times New Roman"/>
          <w:b/>
          <w:sz w:val="24"/>
          <w:szCs w:val="24"/>
        </w:rPr>
        <w:t>.2. Výdavkové finančné operácie</w:t>
      </w:r>
    </w:p>
    <w:p w:rsidR="000500C7" w:rsidRPr="000500C7" w:rsidRDefault="000500C7" w:rsidP="000500C7">
      <w:pPr>
        <w:autoSpaceDE w:val="0"/>
        <w:autoSpaceDN w:val="0"/>
        <w:adjustRightInd w:val="0"/>
        <w:spacing w:after="0" w:line="240" w:lineRule="auto"/>
        <w:jc w:val="both"/>
        <w:rPr>
          <w:rFonts w:ascii="Times New Roman" w:hAnsi="Times New Roman" w:cs="Times New Roman"/>
          <w:b/>
          <w:sz w:val="24"/>
          <w:szCs w:val="24"/>
          <w:lang w:bidi="sk-SK"/>
        </w:rPr>
      </w:pPr>
    </w:p>
    <w:p w:rsidR="000500C7" w:rsidRPr="000500C7" w:rsidRDefault="000500C7" w:rsidP="000500C7">
      <w:pPr>
        <w:autoSpaceDE w:val="0"/>
        <w:autoSpaceDN w:val="0"/>
        <w:adjustRightInd w:val="0"/>
        <w:spacing w:after="0" w:line="240" w:lineRule="auto"/>
        <w:ind w:firstLine="708"/>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MH SR v roku 2015 realizovalo výdavkové operácie vyplývajúce z transakcií s finančnými aktívami a finančnými pasívami.</w:t>
      </w:r>
    </w:p>
    <w:p w:rsidR="000500C7" w:rsidRPr="000500C7" w:rsidRDefault="000500C7" w:rsidP="000500C7">
      <w:pPr>
        <w:tabs>
          <w:tab w:val="left" w:pos="284"/>
          <w:tab w:val="right" w:pos="9072"/>
        </w:tabs>
        <w:spacing w:after="0" w:line="240" w:lineRule="auto"/>
        <w:jc w:val="both"/>
        <w:rPr>
          <w:rFonts w:ascii="Times New Roman" w:hAnsi="Times New Roman" w:cs="Times New Roman"/>
          <w:b/>
          <w:sz w:val="24"/>
          <w:szCs w:val="24"/>
          <w:lang w:bidi="sk-SK"/>
        </w:rPr>
      </w:pPr>
    </w:p>
    <w:p w:rsidR="000500C7" w:rsidRPr="000500C7" w:rsidRDefault="000500C7" w:rsidP="000500C7">
      <w:pPr>
        <w:tabs>
          <w:tab w:val="left" w:pos="284"/>
          <w:tab w:val="right" w:pos="9072"/>
        </w:tabs>
        <w:spacing w:after="0" w:line="240" w:lineRule="auto"/>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Výdavkové operácie za kapitolu  predstavovali v roku 2015 sumu 110 610 610,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p>
    <w:p w:rsidR="000500C7" w:rsidRPr="000500C7" w:rsidRDefault="000500C7" w:rsidP="000500C7">
      <w:pPr>
        <w:tabs>
          <w:tab w:val="left" w:pos="284"/>
          <w:tab w:val="right" w:pos="9072"/>
        </w:tabs>
        <w:spacing w:after="0" w:line="240" w:lineRule="auto"/>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Úrad MH SR predstavuje sumu 110 610 610,</w:t>
      </w:r>
      <w:r>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r>
        <w:rPr>
          <w:rFonts w:ascii="Times New Roman" w:hAnsi="Times New Roman" w:cs="Times New Roman"/>
          <w:sz w:val="24"/>
          <w:szCs w:val="24"/>
          <w:lang w:bidi="sk-SK"/>
        </w:rPr>
        <w:t xml:space="preserve"> v členení:</w:t>
      </w:r>
    </w:p>
    <w:p w:rsidR="00E5291B" w:rsidRDefault="00E5291B" w:rsidP="00E5291B">
      <w:pPr>
        <w:tabs>
          <w:tab w:val="left" w:pos="851"/>
          <w:tab w:val="right" w:pos="9072"/>
        </w:tabs>
        <w:spacing w:after="0" w:line="240" w:lineRule="auto"/>
        <w:jc w:val="both"/>
        <w:rPr>
          <w:rFonts w:ascii="Times New Roman" w:hAnsi="Times New Roman" w:cs="Times New Roman"/>
          <w:b/>
          <w:sz w:val="24"/>
          <w:szCs w:val="24"/>
          <w:lang w:bidi="sk-SK"/>
        </w:rPr>
      </w:pPr>
      <w:r>
        <w:rPr>
          <w:rFonts w:ascii="Times New Roman" w:hAnsi="Times New Roman" w:cs="Times New Roman"/>
          <w:b/>
          <w:sz w:val="24"/>
          <w:szCs w:val="24"/>
          <w:lang w:bidi="sk-SK"/>
        </w:rPr>
        <w:tab/>
      </w:r>
      <w:r w:rsidR="000500C7" w:rsidRPr="000500C7">
        <w:rPr>
          <w:rFonts w:ascii="Times New Roman" w:hAnsi="Times New Roman" w:cs="Times New Roman"/>
          <w:sz w:val="24"/>
          <w:szCs w:val="24"/>
          <w:lang w:bidi="sk-SK"/>
        </w:rPr>
        <w:t>- Návratná finančná výpomoc mesto Prievidza 1 386 199,01 eur</w:t>
      </w:r>
    </w:p>
    <w:p w:rsidR="00E5291B" w:rsidRDefault="00E5291B" w:rsidP="00E5291B">
      <w:pPr>
        <w:tabs>
          <w:tab w:val="left" w:pos="851"/>
          <w:tab w:val="right" w:pos="9072"/>
        </w:tabs>
        <w:spacing w:after="0" w:line="240" w:lineRule="auto"/>
        <w:jc w:val="both"/>
        <w:rPr>
          <w:rFonts w:ascii="Times New Roman" w:hAnsi="Times New Roman" w:cs="Times New Roman"/>
          <w:b/>
          <w:sz w:val="24"/>
          <w:szCs w:val="24"/>
          <w:lang w:bidi="sk-SK"/>
        </w:rPr>
      </w:pPr>
      <w:r>
        <w:rPr>
          <w:rFonts w:ascii="Times New Roman" w:hAnsi="Times New Roman" w:cs="Times New Roman"/>
          <w:sz w:val="24"/>
          <w:szCs w:val="24"/>
          <w:lang w:bidi="sk-SK"/>
        </w:rPr>
        <w:tab/>
      </w:r>
      <w:r w:rsidR="000500C7" w:rsidRPr="000500C7">
        <w:rPr>
          <w:rFonts w:ascii="Times New Roman" w:hAnsi="Times New Roman" w:cs="Times New Roman"/>
          <w:sz w:val="24"/>
          <w:szCs w:val="24"/>
          <w:lang w:bidi="sk-SK"/>
        </w:rPr>
        <w:t xml:space="preserve">- Návratná finančná výpomoc Prievidza </w:t>
      </w:r>
      <w:proofErr w:type="spellStart"/>
      <w:r w:rsidR="000500C7" w:rsidRPr="000500C7">
        <w:rPr>
          <w:rFonts w:ascii="Times New Roman" w:hAnsi="Times New Roman" w:cs="Times New Roman"/>
          <w:sz w:val="24"/>
          <w:szCs w:val="24"/>
          <w:lang w:bidi="sk-SK"/>
        </w:rPr>
        <w:t>Invest</w:t>
      </w:r>
      <w:proofErr w:type="spellEnd"/>
      <w:r w:rsidR="000500C7" w:rsidRPr="000500C7">
        <w:rPr>
          <w:rFonts w:ascii="Times New Roman" w:hAnsi="Times New Roman" w:cs="Times New Roman"/>
          <w:sz w:val="24"/>
          <w:szCs w:val="24"/>
          <w:lang w:bidi="sk-SK"/>
        </w:rPr>
        <w:t xml:space="preserve">  2 302 758,66 eur</w:t>
      </w:r>
    </w:p>
    <w:p w:rsidR="000500C7" w:rsidRPr="000500C7" w:rsidRDefault="00E5291B" w:rsidP="00E5291B">
      <w:pPr>
        <w:tabs>
          <w:tab w:val="left" w:pos="851"/>
          <w:tab w:val="right" w:pos="9072"/>
        </w:tabs>
        <w:spacing w:after="0" w:line="240" w:lineRule="auto"/>
        <w:jc w:val="both"/>
        <w:rPr>
          <w:rFonts w:ascii="Times New Roman" w:hAnsi="Times New Roman" w:cs="Times New Roman"/>
          <w:b/>
          <w:sz w:val="24"/>
          <w:szCs w:val="24"/>
          <w:lang w:bidi="sk-SK"/>
        </w:rPr>
      </w:pPr>
      <w:r>
        <w:rPr>
          <w:rFonts w:ascii="Times New Roman" w:hAnsi="Times New Roman" w:cs="Times New Roman"/>
          <w:b/>
          <w:sz w:val="24"/>
          <w:szCs w:val="24"/>
          <w:lang w:bidi="sk-SK"/>
        </w:rPr>
        <w:tab/>
      </w:r>
      <w:r w:rsidR="000500C7" w:rsidRPr="000500C7">
        <w:rPr>
          <w:rFonts w:ascii="Times New Roman" w:hAnsi="Times New Roman" w:cs="Times New Roman"/>
          <w:sz w:val="24"/>
          <w:szCs w:val="24"/>
          <w:lang w:bidi="sk-SK"/>
        </w:rPr>
        <w:t xml:space="preserve">- Návratná finančná výpomoc </w:t>
      </w:r>
      <w:proofErr w:type="spellStart"/>
      <w:r w:rsidR="000500C7" w:rsidRPr="000500C7">
        <w:rPr>
          <w:rFonts w:ascii="Times New Roman" w:hAnsi="Times New Roman" w:cs="Times New Roman"/>
          <w:sz w:val="24"/>
          <w:szCs w:val="24"/>
          <w:lang w:bidi="sk-SK"/>
        </w:rPr>
        <w:t>SIEA</w:t>
      </w:r>
      <w:proofErr w:type="spellEnd"/>
      <w:r w:rsidR="000500C7" w:rsidRPr="000500C7">
        <w:rPr>
          <w:rFonts w:ascii="Times New Roman" w:hAnsi="Times New Roman" w:cs="Times New Roman"/>
          <w:sz w:val="24"/>
          <w:szCs w:val="24"/>
          <w:lang w:bidi="sk-SK"/>
        </w:rPr>
        <w:t xml:space="preserve"> Bratislava      600 000,- eur.</w:t>
      </w:r>
    </w:p>
    <w:p w:rsidR="000500C7" w:rsidRPr="000500C7" w:rsidRDefault="000500C7" w:rsidP="000500C7">
      <w:pPr>
        <w:tabs>
          <w:tab w:val="left" w:pos="284"/>
          <w:tab w:val="right" w:pos="9072"/>
        </w:tabs>
        <w:spacing w:after="0" w:line="240" w:lineRule="auto"/>
        <w:jc w:val="both"/>
        <w:rPr>
          <w:rFonts w:ascii="Times New Roman" w:hAnsi="Times New Roman" w:cs="Times New Roman"/>
          <w:b/>
          <w:sz w:val="24"/>
          <w:szCs w:val="24"/>
          <w:lang w:bidi="sk-SK"/>
        </w:rPr>
      </w:pPr>
    </w:p>
    <w:p w:rsidR="000500C7" w:rsidRPr="000500C7" w:rsidRDefault="00E5291B" w:rsidP="000500C7">
      <w:pPr>
        <w:tabs>
          <w:tab w:val="left" w:pos="284"/>
          <w:tab w:val="right" w:pos="9072"/>
        </w:tabs>
        <w:spacing w:after="0" w:line="240" w:lineRule="auto"/>
        <w:jc w:val="both"/>
        <w:rPr>
          <w:rFonts w:ascii="Times New Roman" w:hAnsi="Times New Roman" w:cs="Times New Roman"/>
          <w:b/>
          <w:sz w:val="24"/>
          <w:szCs w:val="24"/>
          <w:lang w:bidi="sk-SK"/>
        </w:rPr>
      </w:pPr>
      <w:r>
        <w:rPr>
          <w:rFonts w:ascii="Times New Roman" w:hAnsi="Times New Roman" w:cs="Times New Roman"/>
          <w:sz w:val="24"/>
          <w:szCs w:val="24"/>
          <w:lang w:bidi="sk-SK"/>
        </w:rPr>
        <w:t>Z</w:t>
      </w:r>
      <w:r w:rsidR="000500C7" w:rsidRPr="000500C7">
        <w:rPr>
          <w:rFonts w:ascii="Times New Roman" w:hAnsi="Times New Roman" w:cs="Times New Roman"/>
          <w:sz w:val="24"/>
          <w:szCs w:val="24"/>
          <w:lang w:bidi="sk-SK"/>
        </w:rPr>
        <w:t>ákladné</w:t>
      </w:r>
      <w:r>
        <w:rPr>
          <w:rFonts w:ascii="Times New Roman" w:hAnsi="Times New Roman" w:cs="Times New Roman"/>
          <w:sz w:val="24"/>
          <w:szCs w:val="24"/>
          <w:lang w:bidi="sk-SK"/>
        </w:rPr>
        <w:t xml:space="preserve"> </w:t>
      </w:r>
      <w:r w:rsidR="000500C7" w:rsidRPr="000500C7">
        <w:rPr>
          <w:rFonts w:ascii="Times New Roman" w:hAnsi="Times New Roman" w:cs="Times New Roman"/>
          <w:sz w:val="24"/>
          <w:szCs w:val="24"/>
          <w:lang w:bidi="sk-SK"/>
        </w:rPr>
        <w:t>imani</w:t>
      </w:r>
      <w:r>
        <w:rPr>
          <w:rFonts w:ascii="Times New Roman" w:hAnsi="Times New Roman" w:cs="Times New Roman"/>
          <w:sz w:val="24"/>
          <w:szCs w:val="24"/>
          <w:lang w:bidi="sk-SK"/>
        </w:rPr>
        <w:t>e</w:t>
      </w:r>
      <w:r w:rsidR="000500C7" w:rsidRPr="000500C7">
        <w:rPr>
          <w:rFonts w:ascii="Times New Roman" w:hAnsi="Times New Roman" w:cs="Times New Roman"/>
          <w:sz w:val="24"/>
          <w:szCs w:val="24"/>
          <w:lang w:bidi="sk-SK"/>
        </w:rPr>
        <w:t xml:space="preserve"> obchodných spoločností v pôsobnosti MH SR </w:t>
      </w:r>
      <w:r>
        <w:rPr>
          <w:rFonts w:ascii="Times New Roman" w:hAnsi="Times New Roman" w:cs="Times New Roman"/>
          <w:sz w:val="24"/>
          <w:szCs w:val="24"/>
          <w:lang w:bidi="sk-SK"/>
        </w:rPr>
        <w:t>bolo v roku 2015 navýšené celovo o sumu</w:t>
      </w:r>
      <w:r w:rsidR="000500C7" w:rsidRPr="000500C7">
        <w:rPr>
          <w:rFonts w:ascii="Times New Roman" w:hAnsi="Times New Roman" w:cs="Times New Roman"/>
          <w:sz w:val="24"/>
          <w:szCs w:val="24"/>
          <w:lang w:bidi="sk-SK"/>
        </w:rPr>
        <w:t xml:space="preserve"> 106 210 610,</w:t>
      </w:r>
      <w:r>
        <w:rPr>
          <w:rFonts w:ascii="Times New Roman" w:hAnsi="Times New Roman" w:cs="Times New Roman"/>
          <w:sz w:val="24"/>
          <w:szCs w:val="24"/>
          <w:lang w:bidi="sk-SK"/>
        </w:rPr>
        <w:t>00</w:t>
      </w:r>
      <w:r w:rsidR="000500C7" w:rsidRPr="000500C7">
        <w:rPr>
          <w:rFonts w:ascii="Times New Roman" w:hAnsi="Times New Roman" w:cs="Times New Roman"/>
          <w:sz w:val="24"/>
          <w:szCs w:val="24"/>
          <w:lang w:bidi="sk-SK"/>
        </w:rPr>
        <w:t xml:space="preserve"> eur</w:t>
      </w:r>
      <w:r>
        <w:rPr>
          <w:rFonts w:ascii="Times New Roman" w:hAnsi="Times New Roman" w:cs="Times New Roman"/>
          <w:sz w:val="24"/>
          <w:szCs w:val="24"/>
          <w:lang w:bidi="sk-SK"/>
        </w:rPr>
        <w:t xml:space="preserve"> nasledovne </w:t>
      </w:r>
      <w:r w:rsidR="000500C7" w:rsidRPr="000500C7">
        <w:rPr>
          <w:rFonts w:ascii="Times New Roman" w:hAnsi="Times New Roman" w:cs="Times New Roman"/>
          <w:sz w:val="24"/>
          <w:szCs w:val="24"/>
          <w:lang w:bidi="sk-SK"/>
        </w:rPr>
        <w:t>.</w:t>
      </w:r>
    </w:p>
    <w:p w:rsidR="000500C7" w:rsidRPr="000500C7" w:rsidRDefault="000500C7" w:rsidP="00E5291B">
      <w:pPr>
        <w:numPr>
          <w:ilvl w:val="0"/>
          <w:numId w:val="6"/>
        </w:numPr>
        <w:tabs>
          <w:tab w:val="left" w:pos="284"/>
          <w:tab w:val="right" w:pos="9072"/>
        </w:tabs>
        <w:spacing w:after="0" w:line="240" w:lineRule="auto"/>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s.r.o., zvýšenie základného imania  spoločnosti </w:t>
      </w:r>
      <w:r w:rsidR="00E5291B" w:rsidRPr="000500C7">
        <w:rPr>
          <w:rFonts w:ascii="Times New Roman" w:hAnsi="Times New Roman" w:cs="Times New Roman"/>
          <w:sz w:val="24"/>
          <w:szCs w:val="24"/>
          <w:lang w:bidi="sk-SK"/>
        </w:rPr>
        <w:t xml:space="preserve">v sume </w:t>
      </w:r>
      <w:r w:rsidRPr="000500C7">
        <w:rPr>
          <w:rFonts w:ascii="Times New Roman" w:hAnsi="Times New Roman" w:cs="Times New Roman"/>
          <w:sz w:val="24"/>
          <w:szCs w:val="24"/>
          <w:lang w:bidi="sk-SK"/>
        </w:rPr>
        <w:t>99 788 110,</w:t>
      </w:r>
      <w:r w:rsidR="00E5291B">
        <w:rPr>
          <w:rFonts w:ascii="Times New Roman" w:hAnsi="Times New Roman" w:cs="Times New Roman"/>
          <w:sz w:val="24"/>
          <w:szCs w:val="24"/>
          <w:lang w:bidi="sk-SK"/>
        </w:rPr>
        <w:t xml:space="preserve">00 </w:t>
      </w:r>
      <w:r w:rsidRPr="000500C7">
        <w:rPr>
          <w:rFonts w:ascii="Times New Roman" w:hAnsi="Times New Roman" w:cs="Times New Roman"/>
          <w:sz w:val="24"/>
          <w:szCs w:val="24"/>
          <w:lang w:bidi="sk-SK"/>
        </w:rPr>
        <w:t>eur,</w:t>
      </w:r>
    </w:p>
    <w:p w:rsidR="000500C7" w:rsidRPr="000500C7" w:rsidRDefault="000500C7" w:rsidP="000500C7">
      <w:pPr>
        <w:pStyle w:val="Odsekzoznamu"/>
        <w:numPr>
          <w:ilvl w:val="0"/>
          <w:numId w:val="6"/>
        </w:numPr>
        <w:tabs>
          <w:tab w:val="left" w:pos="284"/>
          <w:tab w:val="right" w:pos="9072"/>
        </w:tabs>
        <w:spacing w:after="0" w:line="240" w:lineRule="auto"/>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II., s.r.o. vklad do základného imania spoločnosti </w:t>
      </w:r>
      <w:r w:rsidR="00E5291B" w:rsidRPr="000500C7">
        <w:rPr>
          <w:rFonts w:ascii="Times New Roman" w:hAnsi="Times New Roman" w:cs="Times New Roman"/>
          <w:sz w:val="24"/>
          <w:szCs w:val="24"/>
          <w:lang w:bidi="sk-SK"/>
        </w:rPr>
        <w:t xml:space="preserve">v sume </w:t>
      </w:r>
      <w:r w:rsidRPr="000500C7">
        <w:rPr>
          <w:rFonts w:ascii="Times New Roman" w:hAnsi="Times New Roman" w:cs="Times New Roman"/>
          <w:sz w:val="24"/>
          <w:szCs w:val="24"/>
          <w:lang w:bidi="sk-SK"/>
        </w:rPr>
        <w:t>5 000,</w:t>
      </w:r>
      <w:r w:rsidR="00E5291B">
        <w:rPr>
          <w:rFonts w:ascii="Times New Roman" w:hAnsi="Times New Roman" w:cs="Times New Roman"/>
          <w:sz w:val="24"/>
          <w:szCs w:val="24"/>
          <w:lang w:bidi="sk-SK"/>
        </w:rPr>
        <w:t>00</w:t>
      </w:r>
      <w:r w:rsidRPr="000500C7">
        <w:rPr>
          <w:rFonts w:ascii="Times New Roman" w:hAnsi="Times New Roman" w:cs="Times New Roman"/>
          <w:sz w:val="24"/>
          <w:szCs w:val="24"/>
          <w:lang w:bidi="sk-SK"/>
        </w:rPr>
        <w:t xml:space="preserve"> eur,</w:t>
      </w:r>
    </w:p>
    <w:p w:rsidR="000500C7" w:rsidRPr="000500C7" w:rsidRDefault="000500C7" w:rsidP="000500C7">
      <w:pPr>
        <w:pStyle w:val="Odsekzoznamu"/>
        <w:numPr>
          <w:ilvl w:val="0"/>
          <w:numId w:val="6"/>
        </w:numPr>
        <w:tabs>
          <w:tab w:val="left" w:pos="284"/>
          <w:tab w:val="right" w:pos="9072"/>
        </w:tabs>
        <w:spacing w:after="0" w:line="240" w:lineRule="auto"/>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w:t>
      </w:r>
      <w:proofErr w:type="spellStart"/>
      <w:r w:rsidRPr="000500C7">
        <w:rPr>
          <w:rFonts w:ascii="Times New Roman" w:hAnsi="Times New Roman" w:cs="Times New Roman"/>
          <w:sz w:val="24"/>
          <w:szCs w:val="24"/>
          <w:lang w:bidi="sk-SK"/>
        </w:rPr>
        <w:t>II.,s.r.o</w:t>
      </w:r>
      <w:proofErr w:type="spellEnd"/>
      <w:r w:rsidRPr="000500C7">
        <w:rPr>
          <w:rFonts w:ascii="Times New Roman" w:hAnsi="Times New Roman" w:cs="Times New Roman"/>
          <w:sz w:val="24"/>
          <w:szCs w:val="24"/>
          <w:lang w:bidi="sk-SK"/>
        </w:rPr>
        <w:t xml:space="preserve">.  zvýšenie základného imania spoločnosti </w:t>
      </w:r>
      <w:r w:rsidR="00E5291B" w:rsidRPr="000500C7">
        <w:rPr>
          <w:rFonts w:ascii="Times New Roman" w:hAnsi="Times New Roman" w:cs="Times New Roman"/>
          <w:sz w:val="24"/>
          <w:szCs w:val="24"/>
          <w:lang w:bidi="sk-SK"/>
        </w:rPr>
        <w:t xml:space="preserve">v sume </w:t>
      </w:r>
      <w:r w:rsidRPr="000500C7">
        <w:rPr>
          <w:rFonts w:ascii="Times New Roman" w:hAnsi="Times New Roman" w:cs="Times New Roman"/>
          <w:sz w:val="24"/>
          <w:szCs w:val="24"/>
          <w:lang w:bidi="sk-SK"/>
        </w:rPr>
        <w:t>6 390 000,</w:t>
      </w:r>
      <w:r w:rsidR="00E5291B">
        <w:rPr>
          <w:rFonts w:ascii="Times New Roman" w:hAnsi="Times New Roman" w:cs="Times New Roman"/>
          <w:sz w:val="24"/>
          <w:szCs w:val="24"/>
          <w:lang w:bidi="sk-SK"/>
        </w:rPr>
        <w:t xml:space="preserve">00 </w:t>
      </w:r>
      <w:r w:rsidRPr="000500C7">
        <w:rPr>
          <w:rFonts w:ascii="Times New Roman" w:hAnsi="Times New Roman" w:cs="Times New Roman"/>
          <w:sz w:val="24"/>
          <w:szCs w:val="24"/>
          <w:lang w:bidi="sk-SK"/>
        </w:rPr>
        <w:t>eur,</w:t>
      </w:r>
    </w:p>
    <w:p w:rsidR="000500C7" w:rsidRPr="00E5291B" w:rsidRDefault="000500C7" w:rsidP="00E5291B">
      <w:pPr>
        <w:pStyle w:val="Odsekzoznamu"/>
        <w:numPr>
          <w:ilvl w:val="0"/>
          <w:numId w:val="6"/>
        </w:numPr>
        <w:tabs>
          <w:tab w:val="left" w:pos="284"/>
          <w:tab w:val="right" w:pos="9072"/>
        </w:tabs>
        <w:spacing w:after="0" w:line="240" w:lineRule="auto"/>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MH </w:t>
      </w:r>
      <w:proofErr w:type="spellStart"/>
      <w:r w:rsidRPr="000500C7">
        <w:rPr>
          <w:rFonts w:ascii="Times New Roman" w:hAnsi="Times New Roman" w:cs="Times New Roman"/>
          <w:sz w:val="24"/>
          <w:szCs w:val="24"/>
          <w:lang w:bidi="sk-SK"/>
        </w:rPr>
        <w:t>Manažment,a.s</w:t>
      </w:r>
      <w:proofErr w:type="spellEnd"/>
      <w:r w:rsidRPr="000500C7">
        <w:rPr>
          <w:rFonts w:ascii="Times New Roman" w:hAnsi="Times New Roman" w:cs="Times New Roman"/>
          <w:sz w:val="24"/>
          <w:szCs w:val="24"/>
          <w:lang w:bidi="sk-SK"/>
        </w:rPr>
        <w:t xml:space="preserve">., vklad do základného imania spoločnosti </w:t>
      </w:r>
      <w:r w:rsidR="00E5291B" w:rsidRPr="000500C7">
        <w:rPr>
          <w:rFonts w:ascii="Times New Roman" w:hAnsi="Times New Roman" w:cs="Times New Roman"/>
          <w:sz w:val="24"/>
          <w:szCs w:val="24"/>
          <w:lang w:bidi="sk-SK"/>
        </w:rPr>
        <w:t xml:space="preserve">v sume </w:t>
      </w:r>
      <w:r w:rsidRPr="000500C7">
        <w:rPr>
          <w:rFonts w:ascii="Times New Roman" w:hAnsi="Times New Roman" w:cs="Times New Roman"/>
          <w:sz w:val="24"/>
          <w:szCs w:val="24"/>
          <w:lang w:bidi="sk-SK"/>
        </w:rPr>
        <w:t>25 000,</w:t>
      </w:r>
      <w:r w:rsidR="00E5291B">
        <w:rPr>
          <w:rFonts w:ascii="Times New Roman" w:hAnsi="Times New Roman" w:cs="Times New Roman"/>
          <w:sz w:val="24"/>
          <w:szCs w:val="24"/>
          <w:lang w:bidi="sk-SK"/>
        </w:rPr>
        <w:t xml:space="preserve">00 </w:t>
      </w:r>
      <w:r w:rsidRPr="000500C7">
        <w:rPr>
          <w:rFonts w:ascii="Times New Roman" w:hAnsi="Times New Roman" w:cs="Times New Roman"/>
          <w:sz w:val="24"/>
          <w:szCs w:val="24"/>
          <w:lang w:bidi="sk-SK"/>
        </w:rPr>
        <w:t>eur a</w:t>
      </w:r>
      <w:r w:rsidR="00E5291B">
        <w:rPr>
          <w:rFonts w:ascii="Times New Roman" w:hAnsi="Times New Roman" w:cs="Times New Roman"/>
          <w:sz w:val="24"/>
          <w:szCs w:val="24"/>
          <w:lang w:bidi="sk-SK"/>
        </w:rPr>
        <w:t> </w:t>
      </w:r>
      <w:r w:rsidRPr="000500C7">
        <w:rPr>
          <w:rFonts w:ascii="Times New Roman" w:hAnsi="Times New Roman" w:cs="Times New Roman"/>
          <w:sz w:val="24"/>
          <w:szCs w:val="24"/>
          <w:lang w:bidi="sk-SK"/>
        </w:rPr>
        <w:t>do</w:t>
      </w:r>
      <w:r w:rsidR="00E5291B">
        <w:rPr>
          <w:rFonts w:ascii="Times New Roman" w:hAnsi="Times New Roman" w:cs="Times New Roman"/>
          <w:sz w:val="24"/>
          <w:szCs w:val="24"/>
          <w:lang w:bidi="sk-SK"/>
        </w:rPr>
        <w:t xml:space="preserve"> </w:t>
      </w:r>
      <w:r w:rsidRPr="00E5291B">
        <w:rPr>
          <w:rFonts w:ascii="Times New Roman" w:hAnsi="Times New Roman" w:cs="Times New Roman"/>
          <w:sz w:val="24"/>
          <w:szCs w:val="24"/>
          <w:lang w:bidi="sk-SK"/>
        </w:rPr>
        <w:t xml:space="preserve">rezervného fondu </w:t>
      </w:r>
      <w:r w:rsidR="00E5291B" w:rsidRPr="000500C7">
        <w:rPr>
          <w:rFonts w:ascii="Times New Roman" w:hAnsi="Times New Roman" w:cs="Times New Roman"/>
          <w:sz w:val="24"/>
          <w:szCs w:val="24"/>
          <w:lang w:bidi="sk-SK"/>
        </w:rPr>
        <w:t>v sume</w:t>
      </w:r>
      <w:r w:rsidR="00E5291B" w:rsidRPr="00E5291B">
        <w:rPr>
          <w:rFonts w:ascii="Times New Roman" w:hAnsi="Times New Roman" w:cs="Times New Roman"/>
          <w:sz w:val="24"/>
          <w:szCs w:val="24"/>
          <w:lang w:bidi="sk-SK"/>
        </w:rPr>
        <w:t xml:space="preserve"> </w:t>
      </w:r>
      <w:r w:rsidRPr="00E5291B">
        <w:rPr>
          <w:rFonts w:ascii="Times New Roman" w:hAnsi="Times New Roman" w:cs="Times New Roman"/>
          <w:sz w:val="24"/>
          <w:szCs w:val="24"/>
          <w:lang w:bidi="sk-SK"/>
        </w:rPr>
        <w:t>2 500,</w:t>
      </w:r>
      <w:r w:rsidR="00E5291B">
        <w:rPr>
          <w:rFonts w:ascii="Times New Roman" w:hAnsi="Times New Roman" w:cs="Times New Roman"/>
          <w:sz w:val="24"/>
          <w:szCs w:val="24"/>
          <w:lang w:bidi="sk-SK"/>
        </w:rPr>
        <w:t>00</w:t>
      </w:r>
      <w:r w:rsidRPr="00E5291B">
        <w:rPr>
          <w:rFonts w:ascii="Times New Roman" w:hAnsi="Times New Roman" w:cs="Times New Roman"/>
          <w:sz w:val="24"/>
          <w:szCs w:val="24"/>
          <w:lang w:bidi="sk-SK"/>
        </w:rPr>
        <w:t xml:space="preserve"> eur.</w:t>
      </w:r>
    </w:p>
    <w:p w:rsidR="000500C7" w:rsidRPr="000500C7" w:rsidRDefault="000500C7" w:rsidP="000500C7">
      <w:pPr>
        <w:tabs>
          <w:tab w:val="left" w:pos="284"/>
          <w:tab w:val="right" w:pos="9072"/>
        </w:tabs>
        <w:spacing w:after="0" w:line="240" w:lineRule="auto"/>
        <w:ind w:left="360"/>
        <w:jc w:val="both"/>
        <w:rPr>
          <w:rFonts w:ascii="Times New Roman" w:hAnsi="Times New Roman" w:cs="Times New Roman"/>
          <w:b/>
          <w:sz w:val="24"/>
          <w:szCs w:val="24"/>
          <w:lang w:bidi="sk-SK"/>
        </w:rPr>
      </w:pPr>
    </w:p>
    <w:p w:rsidR="000500C7" w:rsidRPr="000500C7" w:rsidRDefault="000500C7" w:rsidP="00E5291B">
      <w:pPr>
        <w:pStyle w:val="Odsekzoznamu"/>
        <w:tabs>
          <w:tab w:val="left" w:pos="284"/>
          <w:tab w:val="right" w:pos="9072"/>
        </w:tabs>
        <w:spacing w:after="0" w:line="240" w:lineRule="auto"/>
        <w:ind w:left="0"/>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Čiastkové splatenie návratných finančných výpomocí tvor</w:t>
      </w:r>
      <w:r w:rsidR="00E5291B">
        <w:rPr>
          <w:rFonts w:ascii="Times New Roman" w:hAnsi="Times New Roman" w:cs="Times New Roman"/>
          <w:sz w:val="24"/>
          <w:szCs w:val="24"/>
          <w:lang w:bidi="sk-SK"/>
        </w:rPr>
        <w:t>ilo</w:t>
      </w:r>
      <w:r w:rsidRPr="000500C7">
        <w:rPr>
          <w:rFonts w:ascii="Times New Roman" w:hAnsi="Times New Roman" w:cs="Times New Roman"/>
          <w:sz w:val="24"/>
          <w:szCs w:val="24"/>
          <w:lang w:bidi="sk-SK"/>
        </w:rPr>
        <w:t xml:space="preserve"> sumu 111 042,33 eur</w:t>
      </w:r>
      <w:r w:rsidR="00E5291B">
        <w:rPr>
          <w:rFonts w:ascii="Times New Roman" w:hAnsi="Times New Roman" w:cs="Times New Roman"/>
          <w:sz w:val="24"/>
          <w:szCs w:val="24"/>
          <w:lang w:bidi="sk-SK"/>
        </w:rPr>
        <w:t>:</w:t>
      </w:r>
    </w:p>
    <w:p w:rsidR="000500C7" w:rsidRPr="000500C7" w:rsidRDefault="000500C7" w:rsidP="000500C7">
      <w:pPr>
        <w:pStyle w:val="Odsekzoznamu"/>
        <w:numPr>
          <w:ilvl w:val="0"/>
          <w:numId w:val="6"/>
        </w:numPr>
        <w:tabs>
          <w:tab w:val="left" w:pos="284"/>
          <w:tab w:val="right" w:pos="9072"/>
        </w:tabs>
        <w:spacing w:after="0" w:line="240" w:lineRule="auto"/>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Mesto Prievidza vrátilo </w:t>
      </w:r>
      <w:r w:rsidR="00E5291B">
        <w:rPr>
          <w:rFonts w:ascii="Times New Roman" w:hAnsi="Times New Roman" w:cs="Times New Roman"/>
          <w:sz w:val="24"/>
          <w:szCs w:val="24"/>
          <w:lang w:bidi="sk-SK"/>
        </w:rPr>
        <w:t xml:space="preserve">sumu </w:t>
      </w:r>
      <w:r w:rsidRPr="000500C7">
        <w:rPr>
          <w:rFonts w:ascii="Times New Roman" w:hAnsi="Times New Roman" w:cs="Times New Roman"/>
          <w:sz w:val="24"/>
          <w:szCs w:val="24"/>
          <w:lang w:bidi="sk-SK"/>
        </w:rPr>
        <w:t>20 665,48 eur,</w:t>
      </w:r>
    </w:p>
    <w:p w:rsidR="000500C7" w:rsidRPr="000500C7" w:rsidRDefault="000500C7" w:rsidP="000500C7">
      <w:pPr>
        <w:pStyle w:val="Odsekzoznamu"/>
        <w:numPr>
          <w:ilvl w:val="0"/>
          <w:numId w:val="6"/>
        </w:numPr>
        <w:tabs>
          <w:tab w:val="left" w:pos="284"/>
          <w:tab w:val="right" w:pos="9072"/>
        </w:tabs>
        <w:spacing w:after="0" w:line="240" w:lineRule="auto"/>
        <w:contextualSpacing/>
        <w:jc w:val="both"/>
        <w:rPr>
          <w:rFonts w:ascii="Times New Roman" w:hAnsi="Times New Roman" w:cs="Times New Roman"/>
          <w:b/>
          <w:sz w:val="24"/>
          <w:szCs w:val="24"/>
          <w:lang w:bidi="sk-SK"/>
        </w:rPr>
      </w:pPr>
      <w:r w:rsidRPr="000500C7">
        <w:rPr>
          <w:rFonts w:ascii="Times New Roman" w:hAnsi="Times New Roman" w:cs="Times New Roman"/>
          <w:sz w:val="24"/>
          <w:szCs w:val="24"/>
          <w:lang w:bidi="sk-SK"/>
        </w:rPr>
        <w:t xml:space="preserve">Prievidza </w:t>
      </w:r>
      <w:proofErr w:type="spellStart"/>
      <w:r w:rsidRPr="000500C7">
        <w:rPr>
          <w:rFonts w:ascii="Times New Roman" w:hAnsi="Times New Roman" w:cs="Times New Roman"/>
          <w:sz w:val="24"/>
          <w:szCs w:val="24"/>
          <w:lang w:bidi="sk-SK"/>
        </w:rPr>
        <w:t>Invest</w:t>
      </w:r>
      <w:proofErr w:type="spellEnd"/>
      <w:r w:rsidRPr="000500C7">
        <w:rPr>
          <w:rFonts w:ascii="Times New Roman" w:hAnsi="Times New Roman" w:cs="Times New Roman"/>
          <w:sz w:val="24"/>
          <w:szCs w:val="24"/>
          <w:lang w:bidi="sk-SK"/>
        </w:rPr>
        <w:t xml:space="preserve">, s.r.o. vrátilo </w:t>
      </w:r>
      <w:r w:rsidR="00E5291B">
        <w:rPr>
          <w:rFonts w:ascii="Times New Roman" w:hAnsi="Times New Roman" w:cs="Times New Roman"/>
          <w:sz w:val="24"/>
          <w:szCs w:val="24"/>
          <w:lang w:bidi="sk-SK"/>
        </w:rPr>
        <w:t>sumu</w:t>
      </w:r>
      <w:r w:rsidRPr="000500C7">
        <w:rPr>
          <w:rFonts w:ascii="Times New Roman" w:hAnsi="Times New Roman" w:cs="Times New Roman"/>
          <w:sz w:val="24"/>
          <w:szCs w:val="24"/>
          <w:lang w:bidi="sk-SK"/>
        </w:rPr>
        <w:t xml:space="preserve"> 90 376,85 eur.</w:t>
      </w:r>
    </w:p>
    <w:p w:rsidR="000500C7" w:rsidRPr="00771309" w:rsidRDefault="000500C7" w:rsidP="000500C7">
      <w:pPr>
        <w:tabs>
          <w:tab w:val="left" w:pos="284"/>
          <w:tab w:val="right" w:pos="9072"/>
        </w:tabs>
        <w:spacing w:after="0" w:line="240" w:lineRule="auto"/>
        <w:ind w:left="360"/>
        <w:jc w:val="both"/>
        <w:rPr>
          <w:rFonts w:ascii="Calibri" w:hAnsi="Calibri"/>
          <w:b/>
          <w:sz w:val="24"/>
          <w:szCs w:val="24"/>
          <w:lang w:bidi="sk-SK"/>
        </w:rPr>
      </w:pPr>
    </w:p>
    <w:p w:rsidR="0012367D" w:rsidRPr="00D10E5E" w:rsidRDefault="0012367D" w:rsidP="00C41A95">
      <w:pPr>
        <w:pStyle w:val="Nadpis2"/>
        <w:numPr>
          <w:ilvl w:val="1"/>
          <w:numId w:val="25"/>
        </w:numPr>
        <w:spacing w:before="0" w:line="240" w:lineRule="auto"/>
        <w:ind w:left="567" w:hanging="567"/>
        <w:jc w:val="both"/>
        <w:rPr>
          <w:rFonts w:ascii="Times New Roman" w:hAnsi="Times New Roman" w:cs="Times New Roman"/>
          <w:sz w:val="24"/>
          <w:szCs w:val="24"/>
        </w:rPr>
      </w:pPr>
      <w:bookmarkStart w:id="14" w:name="_Toc415553104"/>
      <w:r w:rsidRPr="00D10E5E">
        <w:rPr>
          <w:rFonts w:ascii="Times New Roman" w:hAnsi="Times New Roman" w:cs="Times New Roman"/>
          <w:sz w:val="24"/>
          <w:szCs w:val="24"/>
        </w:rPr>
        <w:t>Zhodnotenie zamestnanosti</w:t>
      </w:r>
      <w:bookmarkEnd w:id="14"/>
    </w:p>
    <w:p w:rsidR="0012367D" w:rsidRDefault="0012367D" w:rsidP="005B4C47">
      <w:pPr>
        <w:spacing w:after="0" w:line="240" w:lineRule="auto"/>
        <w:ind w:hanging="360"/>
        <w:jc w:val="both"/>
        <w:rPr>
          <w:rFonts w:ascii="Times New Roman" w:hAnsi="Times New Roman" w:cs="Times New Roman"/>
          <w:sz w:val="24"/>
          <w:szCs w:val="24"/>
        </w:rPr>
      </w:pPr>
    </w:p>
    <w:p w:rsidR="0007249B" w:rsidRPr="00CA1406" w:rsidRDefault="0007249B" w:rsidP="0007249B">
      <w:pPr>
        <w:spacing w:line="240" w:lineRule="auto"/>
        <w:ind w:firstLine="540"/>
        <w:jc w:val="both"/>
        <w:rPr>
          <w:rFonts w:ascii="Times New Roman" w:hAnsi="Times New Roman" w:cs="Times New Roman"/>
          <w:sz w:val="24"/>
          <w:szCs w:val="24"/>
        </w:rPr>
      </w:pPr>
      <w:r w:rsidRPr="00CA1406">
        <w:rPr>
          <w:rFonts w:ascii="Times New Roman" w:hAnsi="Times New Roman" w:cs="Times New Roman"/>
          <w:sz w:val="24"/>
          <w:szCs w:val="24"/>
        </w:rPr>
        <w:t>V nadväznosti na bod C.1. uznesenia vlády SR č. 5</w:t>
      </w:r>
      <w:r>
        <w:rPr>
          <w:rFonts w:ascii="Times New Roman" w:hAnsi="Times New Roman" w:cs="Times New Roman"/>
          <w:sz w:val="24"/>
          <w:szCs w:val="24"/>
        </w:rPr>
        <w:t>0</w:t>
      </w:r>
      <w:r w:rsidRPr="00CA1406">
        <w:rPr>
          <w:rFonts w:ascii="Times New Roman" w:hAnsi="Times New Roman" w:cs="Times New Roman"/>
          <w:sz w:val="24"/>
          <w:szCs w:val="24"/>
        </w:rPr>
        <w:t>8 zo dňa 1</w:t>
      </w:r>
      <w:r>
        <w:rPr>
          <w:rFonts w:ascii="Times New Roman" w:hAnsi="Times New Roman" w:cs="Times New Roman"/>
          <w:sz w:val="24"/>
          <w:szCs w:val="24"/>
        </w:rPr>
        <w:t>5</w:t>
      </w:r>
      <w:r w:rsidRPr="00CA1406">
        <w:rPr>
          <w:rFonts w:ascii="Times New Roman" w:hAnsi="Times New Roman" w:cs="Times New Roman"/>
          <w:sz w:val="24"/>
          <w:szCs w:val="24"/>
        </w:rPr>
        <w:t>. októbra 201</w:t>
      </w:r>
      <w:r>
        <w:rPr>
          <w:rFonts w:ascii="Times New Roman" w:hAnsi="Times New Roman" w:cs="Times New Roman"/>
          <w:sz w:val="24"/>
          <w:szCs w:val="24"/>
        </w:rPr>
        <w:t>4</w:t>
      </w:r>
      <w:r w:rsidRPr="00CA1406">
        <w:rPr>
          <w:rFonts w:ascii="Times New Roman" w:hAnsi="Times New Roman" w:cs="Times New Roman"/>
          <w:sz w:val="24"/>
          <w:szCs w:val="24"/>
        </w:rPr>
        <w:t xml:space="preserve"> k návrhu rozpočtu verejnej správy na roky 201</w:t>
      </w:r>
      <w:r>
        <w:rPr>
          <w:rFonts w:ascii="Times New Roman" w:hAnsi="Times New Roman" w:cs="Times New Roman"/>
          <w:sz w:val="24"/>
          <w:szCs w:val="24"/>
        </w:rPr>
        <w:t>5</w:t>
      </w:r>
      <w:r w:rsidRPr="00CA1406">
        <w:rPr>
          <w:rFonts w:ascii="Times New Roman" w:hAnsi="Times New Roman" w:cs="Times New Roman"/>
          <w:sz w:val="24"/>
          <w:szCs w:val="24"/>
        </w:rPr>
        <w:t xml:space="preserve"> až 201</w:t>
      </w:r>
      <w:r>
        <w:rPr>
          <w:rFonts w:ascii="Times New Roman" w:hAnsi="Times New Roman" w:cs="Times New Roman"/>
          <w:sz w:val="24"/>
          <w:szCs w:val="24"/>
        </w:rPr>
        <w:t>7</w:t>
      </w:r>
      <w:r w:rsidRPr="00CA1406">
        <w:rPr>
          <w:rFonts w:ascii="Times New Roman" w:hAnsi="Times New Roman" w:cs="Times New Roman"/>
          <w:sz w:val="24"/>
          <w:szCs w:val="24"/>
        </w:rPr>
        <w:t xml:space="preserve"> a ustanovenie § 6 ods. č. 3 zákona č. 523/2004 Z.</w:t>
      </w:r>
      <w:r w:rsidR="00904A63">
        <w:rPr>
          <w:rFonts w:ascii="Times New Roman" w:hAnsi="Times New Roman" w:cs="Times New Roman"/>
          <w:sz w:val="24"/>
          <w:szCs w:val="24"/>
        </w:rPr>
        <w:t xml:space="preserve"> </w:t>
      </w:r>
      <w:r w:rsidRPr="00CA1406">
        <w:rPr>
          <w:rFonts w:ascii="Times New Roman" w:hAnsi="Times New Roman" w:cs="Times New Roman"/>
          <w:sz w:val="24"/>
          <w:szCs w:val="24"/>
        </w:rPr>
        <w:t xml:space="preserve">z. o rozpočtových pravidlách verejnej správy a o zmene a doplnení niektorých zákonov v znení zákona č. 199/2007 Z. z. boli v Národnej rade SR zákonom č. </w:t>
      </w:r>
      <w:r>
        <w:rPr>
          <w:rFonts w:ascii="Times New Roman" w:hAnsi="Times New Roman" w:cs="Times New Roman"/>
          <w:sz w:val="24"/>
          <w:szCs w:val="24"/>
        </w:rPr>
        <w:t>385</w:t>
      </w:r>
      <w:r w:rsidRPr="00CA1406">
        <w:rPr>
          <w:rFonts w:ascii="Times New Roman" w:hAnsi="Times New Roman" w:cs="Times New Roman"/>
          <w:sz w:val="24"/>
          <w:szCs w:val="24"/>
        </w:rPr>
        <w:t>/201</w:t>
      </w:r>
      <w:r>
        <w:rPr>
          <w:rFonts w:ascii="Times New Roman" w:hAnsi="Times New Roman" w:cs="Times New Roman"/>
          <w:sz w:val="24"/>
          <w:szCs w:val="24"/>
        </w:rPr>
        <w:t>4</w:t>
      </w:r>
      <w:r w:rsidRPr="00CA1406">
        <w:rPr>
          <w:rFonts w:ascii="Times New Roman" w:hAnsi="Times New Roman" w:cs="Times New Roman"/>
          <w:sz w:val="24"/>
          <w:szCs w:val="24"/>
        </w:rPr>
        <w:t xml:space="preserve"> o štátnom rozpočte na rok 201</w:t>
      </w:r>
      <w:r>
        <w:rPr>
          <w:rFonts w:ascii="Times New Roman" w:hAnsi="Times New Roman" w:cs="Times New Roman"/>
          <w:sz w:val="24"/>
          <w:szCs w:val="24"/>
        </w:rPr>
        <w:t>5</w:t>
      </w:r>
      <w:r w:rsidRPr="00CA1406">
        <w:rPr>
          <w:rFonts w:ascii="Times New Roman" w:hAnsi="Times New Roman" w:cs="Times New Roman"/>
          <w:sz w:val="24"/>
          <w:szCs w:val="24"/>
        </w:rPr>
        <w:t xml:space="preserve"> schválené záväzné ukazovatele štátneho rozpočtu na rok 201</w:t>
      </w:r>
      <w:r>
        <w:rPr>
          <w:rFonts w:ascii="Times New Roman" w:hAnsi="Times New Roman" w:cs="Times New Roman"/>
          <w:sz w:val="24"/>
          <w:szCs w:val="24"/>
        </w:rPr>
        <w:t>5</w:t>
      </w:r>
      <w:r w:rsidRPr="00CA1406">
        <w:rPr>
          <w:rFonts w:ascii="Times New Roman" w:hAnsi="Times New Roman" w:cs="Times New Roman"/>
          <w:sz w:val="24"/>
          <w:szCs w:val="24"/>
        </w:rPr>
        <w:t>.</w:t>
      </w:r>
    </w:p>
    <w:p w:rsidR="0007249B" w:rsidRPr="00CA1406" w:rsidRDefault="0007249B" w:rsidP="0007249B">
      <w:pPr>
        <w:spacing w:line="240" w:lineRule="auto"/>
        <w:ind w:firstLine="540"/>
        <w:jc w:val="both"/>
        <w:rPr>
          <w:rFonts w:ascii="Times New Roman" w:hAnsi="Times New Roman" w:cs="Times New Roman"/>
          <w:sz w:val="24"/>
          <w:szCs w:val="24"/>
        </w:rPr>
      </w:pPr>
      <w:r w:rsidRPr="00CA1406">
        <w:rPr>
          <w:rFonts w:ascii="Times New Roman" w:hAnsi="Times New Roman" w:cs="Times New Roman"/>
          <w:sz w:val="24"/>
          <w:szCs w:val="24"/>
        </w:rPr>
        <w:t xml:space="preserve">V  bode A. 4. uvedeného uznesenia vláda schválila pre kapitolu Ministerstva hospodárstva SR mzdové prostriedky na zdroji </w:t>
      </w:r>
      <w:r>
        <w:rPr>
          <w:rFonts w:ascii="Times New Roman" w:hAnsi="Times New Roman" w:cs="Times New Roman"/>
          <w:sz w:val="24"/>
          <w:szCs w:val="24"/>
        </w:rPr>
        <w:t>štátneho rozpočtu (</w:t>
      </w:r>
      <w:r w:rsidRPr="00CA1406">
        <w:rPr>
          <w:rFonts w:ascii="Times New Roman" w:hAnsi="Times New Roman" w:cs="Times New Roman"/>
          <w:sz w:val="24"/>
          <w:szCs w:val="24"/>
        </w:rPr>
        <w:t>111</w:t>
      </w:r>
      <w:r>
        <w:rPr>
          <w:rFonts w:ascii="Times New Roman" w:hAnsi="Times New Roman" w:cs="Times New Roman"/>
          <w:sz w:val="24"/>
          <w:szCs w:val="24"/>
        </w:rPr>
        <w:t>)</w:t>
      </w:r>
      <w:r w:rsidRPr="00CA1406">
        <w:rPr>
          <w:rFonts w:ascii="Times New Roman" w:hAnsi="Times New Roman" w:cs="Times New Roman"/>
          <w:sz w:val="24"/>
          <w:szCs w:val="24"/>
        </w:rPr>
        <w:t xml:space="preserve"> v</w:t>
      </w:r>
      <w:r>
        <w:rPr>
          <w:rFonts w:ascii="Times New Roman" w:hAnsi="Times New Roman" w:cs="Times New Roman"/>
          <w:sz w:val="24"/>
          <w:szCs w:val="24"/>
        </w:rPr>
        <w:t xml:space="preserve"> sume               </w:t>
      </w:r>
      <w:r w:rsidRPr="00CA1406">
        <w:rPr>
          <w:rFonts w:ascii="Times New Roman" w:hAnsi="Times New Roman" w:cs="Times New Roman"/>
          <w:sz w:val="24"/>
          <w:szCs w:val="24"/>
        </w:rPr>
        <w:t xml:space="preserve"> </w:t>
      </w:r>
      <w:r>
        <w:rPr>
          <w:rFonts w:ascii="Times New Roman" w:hAnsi="Times New Roman" w:cs="Times New Roman"/>
          <w:sz w:val="24"/>
          <w:szCs w:val="24"/>
        </w:rPr>
        <w:t>8 622 641</w:t>
      </w:r>
      <w:r w:rsidRPr="00CA1406">
        <w:rPr>
          <w:rFonts w:ascii="Times New Roman" w:hAnsi="Times New Roman" w:cs="Times New Roman"/>
          <w:sz w:val="24"/>
          <w:szCs w:val="24"/>
        </w:rPr>
        <w:t xml:space="preserve">,00 </w:t>
      </w:r>
      <w:r>
        <w:rPr>
          <w:rFonts w:ascii="Times New Roman" w:hAnsi="Times New Roman" w:cs="Times New Roman"/>
          <w:sz w:val="24"/>
          <w:szCs w:val="24"/>
        </w:rPr>
        <w:t>e</w:t>
      </w:r>
      <w:r w:rsidRPr="00CA1406">
        <w:rPr>
          <w:rFonts w:ascii="Times New Roman" w:hAnsi="Times New Roman" w:cs="Times New Roman"/>
          <w:sz w:val="24"/>
          <w:szCs w:val="24"/>
        </w:rPr>
        <w:t>ur pre 79</w:t>
      </w:r>
      <w:r>
        <w:rPr>
          <w:rFonts w:ascii="Times New Roman" w:hAnsi="Times New Roman" w:cs="Times New Roman"/>
          <w:sz w:val="24"/>
          <w:szCs w:val="24"/>
        </w:rPr>
        <w:t>8</w:t>
      </w:r>
      <w:r w:rsidRPr="00CA1406">
        <w:rPr>
          <w:rFonts w:ascii="Times New Roman" w:hAnsi="Times New Roman" w:cs="Times New Roman"/>
          <w:sz w:val="24"/>
          <w:szCs w:val="24"/>
        </w:rPr>
        <w:t xml:space="preserve"> osôb, z toho mzdové prostriedky pre aparát ministerstva v</w:t>
      </w:r>
      <w:r>
        <w:rPr>
          <w:rFonts w:ascii="Times New Roman" w:hAnsi="Times New Roman" w:cs="Times New Roman"/>
          <w:sz w:val="24"/>
          <w:szCs w:val="24"/>
        </w:rPr>
        <w:t xml:space="preserve"> sume               </w:t>
      </w:r>
      <w:r w:rsidRPr="00CA1406">
        <w:rPr>
          <w:rFonts w:ascii="Times New Roman" w:hAnsi="Times New Roman" w:cs="Times New Roman"/>
          <w:sz w:val="24"/>
          <w:szCs w:val="24"/>
        </w:rPr>
        <w:t xml:space="preserve"> </w:t>
      </w:r>
      <w:r>
        <w:rPr>
          <w:rFonts w:ascii="Times New Roman" w:hAnsi="Times New Roman" w:cs="Times New Roman"/>
          <w:sz w:val="24"/>
          <w:szCs w:val="24"/>
        </w:rPr>
        <w:t>4 622 177</w:t>
      </w:r>
      <w:r w:rsidRPr="00CA1406">
        <w:rPr>
          <w:rFonts w:ascii="Times New Roman" w:hAnsi="Times New Roman" w:cs="Times New Roman"/>
          <w:sz w:val="24"/>
          <w:szCs w:val="24"/>
        </w:rPr>
        <w:t xml:space="preserve">,00 </w:t>
      </w:r>
      <w:r>
        <w:rPr>
          <w:rFonts w:ascii="Times New Roman" w:hAnsi="Times New Roman" w:cs="Times New Roman"/>
          <w:sz w:val="24"/>
          <w:szCs w:val="24"/>
        </w:rPr>
        <w:t>e</w:t>
      </w:r>
      <w:r w:rsidRPr="00CA1406">
        <w:rPr>
          <w:rFonts w:ascii="Times New Roman" w:hAnsi="Times New Roman" w:cs="Times New Roman"/>
          <w:sz w:val="24"/>
          <w:szCs w:val="24"/>
        </w:rPr>
        <w:t>ur pre 4</w:t>
      </w:r>
      <w:r>
        <w:rPr>
          <w:rFonts w:ascii="Times New Roman" w:hAnsi="Times New Roman" w:cs="Times New Roman"/>
          <w:sz w:val="24"/>
          <w:szCs w:val="24"/>
        </w:rPr>
        <w:t>23</w:t>
      </w:r>
      <w:r w:rsidRPr="00CA1406">
        <w:rPr>
          <w:rFonts w:ascii="Times New Roman" w:hAnsi="Times New Roman" w:cs="Times New Roman"/>
          <w:sz w:val="24"/>
          <w:szCs w:val="24"/>
        </w:rPr>
        <w:t xml:space="preserve"> osôb, vrátane zamestnancov vyslaných na vykonávanie štátnej služby mimo sídla služobného úradu v cudzine.</w:t>
      </w:r>
    </w:p>
    <w:p w:rsidR="0007249B" w:rsidRPr="00CA1406" w:rsidRDefault="0007249B" w:rsidP="0007249B">
      <w:pPr>
        <w:spacing w:line="240" w:lineRule="auto"/>
        <w:ind w:firstLine="540"/>
        <w:jc w:val="both"/>
        <w:rPr>
          <w:rFonts w:ascii="Times New Roman" w:hAnsi="Times New Roman" w:cs="Times New Roman"/>
          <w:sz w:val="24"/>
          <w:szCs w:val="24"/>
        </w:rPr>
      </w:pPr>
      <w:r w:rsidRPr="00CA1406">
        <w:rPr>
          <w:rFonts w:ascii="Times New Roman" w:hAnsi="Times New Roman" w:cs="Times New Roman"/>
          <w:sz w:val="24"/>
          <w:szCs w:val="24"/>
        </w:rPr>
        <w:t>V priebehu roka 201</w:t>
      </w:r>
      <w:r>
        <w:rPr>
          <w:rFonts w:ascii="Times New Roman" w:hAnsi="Times New Roman" w:cs="Times New Roman"/>
          <w:sz w:val="24"/>
          <w:szCs w:val="24"/>
        </w:rPr>
        <w:t>5</w:t>
      </w:r>
      <w:r w:rsidRPr="00CA1406">
        <w:rPr>
          <w:rFonts w:ascii="Times New Roman" w:hAnsi="Times New Roman" w:cs="Times New Roman"/>
          <w:sz w:val="24"/>
          <w:szCs w:val="24"/>
        </w:rPr>
        <w:t xml:space="preserve"> bol rozpočet mzdových prostriedkov </w:t>
      </w:r>
      <w:r>
        <w:rPr>
          <w:rFonts w:ascii="Times New Roman" w:hAnsi="Times New Roman" w:cs="Times New Roman"/>
          <w:sz w:val="24"/>
          <w:szCs w:val="24"/>
        </w:rPr>
        <w:t xml:space="preserve">  </w:t>
      </w:r>
      <w:r w:rsidRPr="00CA1406">
        <w:rPr>
          <w:rFonts w:ascii="Times New Roman" w:hAnsi="Times New Roman" w:cs="Times New Roman"/>
          <w:sz w:val="24"/>
          <w:szCs w:val="24"/>
        </w:rPr>
        <w:t xml:space="preserve">na zdroji </w:t>
      </w:r>
      <w:r>
        <w:rPr>
          <w:rFonts w:ascii="Times New Roman" w:hAnsi="Times New Roman" w:cs="Times New Roman"/>
          <w:sz w:val="24"/>
          <w:szCs w:val="24"/>
        </w:rPr>
        <w:t xml:space="preserve">  </w:t>
      </w:r>
      <w:r w:rsidRPr="00CA1406">
        <w:rPr>
          <w:rFonts w:ascii="Times New Roman" w:hAnsi="Times New Roman" w:cs="Times New Roman"/>
          <w:sz w:val="24"/>
          <w:szCs w:val="24"/>
        </w:rPr>
        <w:t xml:space="preserve">111 upravený na </w:t>
      </w:r>
      <w:r>
        <w:rPr>
          <w:rFonts w:ascii="Times New Roman" w:hAnsi="Times New Roman" w:cs="Times New Roman"/>
          <w:sz w:val="24"/>
          <w:szCs w:val="24"/>
        </w:rPr>
        <w:t xml:space="preserve">  </w:t>
      </w:r>
      <w:r w:rsidRPr="00CA1406">
        <w:rPr>
          <w:rFonts w:ascii="Times New Roman" w:hAnsi="Times New Roman" w:cs="Times New Roman"/>
          <w:sz w:val="24"/>
          <w:szCs w:val="24"/>
        </w:rPr>
        <w:t>9</w:t>
      </w:r>
      <w:r>
        <w:rPr>
          <w:rFonts w:ascii="Times New Roman" w:hAnsi="Times New Roman" w:cs="Times New Roman"/>
          <w:sz w:val="24"/>
          <w:szCs w:val="24"/>
        </w:rPr>
        <w:t> 453 295</w:t>
      </w:r>
      <w:r w:rsidRPr="00CA1406">
        <w:rPr>
          <w:rFonts w:ascii="Times New Roman" w:hAnsi="Times New Roman" w:cs="Times New Roman"/>
          <w:sz w:val="24"/>
          <w:szCs w:val="24"/>
        </w:rPr>
        <w:t xml:space="preserve">,00 </w:t>
      </w:r>
      <w:r>
        <w:rPr>
          <w:rFonts w:ascii="Times New Roman" w:hAnsi="Times New Roman" w:cs="Times New Roman"/>
          <w:sz w:val="24"/>
          <w:szCs w:val="24"/>
        </w:rPr>
        <w:t>e</w:t>
      </w:r>
      <w:r w:rsidRPr="00CA1406">
        <w:rPr>
          <w:rFonts w:ascii="Times New Roman" w:hAnsi="Times New Roman" w:cs="Times New Roman"/>
          <w:sz w:val="24"/>
          <w:szCs w:val="24"/>
        </w:rPr>
        <w:t>ur</w:t>
      </w:r>
      <w:r>
        <w:rPr>
          <w:rFonts w:ascii="Times New Roman" w:hAnsi="Times New Roman" w:cs="Times New Roman"/>
          <w:sz w:val="24"/>
          <w:szCs w:val="24"/>
        </w:rPr>
        <w:t xml:space="preserve"> </w:t>
      </w:r>
      <w:r w:rsidRPr="00CA1406">
        <w:rPr>
          <w:rFonts w:ascii="Times New Roman" w:hAnsi="Times New Roman" w:cs="Times New Roman"/>
          <w:sz w:val="24"/>
          <w:szCs w:val="24"/>
        </w:rPr>
        <w:t xml:space="preserve"> pre </w:t>
      </w:r>
      <w:r>
        <w:rPr>
          <w:rFonts w:ascii="Times New Roman" w:hAnsi="Times New Roman" w:cs="Times New Roman"/>
          <w:sz w:val="24"/>
          <w:szCs w:val="24"/>
        </w:rPr>
        <w:t>802</w:t>
      </w:r>
      <w:r w:rsidRPr="00CA1406">
        <w:rPr>
          <w:rFonts w:ascii="Times New Roman" w:hAnsi="Times New Roman" w:cs="Times New Roman"/>
          <w:sz w:val="24"/>
          <w:szCs w:val="24"/>
        </w:rPr>
        <w:t xml:space="preserve"> osôb, z  toho   mzdové prostriedky pre aparát ministerstva </w:t>
      </w:r>
      <w:r>
        <w:rPr>
          <w:rFonts w:ascii="Times New Roman" w:hAnsi="Times New Roman" w:cs="Times New Roman"/>
          <w:sz w:val="24"/>
          <w:szCs w:val="24"/>
        </w:rPr>
        <w:t>v sume</w:t>
      </w:r>
      <w:r w:rsidRPr="00CA1406">
        <w:rPr>
          <w:rFonts w:ascii="Times New Roman" w:hAnsi="Times New Roman" w:cs="Times New Roman"/>
          <w:sz w:val="24"/>
          <w:szCs w:val="24"/>
        </w:rPr>
        <w:t xml:space="preserve"> </w:t>
      </w:r>
      <w:r>
        <w:rPr>
          <w:rFonts w:ascii="Times New Roman" w:hAnsi="Times New Roman" w:cs="Times New Roman"/>
          <w:sz w:val="24"/>
          <w:szCs w:val="24"/>
        </w:rPr>
        <w:t>5 405 445</w:t>
      </w:r>
      <w:r w:rsidRPr="00CA1406">
        <w:rPr>
          <w:rFonts w:ascii="Times New Roman" w:hAnsi="Times New Roman" w:cs="Times New Roman"/>
          <w:sz w:val="24"/>
          <w:szCs w:val="24"/>
        </w:rPr>
        <w:t xml:space="preserve">,00 </w:t>
      </w:r>
      <w:r>
        <w:rPr>
          <w:rFonts w:ascii="Times New Roman" w:hAnsi="Times New Roman" w:cs="Times New Roman"/>
          <w:sz w:val="24"/>
          <w:szCs w:val="24"/>
        </w:rPr>
        <w:t>e</w:t>
      </w:r>
      <w:r w:rsidRPr="00CA1406">
        <w:rPr>
          <w:rFonts w:ascii="Times New Roman" w:hAnsi="Times New Roman" w:cs="Times New Roman"/>
          <w:sz w:val="24"/>
          <w:szCs w:val="24"/>
        </w:rPr>
        <w:t>ur pre 4</w:t>
      </w:r>
      <w:r>
        <w:rPr>
          <w:rFonts w:ascii="Times New Roman" w:hAnsi="Times New Roman" w:cs="Times New Roman"/>
          <w:sz w:val="24"/>
          <w:szCs w:val="24"/>
        </w:rPr>
        <w:t>27</w:t>
      </w:r>
      <w:r w:rsidRPr="00CA1406">
        <w:rPr>
          <w:rFonts w:ascii="Times New Roman" w:hAnsi="Times New Roman" w:cs="Times New Roman"/>
          <w:sz w:val="24"/>
          <w:szCs w:val="24"/>
        </w:rPr>
        <w:t xml:space="preserve"> osôb, vrátane zamestnancov vyslaných na vykonávanie štátnej služby mimo sídla služobného úradu v cudzine.</w:t>
      </w:r>
    </w:p>
    <w:p w:rsidR="0007249B" w:rsidRPr="00CA1406" w:rsidRDefault="0007249B" w:rsidP="0007249B">
      <w:pPr>
        <w:spacing w:line="240" w:lineRule="auto"/>
        <w:ind w:firstLine="540"/>
        <w:jc w:val="both"/>
        <w:rPr>
          <w:rFonts w:ascii="Times New Roman" w:hAnsi="Times New Roman" w:cs="Times New Roman"/>
          <w:sz w:val="24"/>
          <w:szCs w:val="24"/>
        </w:rPr>
      </w:pPr>
      <w:r w:rsidRPr="00CA1406">
        <w:rPr>
          <w:rFonts w:ascii="Times New Roman" w:hAnsi="Times New Roman" w:cs="Times New Roman"/>
          <w:sz w:val="24"/>
          <w:szCs w:val="24"/>
        </w:rPr>
        <w:t xml:space="preserve">K úprave rozpočtu mzdových prostriedkov došlo z dôvodu financovania miezd pre zamestnancov zabezpečujúcich prípravu účasti SR na EXPO MILÁNO 2016, zabezpečenia mzdových výdavkov v súvislosti s predsedníctvom SR v Rade EÚ v roku 2016 (SK PRES), valorizácie miezd, povoleným prekročením výdavkov na mzdy, platy, služobné príjmy a ostatné osobné vyrovnania v rámci bežných výdavkov kapitoly, ako aj na základe delimitácie funkčných miest zamestnancov Ministerstva hospodárstva SR (dočasne vyslaných na stále misie v  Paríži a  Bruseli)  na  Ministerstvo zahraničných vecí a európskych záležitostí SR na základe rozpočtového opatrenia MF SR. </w:t>
      </w:r>
    </w:p>
    <w:p w:rsidR="0007249B" w:rsidRPr="00CA1406" w:rsidRDefault="0007249B" w:rsidP="0007249B">
      <w:pPr>
        <w:spacing w:after="0" w:line="240" w:lineRule="auto"/>
        <w:ind w:firstLine="567"/>
        <w:jc w:val="both"/>
        <w:rPr>
          <w:rFonts w:ascii="Times New Roman" w:hAnsi="Times New Roman" w:cs="Times New Roman"/>
          <w:sz w:val="24"/>
          <w:szCs w:val="24"/>
        </w:rPr>
      </w:pPr>
      <w:r w:rsidRPr="00CA1406">
        <w:rPr>
          <w:rFonts w:ascii="Times New Roman" w:hAnsi="Times New Roman" w:cs="Times New Roman"/>
          <w:sz w:val="24"/>
          <w:szCs w:val="24"/>
        </w:rPr>
        <w:t xml:space="preserve">Skutočné čerpanie mzdových prostriedkov štátneho rozpočtu bolo </w:t>
      </w:r>
      <w:r>
        <w:rPr>
          <w:rFonts w:ascii="Times New Roman" w:hAnsi="Times New Roman" w:cs="Times New Roman"/>
          <w:sz w:val="24"/>
          <w:szCs w:val="24"/>
        </w:rPr>
        <w:t>v sume</w:t>
      </w:r>
      <w:r w:rsidRPr="00CA140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A1406">
        <w:rPr>
          <w:rFonts w:ascii="Times New Roman" w:hAnsi="Times New Roman" w:cs="Times New Roman"/>
          <w:sz w:val="24"/>
          <w:szCs w:val="24"/>
        </w:rPr>
        <w:t>9</w:t>
      </w:r>
      <w:r>
        <w:rPr>
          <w:rFonts w:ascii="Times New Roman" w:hAnsi="Times New Roman" w:cs="Times New Roman"/>
          <w:sz w:val="24"/>
          <w:szCs w:val="24"/>
        </w:rPr>
        <w:t> 449 157,10</w:t>
      </w:r>
      <w:r w:rsidRPr="00CA1406">
        <w:rPr>
          <w:rFonts w:ascii="Times New Roman" w:hAnsi="Times New Roman" w:cs="Times New Roman"/>
          <w:sz w:val="24"/>
          <w:szCs w:val="24"/>
        </w:rPr>
        <w:t xml:space="preserve">  </w:t>
      </w:r>
      <w:r>
        <w:rPr>
          <w:rFonts w:ascii="Times New Roman" w:hAnsi="Times New Roman" w:cs="Times New Roman"/>
          <w:sz w:val="24"/>
          <w:szCs w:val="24"/>
        </w:rPr>
        <w:t>e</w:t>
      </w:r>
      <w:r w:rsidRPr="00CA1406">
        <w:rPr>
          <w:rFonts w:ascii="Times New Roman" w:hAnsi="Times New Roman" w:cs="Times New Roman"/>
          <w:sz w:val="24"/>
          <w:szCs w:val="24"/>
        </w:rPr>
        <w:t>ur a skutočný prepočítaný počet zamestnancov bol 7</w:t>
      </w:r>
      <w:r>
        <w:rPr>
          <w:rFonts w:ascii="Times New Roman" w:hAnsi="Times New Roman" w:cs="Times New Roman"/>
          <w:sz w:val="24"/>
          <w:szCs w:val="24"/>
        </w:rPr>
        <w:t>74,0</w:t>
      </w:r>
      <w:r w:rsidRPr="00CA1406">
        <w:rPr>
          <w:rFonts w:ascii="Times New Roman" w:hAnsi="Times New Roman" w:cs="Times New Roman"/>
          <w:sz w:val="24"/>
          <w:szCs w:val="24"/>
        </w:rPr>
        <w:t xml:space="preserve"> osôb.</w:t>
      </w:r>
    </w:p>
    <w:p w:rsidR="00DF29A8" w:rsidRDefault="00DF29A8" w:rsidP="002257BB">
      <w:pPr>
        <w:spacing w:after="0" w:line="240" w:lineRule="auto"/>
        <w:jc w:val="both"/>
        <w:rPr>
          <w:rFonts w:ascii="Times New Roman" w:hAnsi="Times New Roman" w:cs="Times New Roman"/>
          <w:sz w:val="24"/>
          <w:szCs w:val="24"/>
        </w:rPr>
      </w:pPr>
    </w:p>
    <w:p w:rsidR="009F1409" w:rsidRDefault="009F1409" w:rsidP="00E81F99">
      <w:pPr>
        <w:pStyle w:val="Nadpis2"/>
        <w:numPr>
          <w:ilvl w:val="1"/>
          <w:numId w:val="25"/>
        </w:numPr>
        <w:spacing w:before="0" w:line="240" w:lineRule="auto"/>
        <w:ind w:left="567" w:hanging="567"/>
        <w:jc w:val="both"/>
        <w:rPr>
          <w:rFonts w:ascii="Times New Roman" w:hAnsi="Times New Roman" w:cs="Times New Roman"/>
          <w:sz w:val="24"/>
          <w:szCs w:val="24"/>
        </w:rPr>
      </w:pPr>
      <w:bookmarkStart w:id="15" w:name="_Toc415553105"/>
      <w:r>
        <w:rPr>
          <w:rFonts w:ascii="Times New Roman" w:hAnsi="Times New Roman" w:cs="Times New Roman"/>
          <w:sz w:val="24"/>
          <w:szCs w:val="24"/>
        </w:rPr>
        <w:t>PRÍSPEVKOVÉ ORGANIZÁCIE V PôSOBNOSTI KAPITOLY</w:t>
      </w:r>
      <w:bookmarkEnd w:id="15"/>
    </w:p>
    <w:p w:rsidR="009F1409" w:rsidRPr="008C7C56" w:rsidRDefault="009F1409" w:rsidP="00E81F99">
      <w:pPr>
        <w:spacing w:after="0" w:line="240" w:lineRule="auto"/>
        <w:ind w:firstLine="567"/>
        <w:jc w:val="both"/>
        <w:rPr>
          <w:rFonts w:ascii="Times New Roman" w:hAnsi="Times New Roman" w:cs="Times New Roman"/>
          <w:sz w:val="24"/>
          <w:szCs w:val="24"/>
        </w:rPr>
      </w:pPr>
    </w:p>
    <w:p w:rsidR="001313C2" w:rsidRPr="0062747D" w:rsidRDefault="001313C2" w:rsidP="00154E03">
      <w:pPr>
        <w:spacing w:after="0" w:line="240" w:lineRule="auto"/>
        <w:ind w:left="567"/>
        <w:jc w:val="both"/>
        <w:rPr>
          <w:rFonts w:ascii="Times New Roman" w:hAnsi="Times New Roman" w:cs="Times New Roman"/>
          <w:b/>
          <w:sz w:val="24"/>
          <w:szCs w:val="24"/>
        </w:rPr>
      </w:pPr>
      <w:r w:rsidRPr="0062747D">
        <w:rPr>
          <w:rFonts w:ascii="Times New Roman" w:hAnsi="Times New Roman" w:cs="Times New Roman"/>
          <w:b/>
          <w:sz w:val="24"/>
          <w:szCs w:val="24"/>
        </w:rPr>
        <w:t>Zhodnotenie výsledkov rozpočtového hospodárenia za dosiahnuté príjmy a realizované výdavky podľa platnej rozpočtovej klasifikácie</w:t>
      </w:r>
    </w:p>
    <w:p w:rsidR="001313C2" w:rsidRPr="0062747D" w:rsidRDefault="001313C2" w:rsidP="00E81F99">
      <w:pPr>
        <w:spacing w:after="0" w:line="240" w:lineRule="auto"/>
        <w:ind w:firstLine="540"/>
        <w:jc w:val="both"/>
        <w:rPr>
          <w:rFonts w:ascii="Times New Roman" w:hAnsi="Times New Roman" w:cs="Times New Roman"/>
          <w:sz w:val="24"/>
          <w:szCs w:val="24"/>
        </w:rPr>
      </w:pPr>
    </w:p>
    <w:p w:rsidR="0066412F" w:rsidRDefault="001313C2" w:rsidP="00154E03">
      <w:pPr>
        <w:spacing w:after="0" w:line="240" w:lineRule="auto"/>
        <w:ind w:firstLine="709"/>
        <w:jc w:val="both"/>
        <w:rPr>
          <w:rFonts w:ascii="Times New Roman" w:hAnsi="Times New Roman" w:cs="Times New Roman"/>
          <w:sz w:val="24"/>
          <w:szCs w:val="24"/>
        </w:rPr>
      </w:pPr>
      <w:r w:rsidRPr="0062747D">
        <w:rPr>
          <w:rFonts w:ascii="Times New Roman" w:hAnsi="Times New Roman" w:cs="Times New Roman"/>
          <w:sz w:val="24"/>
          <w:szCs w:val="24"/>
        </w:rPr>
        <w:t>V zriaďovateľskej pôsobnosti Ministerstva hospodárstva SR boli k 31.</w:t>
      </w:r>
      <w:r w:rsidR="00516B0F">
        <w:rPr>
          <w:rFonts w:ascii="Times New Roman" w:hAnsi="Times New Roman" w:cs="Times New Roman"/>
          <w:sz w:val="24"/>
          <w:szCs w:val="24"/>
        </w:rPr>
        <w:t xml:space="preserve"> </w:t>
      </w:r>
      <w:r w:rsidRPr="0062747D">
        <w:rPr>
          <w:rFonts w:ascii="Times New Roman" w:hAnsi="Times New Roman" w:cs="Times New Roman"/>
          <w:sz w:val="24"/>
          <w:szCs w:val="24"/>
        </w:rPr>
        <w:t>12.</w:t>
      </w:r>
      <w:r w:rsidR="00516B0F">
        <w:rPr>
          <w:rFonts w:ascii="Times New Roman" w:hAnsi="Times New Roman" w:cs="Times New Roman"/>
          <w:sz w:val="24"/>
          <w:szCs w:val="24"/>
        </w:rPr>
        <w:t xml:space="preserve"> 2</w:t>
      </w:r>
      <w:r w:rsidRPr="0062747D">
        <w:rPr>
          <w:rFonts w:ascii="Times New Roman" w:hAnsi="Times New Roman" w:cs="Times New Roman"/>
          <w:sz w:val="24"/>
          <w:szCs w:val="24"/>
        </w:rPr>
        <w:t>01</w:t>
      </w:r>
      <w:r w:rsidR="0090112B">
        <w:rPr>
          <w:rFonts w:ascii="Times New Roman" w:hAnsi="Times New Roman" w:cs="Times New Roman"/>
          <w:sz w:val="24"/>
          <w:szCs w:val="24"/>
        </w:rPr>
        <w:t>5</w:t>
      </w:r>
      <w:r w:rsidRPr="0062747D">
        <w:rPr>
          <w:rFonts w:ascii="Times New Roman" w:hAnsi="Times New Roman" w:cs="Times New Roman"/>
          <w:sz w:val="24"/>
          <w:szCs w:val="24"/>
        </w:rPr>
        <w:t xml:space="preserve"> tri príspevkové organizácie</w:t>
      </w:r>
      <w:r w:rsidR="0066412F">
        <w:rPr>
          <w:rFonts w:ascii="Times New Roman" w:hAnsi="Times New Roman" w:cs="Times New Roman"/>
          <w:sz w:val="24"/>
          <w:szCs w:val="24"/>
        </w:rPr>
        <w:t>:</w:t>
      </w:r>
    </w:p>
    <w:p w:rsidR="0066412F" w:rsidRDefault="001313C2" w:rsidP="00E81F99">
      <w:pPr>
        <w:numPr>
          <w:ilvl w:val="0"/>
          <w:numId w:val="9"/>
        </w:numPr>
        <w:spacing w:after="0" w:line="240" w:lineRule="auto"/>
        <w:jc w:val="both"/>
        <w:rPr>
          <w:rFonts w:ascii="Times New Roman" w:hAnsi="Times New Roman" w:cs="Times New Roman"/>
          <w:sz w:val="24"/>
          <w:szCs w:val="24"/>
        </w:rPr>
      </w:pPr>
      <w:r w:rsidRPr="0062747D">
        <w:rPr>
          <w:rFonts w:ascii="Times New Roman" w:hAnsi="Times New Roman" w:cs="Times New Roman"/>
          <w:sz w:val="24"/>
          <w:szCs w:val="24"/>
        </w:rPr>
        <w:t xml:space="preserve">Slovenská agentúra pre rozvoj investícií a obchodu (ďalej SARIO), </w:t>
      </w:r>
    </w:p>
    <w:p w:rsidR="0066412F" w:rsidRDefault="001313C2" w:rsidP="00E81F99">
      <w:pPr>
        <w:numPr>
          <w:ilvl w:val="0"/>
          <w:numId w:val="9"/>
        </w:numPr>
        <w:spacing w:after="0" w:line="240" w:lineRule="auto"/>
        <w:jc w:val="both"/>
        <w:rPr>
          <w:rFonts w:ascii="Times New Roman" w:hAnsi="Times New Roman" w:cs="Times New Roman"/>
          <w:sz w:val="24"/>
          <w:szCs w:val="24"/>
        </w:rPr>
      </w:pPr>
      <w:r w:rsidRPr="0062747D">
        <w:rPr>
          <w:rFonts w:ascii="Times New Roman" w:hAnsi="Times New Roman" w:cs="Times New Roman"/>
          <w:sz w:val="24"/>
          <w:szCs w:val="24"/>
        </w:rPr>
        <w:t xml:space="preserve">Slovenská inovačná a energetická agentúra (ďalej </w:t>
      </w:r>
      <w:proofErr w:type="spellStart"/>
      <w:r w:rsidRPr="0062747D">
        <w:rPr>
          <w:rFonts w:ascii="Times New Roman" w:hAnsi="Times New Roman" w:cs="Times New Roman"/>
          <w:sz w:val="24"/>
          <w:szCs w:val="24"/>
        </w:rPr>
        <w:t>SIEA</w:t>
      </w:r>
      <w:proofErr w:type="spellEnd"/>
      <w:r w:rsidRPr="0062747D">
        <w:rPr>
          <w:rFonts w:ascii="Times New Roman" w:hAnsi="Times New Roman" w:cs="Times New Roman"/>
          <w:sz w:val="24"/>
          <w:szCs w:val="24"/>
        </w:rPr>
        <w:t>)</w:t>
      </w:r>
      <w:r w:rsidR="0066412F">
        <w:rPr>
          <w:rFonts w:ascii="Times New Roman" w:hAnsi="Times New Roman" w:cs="Times New Roman"/>
          <w:sz w:val="24"/>
          <w:szCs w:val="24"/>
        </w:rPr>
        <w:t>,</w:t>
      </w:r>
    </w:p>
    <w:p w:rsidR="001313C2" w:rsidRPr="0062747D" w:rsidRDefault="001313C2" w:rsidP="00E81F99">
      <w:pPr>
        <w:numPr>
          <w:ilvl w:val="0"/>
          <w:numId w:val="9"/>
        </w:numPr>
        <w:spacing w:after="0" w:line="240" w:lineRule="auto"/>
        <w:jc w:val="both"/>
        <w:rPr>
          <w:rFonts w:ascii="Times New Roman" w:hAnsi="Times New Roman" w:cs="Times New Roman"/>
          <w:sz w:val="24"/>
          <w:szCs w:val="24"/>
        </w:rPr>
      </w:pPr>
      <w:r w:rsidRPr="0062747D">
        <w:rPr>
          <w:rFonts w:ascii="Times New Roman" w:hAnsi="Times New Roman" w:cs="Times New Roman"/>
          <w:sz w:val="24"/>
          <w:szCs w:val="24"/>
        </w:rPr>
        <w:t>Múzeum obchodu Bratislava (ďalej MO).</w:t>
      </w:r>
    </w:p>
    <w:p w:rsidR="001313C2" w:rsidRPr="0062747D" w:rsidRDefault="001313C2" w:rsidP="00E81F99">
      <w:pPr>
        <w:spacing w:after="0" w:line="240" w:lineRule="auto"/>
        <w:ind w:firstLine="540"/>
        <w:jc w:val="both"/>
        <w:rPr>
          <w:rFonts w:ascii="Times New Roman" w:hAnsi="Times New Roman" w:cs="Times New Roman"/>
          <w:sz w:val="24"/>
          <w:szCs w:val="24"/>
        </w:rPr>
      </w:pPr>
    </w:p>
    <w:p w:rsidR="00516B0F" w:rsidRPr="00F035D9" w:rsidRDefault="00516B0F" w:rsidP="00516B0F">
      <w:pPr>
        <w:spacing w:after="0" w:line="240" w:lineRule="auto"/>
        <w:ind w:firstLine="540"/>
        <w:jc w:val="both"/>
        <w:rPr>
          <w:rFonts w:ascii="Times New Roman" w:hAnsi="Times New Roman" w:cs="Times New Roman"/>
          <w:sz w:val="24"/>
          <w:szCs w:val="24"/>
        </w:rPr>
      </w:pPr>
      <w:r w:rsidRPr="00F035D9">
        <w:rPr>
          <w:rFonts w:ascii="Times New Roman" w:hAnsi="Times New Roman" w:cs="Times New Roman"/>
          <w:sz w:val="24"/>
          <w:szCs w:val="24"/>
        </w:rPr>
        <w:t>Štátne príspevkové organizácie v rámci rezortu Ministerstva hospodárstva SR použili finančné prostriedky na aktivity súvisiace s podporou investícií zahraničných a domácich subjektov na Slovensku, podporou zahraničného obchodu, vrátane exportu, podporou regionálneho rozvoja, na činnosti vyplývajúce z implementácie štrukturálnych fondov Európskej únie, muzeálnu činnosť a ďalšie činnosti, ktoré zabezpečovali v zmysle hlavných úloh týchto organizácií.</w:t>
      </w:r>
    </w:p>
    <w:p w:rsidR="00516B0F" w:rsidRPr="00F035D9" w:rsidRDefault="00516B0F" w:rsidP="00516B0F">
      <w:pPr>
        <w:spacing w:after="0" w:line="240" w:lineRule="auto"/>
        <w:ind w:firstLine="540"/>
        <w:jc w:val="both"/>
        <w:rPr>
          <w:rFonts w:ascii="Times New Roman" w:hAnsi="Times New Roman" w:cs="Times New Roman"/>
          <w:sz w:val="24"/>
          <w:szCs w:val="24"/>
        </w:rPr>
      </w:pPr>
    </w:p>
    <w:p w:rsidR="00516B0F" w:rsidRDefault="00516B0F" w:rsidP="00516B0F">
      <w:pPr>
        <w:spacing w:after="0" w:line="240" w:lineRule="auto"/>
        <w:ind w:firstLine="540"/>
        <w:jc w:val="both"/>
        <w:rPr>
          <w:rFonts w:ascii="Times New Roman" w:hAnsi="Times New Roman" w:cs="Times New Roman"/>
          <w:sz w:val="24"/>
          <w:szCs w:val="24"/>
        </w:rPr>
      </w:pPr>
      <w:r w:rsidRPr="00F035D9">
        <w:rPr>
          <w:rFonts w:ascii="Times New Roman" w:hAnsi="Times New Roman" w:cs="Times New Roman"/>
          <w:sz w:val="24"/>
          <w:szCs w:val="24"/>
        </w:rPr>
        <w:t xml:space="preserve">Podľa programovej štruktúry kapitoly </w:t>
      </w:r>
      <w:r w:rsidR="000C164C">
        <w:rPr>
          <w:rFonts w:ascii="Times New Roman" w:hAnsi="Times New Roman" w:cs="Times New Roman"/>
          <w:sz w:val="24"/>
          <w:szCs w:val="24"/>
        </w:rPr>
        <w:t>boli</w:t>
      </w:r>
      <w:r w:rsidRPr="00F035D9">
        <w:rPr>
          <w:rFonts w:ascii="Times New Roman" w:hAnsi="Times New Roman" w:cs="Times New Roman"/>
          <w:sz w:val="24"/>
          <w:szCs w:val="24"/>
        </w:rPr>
        <w:t xml:space="preserve"> finančné prostriedky poskyt</w:t>
      </w:r>
      <w:r w:rsidR="000C164C">
        <w:rPr>
          <w:rFonts w:ascii="Times New Roman" w:hAnsi="Times New Roman" w:cs="Times New Roman"/>
          <w:sz w:val="24"/>
          <w:szCs w:val="24"/>
        </w:rPr>
        <w:t>nuté</w:t>
      </w:r>
      <w:r w:rsidRPr="00F035D9">
        <w:rPr>
          <w:rFonts w:ascii="Times New Roman" w:hAnsi="Times New Roman" w:cs="Times New Roman"/>
          <w:sz w:val="24"/>
          <w:szCs w:val="24"/>
        </w:rPr>
        <w:t xml:space="preserve"> na</w:t>
      </w:r>
      <w:r w:rsidR="000C164C">
        <w:rPr>
          <w:rFonts w:ascii="Times New Roman" w:hAnsi="Times New Roman" w:cs="Times New Roman"/>
          <w:sz w:val="24"/>
          <w:szCs w:val="24"/>
        </w:rPr>
        <w:t xml:space="preserve"> realizáciu</w:t>
      </w:r>
      <w:r>
        <w:rPr>
          <w:rFonts w:ascii="Times New Roman" w:hAnsi="Times New Roman" w:cs="Times New Roman"/>
          <w:sz w:val="24"/>
          <w:szCs w:val="24"/>
        </w:rPr>
        <w:t>:</w:t>
      </w:r>
    </w:p>
    <w:p w:rsidR="00516B0F" w:rsidRDefault="00516B0F" w:rsidP="00516B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F035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035D9">
        <w:rPr>
          <w:rFonts w:ascii="Times New Roman" w:hAnsi="Times New Roman" w:cs="Times New Roman"/>
          <w:sz w:val="24"/>
          <w:szCs w:val="24"/>
        </w:rPr>
        <w:t>prv</w:t>
      </w:r>
      <w:r>
        <w:rPr>
          <w:rFonts w:ascii="Times New Roman" w:hAnsi="Times New Roman" w:cs="Times New Roman"/>
          <w:sz w:val="24"/>
          <w:szCs w:val="24"/>
        </w:rPr>
        <w:t>o</w:t>
      </w:r>
      <w:r w:rsidRPr="00F035D9">
        <w:rPr>
          <w:rFonts w:ascii="Times New Roman" w:hAnsi="Times New Roman" w:cs="Times New Roman"/>
          <w:sz w:val="24"/>
          <w:szCs w:val="24"/>
        </w:rPr>
        <w:t>k</w:t>
      </w:r>
      <w:r w:rsidR="000C164C">
        <w:rPr>
          <w:rFonts w:ascii="Times New Roman" w:hAnsi="Times New Roman" w:cs="Times New Roman"/>
          <w:sz w:val="24"/>
          <w:szCs w:val="24"/>
        </w:rPr>
        <w:t>u</w:t>
      </w:r>
      <w:r>
        <w:rPr>
          <w:rFonts w:ascii="Times New Roman" w:hAnsi="Times New Roman" w:cs="Times New Roman"/>
          <w:sz w:val="24"/>
          <w:szCs w:val="24"/>
        </w:rPr>
        <w:t xml:space="preserve"> </w:t>
      </w:r>
      <w:r w:rsidRPr="00F035D9">
        <w:rPr>
          <w:rFonts w:ascii="Times New Roman" w:hAnsi="Times New Roman" w:cs="Times New Roman"/>
          <w:sz w:val="24"/>
          <w:szCs w:val="24"/>
        </w:rPr>
        <w:t xml:space="preserve">07K0402 Administrácia SARIO, </w:t>
      </w:r>
    </w:p>
    <w:p w:rsidR="00516B0F" w:rsidRDefault="00516B0F" w:rsidP="00516B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04A63">
        <w:rPr>
          <w:rFonts w:ascii="Times New Roman" w:hAnsi="Times New Roman" w:cs="Times New Roman"/>
          <w:sz w:val="24"/>
          <w:szCs w:val="24"/>
        </w:rPr>
        <w:t xml:space="preserve"> </w:t>
      </w:r>
      <w:r>
        <w:rPr>
          <w:rFonts w:ascii="Times New Roman" w:hAnsi="Times New Roman" w:cs="Times New Roman"/>
          <w:sz w:val="24"/>
          <w:szCs w:val="24"/>
        </w:rPr>
        <w:t>p</w:t>
      </w:r>
      <w:r w:rsidRPr="00F035D9">
        <w:rPr>
          <w:rFonts w:ascii="Times New Roman" w:hAnsi="Times New Roman" w:cs="Times New Roman"/>
          <w:sz w:val="24"/>
          <w:szCs w:val="24"/>
        </w:rPr>
        <w:t>odprogram</w:t>
      </w:r>
      <w:r w:rsidR="000C164C">
        <w:rPr>
          <w:rFonts w:ascii="Times New Roman" w:hAnsi="Times New Roman" w:cs="Times New Roman"/>
          <w:sz w:val="24"/>
          <w:szCs w:val="24"/>
        </w:rPr>
        <w:t>u</w:t>
      </w:r>
      <w:r w:rsidRPr="00F035D9">
        <w:rPr>
          <w:rFonts w:ascii="Times New Roman" w:hAnsi="Times New Roman" w:cs="Times New Roman"/>
          <w:sz w:val="24"/>
          <w:szCs w:val="24"/>
        </w:rPr>
        <w:t xml:space="preserve"> 07L04 Podpora program</w:t>
      </w:r>
      <w:r>
        <w:rPr>
          <w:rFonts w:ascii="Times New Roman" w:hAnsi="Times New Roman" w:cs="Times New Roman"/>
          <w:sz w:val="24"/>
          <w:szCs w:val="24"/>
        </w:rPr>
        <w:t xml:space="preserve">ov rezortu – Administrácia </w:t>
      </w:r>
      <w:proofErr w:type="spellStart"/>
      <w:r>
        <w:rPr>
          <w:rFonts w:ascii="Times New Roman" w:hAnsi="Times New Roman" w:cs="Times New Roman"/>
          <w:sz w:val="24"/>
          <w:szCs w:val="24"/>
        </w:rPr>
        <w:t>SIEA</w:t>
      </w:r>
      <w:proofErr w:type="spellEnd"/>
      <w:r>
        <w:rPr>
          <w:rFonts w:ascii="Times New Roman" w:hAnsi="Times New Roman" w:cs="Times New Roman"/>
          <w:sz w:val="24"/>
          <w:szCs w:val="24"/>
        </w:rPr>
        <w:t>,</w:t>
      </w:r>
    </w:p>
    <w:p w:rsidR="00516B0F" w:rsidRPr="00F035D9" w:rsidRDefault="00516B0F" w:rsidP="00516B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904A6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035D9">
        <w:rPr>
          <w:rFonts w:ascii="Times New Roman" w:hAnsi="Times New Roman" w:cs="Times New Roman"/>
          <w:sz w:val="24"/>
          <w:szCs w:val="24"/>
        </w:rPr>
        <w:t>podprogram</w:t>
      </w:r>
      <w:r w:rsidR="000C164C">
        <w:rPr>
          <w:rFonts w:ascii="Times New Roman" w:hAnsi="Times New Roman" w:cs="Times New Roman"/>
          <w:sz w:val="24"/>
          <w:szCs w:val="24"/>
        </w:rPr>
        <w:t>u</w:t>
      </w:r>
      <w:r w:rsidRPr="00F035D9">
        <w:rPr>
          <w:rFonts w:ascii="Times New Roman" w:hAnsi="Times New Roman" w:cs="Times New Roman"/>
          <w:sz w:val="24"/>
          <w:szCs w:val="24"/>
        </w:rPr>
        <w:t xml:space="preserve"> 07L04 Podpora programov rezortu – Administrácia MO.</w:t>
      </w:r>
    </w:p>
    <w:p w:rsidR="00516B0F" w:rsidRPr="00F035D9" w:rsidRDefault="00516B0F" w:rsidP="00516B0F">
      <w:pPr>
        <w:spacing w:after="0" w:line="240" w:lineRule="auto"/>
        <w:ind w:firstLine="540"/>
        <w:jc w:val="both"/>
        <w:rPr>
          <w:rFonts w:ascii="Times New Roman" w:hAnsi="Times New Roman" w:cs="Times New Roman"/>
          <w:sz w:val="24"/>
          <w:szCs w:val="24"/>
        </w:rPr>
      </w:pPr>
    </w:p>
    <w:p w:rsidR="00516B0F" w:rsidRPr="00F035D9" w:rsidRDefault="00516B0F" w:rsidP="00516B0F">
      <w:pPr>
        <w:spacing w:after="0" w:line="240" w:lineRule="auto"/>
        <w:ind w:firstLine="540"/>
        <w:jc w:val="both"/>
        <w:rPr>
          <w:rFonts w:ascii="Times New Roman" w:hAnsi="Times New Roman" w:cs="Times New Roman"/>
          <w:sz w:val="24"/>
          <w:szCs w:val="24"/>
        </w:rPr>
      </w:pPr>
      <w:r w:rsidRPr="00F035D9">
        <w:rPr>
          <w:rFonts w:ascii="Times New Roman" w:hAnsi="Times New Roman" w:cs="Times New Roman"/>
          <w:sz w:val="24"/>
          <w:szCs w:val="24"/>
        </w:rPr>
        <w:t>Podľa „Finančného výkazu o plnení rozpočtu a o nerozpočtovaných pohyboch na účtoch subjektu verejnej správy k 31. 12. 2015“ (</w:t>
      </w:r>
      <w:proofErr w:type="spellStart"/>
      <w:r w:rsidRPr="00F035D9">
        <w:rPr>
          <w:rFonts w:ascii="Times New Roman" w:hAnsi="Times New Roman" w:cs="Times New Roman"/>
          <w:sz w:val="24"/>
          <w:szCs w:val="24"/>
        </w:rPr>
        <w:t>FIN</w:t>
      </w:r>
      <w:proofErr w:type="spellEnd"/>
      <w:r w:rsidRPr="00F035D9">
        <w:rPr>
          <w:rFonts w:ascii="Times New Roman" w:hAnsi="Times New Roman" w:cs="Times New Roman"/>
          <w:sz w:val="24"/>
          <w:szCs w:val="24"/>
        </w:rPr>
        <w:t xml:space="preserve"> 1 – 12) za príspevkové organizácie </w:t>
      </w:r>
      <w:r w:rsidR="000C164C">
        <w:rPr>
          <w:rFonts w:ascii="Times New Roman" w:hAnsi="Times New Roman" w:cs="Times New Roman"/>
          <w:sz w:val="24"/>
          <w:szCs w:val="24"/>
        </w:rPr>
        <w:t xml:space="preserve">bol </w:t>
      </w:r>
      <w:r w:rsidRPr="00F035D9">
        <w:rPr>
          <w:rFonts w:ascii="Times New Roman" w:hAnsi="Times New Roman" w:cs="Times New Roman"/>
          <w:sz w:val="24"/>
          <w:szCs w:val="24"/>
        </w:rPr>
        <w:t xml:space="preserve">rozpočet ich príjmov  schválený </w:t>
      </w:r>
      <w:r>
        <w:rPr>
          <w:rFonts w:ascii="Times New Roman" w:hAnsi="Times New Roman" w:cs="Times New Roman"/>
          <w:sz w:val="24"/>
          <w:szCs w:val="24"/>
        </w:rPr>
        <w:t>v sume</w:t>
      </w:r>
      <w:r w:rsidRPr="00F035D9">
        <w:rPr>
          <w:rFonts w:ascii="Times New Roman" w:hAnsi="Times New Roman" w:cs="Times New Roman"/>
          <w:sz w:val="24"/>
          <w:szCs w:val="24"/>
        </w:rPr>
        <w:t xml:space="preserve"> 5 184 781,00 </w:t>
      </w:r>
      <w:r>
        <w:rPr>
          <w:rFonts w:ascii="Times New Roman" w:hAnsi="Times New Roman" w:cs="Times New Roman"/>
          <w:sz w:val="24"/>
          <w:szCs w:val="24"/>
        </w:rPr>
        <w:t>e</w:t>
      </w:r>
      <w:r w:rsidRPr="00F035D9">
        <w:rPr>
          <w:rFonts w:ascii="Times New Roman" w:hAnsi="Times New Roman" w:cs="Times New Roman"/>
          <w:sz w:val="24"/>
          <w:szCs w:val="24"/>
        </w:rPr>
        <w:t xml:space="preserve">ur. Rozpočet príjmov po zmenách predstavoval </w:t>
      </w:r>
      <w:r>
        <w:rPr>
          <w:rFonts w:ascii="Times New Roman" w:hAnsi="Times New Roman" w:cs="Times New Roman"/>
          <w:sz w:val="24"/>
          <w:szCs w:val="24"/>
        </w:rPr>
        <w:t xml:space="preserve">sumu </w:t>
      </w:r>
      <w:r w:rsidRPr="00F035D9">
        <w:rPr>
          <w:rFonts w:ascii="Times New Roman" w:hAnsi="Times New Roman" w:cs="Times New Roman"/>
          <w:sz w:val="24"/>
          <w:szCs w:val="24"/>
        </w:rPr>
        <w:t xml:space="preserve">6 136 031,00 </w:t>
      </w:r>
      <w:r>
        <w:rPr>
          <w:rFonts w:ascii="Times New Roman" w:hAnsi="Times New Roman" w:cs="Times New Roman"/>
          <w:sz w:val="24"/>
          <w:szCs w:val="24"/>
        </w:rPr>
        <w:t>e</w:t>
      </w:r>
      <w:r w:rsidRPr="00F035D9">
        <w:rPr>
          <w:rFonts w:ascii="Times New Roman" w:hAnsi="Times New Roman" w:cs="Times New Roman"/>
          <w:sz w:val="24"/>
          <w:szCs w:val="24"/>
        </w:rPr>
        <w:t xml:space="preserve">ur a skutočnosť sa dosiahla </w:t>
      </w:r>
      <w:r>
        <w:rPr>
          <w:rFonts w:ascii="Times New Roman" w:hAnsi="Times New Roman" w:cs="Times New Roman"/>
          <w:sz w:val="24"/>
          <w:szCs w:val="24"/>
        </w:rPr>
        <w:t>v sume</w:t>
      </w:r>
      <w:r w:rsidRPr="00F035D9">
        <w:rPr>
          <w:rFonts w:ascii="Times New Roman" w:hAnsi="Times New Roman" w:cs="Times New Roman"/>
          <w:sz w:val="24"/>
          <w:szCs w:val="24"/>
        </w:rPr>
        <w:t xml:space="preserve"> 16 181 333,83 </w:t>
      </w:r>
      <w:r>
        <w:rPr>
          <w:rFonts w:ascii="Times New Roman" w:hAnsi="Times New Roman" w:cs="Times New Roman"/>
          <w:sz w:val="24"/>
          <w:szCs w:val="24"/>
        </w:rPr>
        <w:t>e</w:t>
      </w:r>
      <w:r w:rsidRPr="00F035D9">
        <w:rPr>
          <w:rFonts w:ascii="Times New Roman" w:hAnsi="Times New Roman" w:cs="Times New Roman"/>
          <w:sz w:val="24"/>
          <w:szCs w:val="24"/>
        </w:rPr>
        <w:t xml:space="preserve">ur, čo predstavuje 263,71 % plnenie. Schválený rozpočet výdavkov bol 5 184 781,00 </w:t>
      </w:r>
      <w:r>
        <w:rPr>
          <w:rFonts w:ascii="Times New Roman" w:hAnsi="Times New Roman" w:cs="Times New Roman"/>
          <w:sz w:val="24"/>
          <w:szCs w:val="24"/>
        </w:rPr>
        <w:t>e</w:t>
      </w:r>
      <w:r w:rsidRPr="00F035D9">
        <w:rPr>
          <w:rFonts w:ascii="Times New Roman" w:hAnsi="Times New Roman" w:cs="Times New Roman"/>
          <w:sz w:val="24"/>
          <w:szCs w:val="24"/>
        </w:rPr>
        <w:t xml:space="preserve">ur. Upravený rozpočet výdavkov bol 6 136 031,00 </w:t>
      </w:r>
      <w:r>
        <w:rPr>
          <w:rFonts w:ascii="Times New Roman" w:hAnsi="Times New Roman" w:cs="Times New Roman"/>
          <w:sz w:val="24"/>
          <w:szCs w:val="24"/>
        </w:rPr>
        <w:t>e</w:t>
      </w:r>
      <w:r w:rsidRPr="00F035D9">
        <w:rPr>
          <w:rFonts w:ascii="Times New Roman" w:hAnsi="Times New Roman" w:cs="Times New Roman"/>
          <w:sz w:val="24"/>
          <w:szCs w:val="24"/>
        </w:rPr>
        <w:t xml:space="preserve">ur a skutočnosť 12 819 242,81 </w:t>
      </w:r>
      <w:r>
        <w:rPr>
          <w:rFonts w:ascii="Times New Roman" w:hAnsi="Times New Roman" w:cs="Times New Roman"/>
          <w:sz w:val="24"/>
          <w:szCs w:val="24"/>
        </w:rPr>
        <w:t>e</w:t>
      </w:r>
      <w:r w:rsidRPr="00F035D9">
        <w:rPr>
          <w:rFonts w:ascii="Times New Roman" w:hAnsi="Times New Roman" w:cs="Times New Roman"/>
          <w:sz w:val="24"/>
          <w:szCs w:val="24"/>
        </w:rPr>
        <w:t>ur, čo predstavuje 208,92 % plnenie. Upravený rozpočet príjmov za rok 201</w:t>
      </w:r>
      <w:r>
        <w:rPr>
          <w:rFonts w:ascii="Times New Roman" w:hAnsi="Times New Roman" w:cs="Times New Roman"/>
          <w:sz w:val="24"/>
          <w:szCs w:val="24"/>
        </w:rPr>
        <w:t>5</w:t>
      </w:r>
      <w:r w:rsidRPr="00F035D9">
        <w:rPr>
          <w:rFonts w:ascii="Times New Roman" w:hAnsi="Times New Roman" w:cs="Times New Roman"/>
          <w:sz w:val="24"/>
          <w:szCs w:val="24"/>
        </w:rPr>
        <w:t xml:space="preserve"> </w:t>
      </w:r>
      <w:r w:rsidR="00703328">
        <w:rPr>
          <w:rFonts w:ascii="Times New Roman" w:hAnsi="Times New Roman" w:cs="Times New Roman"/>
          <w:sz w:val="24"/>
          <w:szCs w:val="24"/>
        </w:rPr>
        <w:t>sa rovnal</w:t>
      </w:r>
      <w:r w:rsidRPr="00F035D9">
        <w:rPr>
          <w:rFonts w:ascii="Times New Roman" w:hAnsi="Times New Roman" w:cs="Times New Roman"/>
          <w:sz w:val="24"/>
          <w:szCs w:val="24"/>
        </w:rPr>
        <w:t xml:space="preserve"> upravenému rozpočtu výdavkov. Dosiahnutá skutočnosť v príjmoch bola o 3 362 091,02 </w:t>
      </w:r>
      <w:r>
        <w:rPr>
          <w:rFonts w:ascii="Times New Roman" w:hAnsi="Times New Roman" w:cs="Times New Roman"/>
          <w:sz w:val="24"/>
          <w:szCs w:val="24"/>
        </w:rPr>
        <w:t>e</w:t>
      </w:r>
      <w:r w:rsidRPr="00F035D9">
        <w:rPr>
          <w:rFonts w:ascii="Times New Roman" w:hAnsi="Times New Roman" w:cs="Times New Roman"/>
          <w:sz w:val="24"/>
          <w:szCs w:val="24"/>
        </w:rPr>
        <w:t xml:space="preserve">ur vyššia ako dosiahnutá skutočnosť výdavkov. </w:t>
      </w:r>
    </w:p>
    <w:p w:rsidR="00516B0F" w:rsidRPr="00F035D9" w:rsidRDefault="00516B0F" w:rsidP="00516B0F">
      <w:pPr>
        <w:spacing w:after="0" w:line="240" w:lineRule="auto"/>
        <w:ind w:firstLine="540"/>
        <w:jc w:val="both"/>
        <w:rPr>
          <w:rFonts w:ascii="Times New Roman" w:hAnsi="Times New Roman" w:cs="Times New Roman"/>
          <w:sz w:val="24"/>
          <w:szCs w:val="24"/>
        </w:rPr>
      </w:pPr>
    </w:p>
    <w:p w:rsidR="00516B0F" w:rsidRPr="00F035D9" w:rsidRDefault="00516B0F" w:rsidP="00516B0F">
      <w:pPr>
        <w:tabs>
          <w:tab w:val="left" w:pos="1440"/>
        </w:tabs>
        <w:spacing w:after="0" w:line="240" w:lineRule="auto"/>
        <w:ind w:firstLine="540"/>
        <w:jc w:val="both"/>
        <w:rPr>
          <w:rFonts w:ascii="Times New Roman" w:hAnsi="Times New Roman" w:cs="Times New Roman"/>
          <w:sz w:val="24"/>
          <w:szCs w:val="24"/>
        </w:rPr>
      </w:pPr>
      <w:r w:rsidRPr="00F035D9">
        <w:rPr>
          <w:rFonts w:ascii="Times New Roman" w:hAnsi="Times New Roman" w:cs="Times New Roman"/>
          <w:sz w:val="24"/>
          <w:szCs w:val="24"/>
        </w:rPr>
        <w:t>V štruktúre dosiahnutých príjmov v skutočnosti mali nedaňové príjmy 9,04 %-</w:t>
      </w:r>
      <w:proofErr w:type="spellStart"/>
      <w:r w:rsidRPr="00F035D9">
        <w:rPr>
          <w:rFonts w:ascii="Times New Roman" w:hAnsi="Times New Roman" w:cs="Times New Roman"/>
          <w:sz w:val="24"/>
          <w:szCs w:val="24"/>
        </w:rPr>
        <w:t>ný</w:t>
      </w:r>
      <w:proofErr w:type="spellEnd"/>
      <w:r w:rsidRPr="00F035D9">
        <w:rPr>
          <w:rFonts w:ascii="Times New Roman" w:hAnsi="Times New Roman" w:cs="Times New Roman"/>
          <w:sz w:val="24"/>
          <w:szCs w:val="24"/>
        </w:rPr>
        <w:t xml:space="preserve"> podiel a kategória granty a transfery až 90,96 %-</w:t>
      </w:r>
      <w:proofErr w:type="spellStart"/>
      <w:r w:rsidRPr="00F035D9">
        <w:rPr>
          <w:rFonts w:ascii="Times New Roman" w:hAnsi="Times New Roman" w:cs="Times New Roman"/>
          <w:sz w:val="24"/>
          <w:szCs w:val="24"/>
        </w:rPr>
        <w:t>ný</w:t>
      </w:r>
      <w:proofErr w:type="spellEnd"/>
      <w:r w:rsidRPr="00F035D9">
        <w:rPr>
          <w:rFonts w:ascii="Times New Roman" w:hAnsi="Times New Roman" w:cs="Times New Roman"/>
          <w:sz w:val="24"/>
          <w:szCs w:val="24"/>
        </w:rPr>
        <w:t xml:space="preserve"> podiel. Na výške nedaňových príjmov v skutočnosti sa najvýraznejšie podieľali iné nedaňové príjmy a administratívne poplatky a iné poplatky a platby. Na dosiahnutej výške grantov a transferov v skutočnosti mali tuzemské bežné transfery a granty najvyšší podiel.</w:t>
      </w:r>
    </w:p>
    <w:p w:rsidR="00516B0F" w:rsidRPr="00F035D9" w:rsidRDefault="00516B0F" w:rsidP="00516B0F">
      <w:pPr>
        <w:tabs>
          <w:tab w:val="left" w:pos="1440"/>
        </w:tabs>
        <w:spacing w:after="0" w:line="240" w:lineRule="auto"/>
        <w:ind w:firstLine="540"/>
        <w:jc w:val="both"/>
        <w:rPr>
          <w:rFonts w:ascii="Times New Roman" w:hAnsi="Times New Roman" w:cs="Times New Roman"/>
          <w:sz w:val="24"/>
          <w:szCs w:val="24"/>
        </w:rPr>
      </w:pPr>
    </w:p>
    <w:p w:rsidR="00516B0F" w:rsidRPr="00F035D9" w:rsidRDefault="00516B0F" w:rsidP="00516B0F">
      <w:pPr>
        <w:spacing w:after="0" w:line="240" w:lineRule="auto"/>
        <w:ind w:firstLine="540"/>
        <w:jc w:val="both"/>
        <w:rPr>
          <w:rFonts w:ascii="Times New Roman" w:hAnsi="Times New Roman" w:cs="Times New Roman"/>
          <w:sz w:val="24"/>
          <w:szCs w:val="24"/>
        </w:rPr>
      </w:pPr>
      <w:r w:rsidRPr="00F035D9">
        <w:rPr>
          <w:rFonts w:ascii="Times New Roman" w:hAnsi="Times New Roman" w:cs="Times New Roman"/>
          <w:sz w:val="24"/>
          <w:szCs w:val="24"/>
        </w:rPr>
        <w:t xml:space="preserve">V štruktúre dosiahnutých výdavkov v skutočnosti </w:t>
      </w:r>
      <w:r w:rsidR="000C164C">
        <w:rPr>
          <w:rFonts w:ascii="Times New Roman" w:hAnsi="Times New Roman" w:cs="Times New Roman"/>
          <w:sz w:val="24"/>
          <w:szCs w:val="24"/>
        </w:rPr>
        <w:t>v sume</w:t>
      </w:r>
      <w:r w:rsidRPr="00F035D9">
        <w:rPr>
          <w:rFonts w:ascii="Times New Roman" w:hAnsi="Times New Roman" w:cs="Times New Roman"/>
          <w:sz w:val="24"/>
          <w:szCs w:val="24"/>
        </w:rPr>
        <w:t xml:space="preserve"> 12 819 242,81 </w:t>
      </w:r>
      <w:r w:rsidR="00703328">
        <w:rPr>
          <w:rFonts w:ascii="Times New Roman" w:hAnsi="Times New Roman" w:cs="Times New Roman"/>
          <w:sz w:val="24"/>
          <w:szCs w:val="24"/>
        </w:rPr>
        <w:t>e</w:t>
      </w:r>
      <w:r w:rsidRPr="00F035D9">
        <w:rPr>
          <w:rFonts w:ascii="Times New Roman" w:hAnsi="Times New Roman" w:cs="Times New Roman"/>
          <w:sz w:val="24"/>
          <w:szCs w:val="24"/>
        </w:rPr>
        <w:t>ur mali bežné výdavky 96,01 %-</w:t>
      </w:r>
      <w:proofErr w:type="spellStart"/>
      <w:r w:rsidRPr="00F035D9">
        <w:rPr>
          <w:rFonts w:ascii="Times New Roman" w:hAnsi="Times New Roman" w:cs="Times New Roman"/>
          <w:sz w:val="24"/>
          <w:szCs w:val="24"/>
        </w:rPr>
        <w:t>ný</w:t>
      </w:r>
      <w:proofErr w:type="spellEnd"/>
      <w:r w:rsidRPr="00F035D9">
        <w:rPr>
          <w:rFonts w:ascii="Times New Roman" w:hAnsi="Times New Roman" w:cs="Times New Roman"/>
          <w:sz w:val="24"/>
          <w:szCs w:val="24"/>
        </w:rPr>
        <w:t xml:space="preserve"> podiel (12 307 165,26 </w:t>
      </w:r>
      <w:r w:rsidR="00703328">
        <w:rPr>
          <w:rFonts w:ascii="Times New Roman" w:hAnsi="Times New Roman" w:cs="Times New Roman"/>
          <w:sz w:val="24"/>
          <w:szCs w:val="24"/>
        </w:rPr>
        <w:t>e</w:t>
      </w:r>
      <w:r w:rsidRPr="00F035D9">
        <w:rPr>
          <w:rFonts w:ascii="Times New Roman" w:hAnsi="Times New Roman" w:cs="Times New Roman"/>
          <w:sz w:val="24"/>
          <w:szCs w:val="24"/>
        </w:rPr>
        <w:t>ur) a kapitálové výdavky 3,99 %-</w:t>
      </w:r>
      <w:proofErr w:type="spellStart"/>
      <w:r w:rsidRPr="00F035D9">
        <w:rPr>
          <w:rFonts w:ascii="Times New Roman" w:hAnsi="Times New Roman" w:cs="Times New Roman"/>
          <w:sz w:val="24"/>
          <w:szCs w:val="24"/>
        </w:rPr>
        <w:t>ný</w:t>
      </w:r>
      <w:proofErr w:type="spellEnd"/>
      <w:r w:rsidRPr="00F035D9">
        <w:rPr>
          <w:rFonts w:ascii="Times New Roman" w:hAnsi="Times New Roman" w:cs="Times New Roman"/>
          <w:sz w:val="24"/>
          <w:szCs w:val="24"/>
        </w:rPr>
        <w:t xml:space="preserve"> podiel (512 077,55 </w:t>
      </w:r>
      <w:r w:rsidR="00703328">
        <w:rPr>
          <w:rFonts w:ascii="Times New Roman" w:hAnsi="Times New Roman" w:cs="Times New Roman"/>
          <w:sz w:val="24"/>
          <w:szCs w:val="24"/>
        </w:rPr>
        <w:t>e</w:t>
      </w:r>
      <w:r w:rsidRPr="00F035D9">
        <w:rPr>
          <w:rFonts w:ascii="Times New Roman" w:hAnsi="Times New Roman" w:cs="Times New Roman"/>
          <w:sz w:val="24"/>
          <w:szCs w:val="24"/>
        </w:rPr>
        <w:t>ur). Na bežných výdavkoch mali najvyšší podiel mzdy a platy a po nich nasledujú tovary a služby. Kapitálové výdavky v plnom rozsahu súviseli s obstarávaním kapitálových aktív.</w:t>
      </w:r>
    </w:p>
    <w:p w:rsidR="00516B0F" w:rsidRPr="004E7B1A" w:rsidRDefault="00516B0F" w:rsidP="00516B0F">
      <w:pPr>
        <w:spacing w:after="0" w:line="240" w:lineRule="auto"/>
        <w:jc w:val="both"/>
        <w:rPr>
          <w:rFonts w:ascii="Times New Roman" w:hAnsi="Times New Roman" w:cs="Times New Roman"/>
          <w:iCs/>
          <w:sz w:val="24"/>
          <w:szCs w:val="24"/>
        </w:rPr>
      </w:pPr>
    </w:p>
    <w:p w:rsidR="00E13016" w:rsidRPr="00184121" w:rsidRDefault="00E13016" w:rsidP="00E81F99">
      <w:pPr>
        <w:spacing w:after="0" w:line="240" w:lineRule="auto"/>
        <w:ind w:firstLine="539"/>
        <w:jc w:val="both"/>
        <w:rPr>
          <w:rFonts w:ascii="Times New Roman" w:hAnsi="Times New Roman" w:cs="Times New Roman"/>
          <w:sz w:val="24"/>
          <w:szCs w:val="24"/>
        </w:rPr>
      </w:pPr>
    </w:p>
    <w:p w:rsidR="0012367D" w:rsidRPr="00995C05" w:rsidRDefault="0012367D" w:rsidP="00154E03">
      <w:pPr>
        <w:spacing w:after="0" w:line="240" w:lineRule="auto"/>
        <w:jc w:val="both"/>
        <w:rPr>
          <w:rFonts w:ascii="Times New Roman" w:hAnsi="Times New Roman" w:cs="Times New Roman"/>
          <w:sz w:val="24"/>
          <w:szCs w:val="24"/>
        </w:rPr>
      </w:pPr>
      <w:r w:rsidRPr="00995C05">
        <w:rPr>
          <w:rFonts w:ascii="Times New Roman" w:hAnsi="Times New Roman" w:cs="Times New Roman"/>
          <w:b/>
          <w:bCs/>
          <w:sz w:val="24"/>
          <w:szCs w:val="24"/>
        </w:rPr>
        <w:t>Z Á V E R</w:t>
      </w:r>
    </w:p>
    <w:p w:rsidR="0012367D" w:rsidRPr="00184121" w:rsidRDefault="0012367D" w:rsidP="00E81F99">
      <w:pPr>
        <w:pStyle w:val="Zarkazkladnhotextu"/>
        <w:tabs>
          <w:tab w:val="left" w:pos="1440"/>
        </w:tabs>
        <w:spacing w:after="0" w:line="240" w:lineRule="auto"/>
        <w:ind w:left="0" w:firstLine="709"/>
        <w:jc w:val="both"/>
        <w:rPr>
          <w:rFonts w:ascii="Times New Roman" w:hAnsi="Times New Roman" w:cs="Times New Roman"/>
          <w:b/>
          <w:bCs/>
          <w:color w:val="00FF00"/>
          <w:sz w:val="24"/>
          <w:szCs w:val="24"/>
        </w:rPr>
      </w:pPr>
    </w:p>
    <w:p w:rsidR="00252A17" w:rsidRPr="00252A17" w:rsidRDefault="00252A17" w:rsidP="00252A17">
      <w:pPr>
        <w:tabs>
          <w:tab w:val="left" w:pos="540"/>
        </w:tabs>
        <w:spacing w:line="240" w:lineRule="auto"/>
        <w:ind w:firstLine="540"/>
        <w:jc w:val="both"/>
        <w:rPr>
          <w:rFonts w:ascii="Times New Roman" w:hAnsi="Times New Roman" w:cs="Times New Roman"/>
          <w:sz w:val="24"/>
          <w:szCs w:val="24"/>
        </w:rPr>
      </w:pPr>
      <w:r w:rsidRPr="00252A17">
        <w:rPr>
          <w:rFonts w:ascii="Times New Roman" w:hAnsi="Times New Roman" w:cs="Times New Roman"/>
          <w:sz w:val="24"/>
          <w:szCs w:val="24"/>
        </w:rPr>
        <w:t xml:space="preserve">Ministerstvo hospodárstva SR v priebehu </w:t>
      </w:r>
      <w:r w:rsidR="00F80B8B">
        <w:rPr>
          <w:rFonts w:ascii="Times New Roman" w:hAnsi="Times New Roman" w:cs="Times New Roman"/>
          <w:sz w:val="24"/>
          <w:szCs w:val="24"/>
        </w:rPr>
        <w:t>roka 2015</w:t>
      </w:r>
      <w:r w:rsidRPr="00252A17">
        <w:rPr>
          <w:rFonts w:ascii="Times New Roman" w:hAnsi="Times New Roman" w:cs="Times New Roman"/>
          <w:sz w:val="24"/>
          <w:szCs w:val="24"/>
        </w:rPr>
        <w:t xml:space="preserve"> venovalo pozornosť rozpočtu kapitoly, jeho úpravám v zmysle rozpočtových opatrení, sledovaniu použitia výdavkov a naplňovaniu príjmov. </w:t>
      </w:r>
    </w:p>
    <w:p w:rsidR="00252A17" w:rsidRPr="00252A17" w:rsidRDefault="00252A17" w:rsidP="00252A17">
      <w:pPr>
        <w:tabs>
          <w:tab w:val="left" w:pos="540"/>
        </w:tabs>
        <w:spacing w:line="240" w:lineRule="auto"/>
        <w:ind w:firstLine="540"/>
        <w:jc w:val="both"/>
        <w:rPr>
          <w:rFonts w:ascii="Times New Roman" w:hAnsi="Times New Roman" w:cs="Times New Roman"/>
          <w:sz w:val="24"/>
          <w:szCs w:val="24"/>
        </w:rPr>
      </w:pPr>
      <w:r w:rsidRPr="00252A17">
        <w:rPr>
          <w:rFonts w:ascii="Times New Roman" w:hAnsi="Times New Roman" w:cs="Times New Roman"/>
          <w:sz w:val="24"/>
          <w:szCs w:val="24"/>
        </w:rPr>
        <w:t xml:space="preserve">Prioritami </w:t>
      </w:r>
      <w:r>
        <w:rPr>
          <w:rFonts w:ascii="Times New Roman" w:hAnsi="Times New Roman" w:cs="Times New Roman"/>
          <w:sz w:val="24"/>
          <w:szCs w:val="24"/>
        </w:rPr>
        <w:t>MH SR</w:t>
      </w:r>
      <w:r w:rsidRPr="00252A17">
        <w:rPr>
          <w:rFonts w:ascii="Times New Roman" w:hAnsi="Times New Roman" w:cs="Times New Roman"/>
          <w:sz w:val="24"/>
          <w:szCs w:val="24"/>
        </w:rPr>
        <w:t xml:space="preserve"> v  roku 2015 bolo financovanie opatrení v oblasti podpory podnikania,  energetiky, podpory inovačných aktivít, financovanie opatrení OP KaHR, realizácia výdavkov súvisiacich s prípravou  </w:t>
      </w:r>
      <w:r w:rsidRPr="00252A17">
        <w:rPr>
          <w:rFonts w:ascii="Times New Roman" w:hAnsi="Times New Roman" w:cs="Times New Roman"/>
          <w:color w:val="000000"/>
          <w:sz w:val="24"/>
          <w:szCs w:val="24"/>
        </w:rPr>
        <w:t xml:space="preserve">na  predsedníctvo Slovenskej republiky v Rade Európskej únie v roku 2016, realizácia výdavkov na hospodársku mobilizáciu, realizácia výdavkov na projekt Elektronizácia služieb MH SR a </w:t>
      </w:r>
      <w:r w:rsidRPr="00252A17">
        <w:rPr>
          <w:rFonts w:ascii="Times New Roman" w:hAnsi="Times New Roman" w:cs="Times New Roman"/>
          <w:sz w:val="24"/>
          <w:szCs w:val="24"/>
        </w:rPr>
        <w:t>na EXPO Miláno 2015</w:t>
      </w:r>
      <w:r w:rsidRPr="00252A17">
        <w:rPr>
          <w:rFonts w:ascii="Times New Roman" w:hAnsi="Times New Roman" w:cs="Times New Roman"/>
          <w:color w:val="000000"/>
          <w:sz w:val="24"/>
          <w:szCs w:val="24"/>
        </w:rPr>
        <w:t>.</w:t>
      </w:r>
    </w:p>
    <w:p w:rsidR="00252A17" w:rsidRPr="00252A17" w:rsidRDefault="00252A17" w:rsidP="00252A17">
      <w:pPr>
        <w:autoSpaceDE w:val="0"/>
        <w:autoSpaceDN w:val="0"/>
        <w:adjustRightInd w:val="0"/>
        <w:spacing w:line="240" w:lineRule="auto"/>
        <w:ind w:firstLine="567"/>
        <w:jc w:val="both"/>
        <w:rPr>
          <w:rFonts w:ascii="Times New Roman" w:hAnsi="Times New Roman" w:cs="Times New Roman"/>
          <w:sz w:val="24"/>
          <w:szCs w:val="24"/>
        </w:rPr>
      </w:pPr>
      <w:r w:rsidRPr="00252A17">
        <w:rPr>
          <w:rFonts w:ascii="Times New Roman" w:hAnsi="Times New Roman" w:cs="Times New Roman"/>
          <w:sz w:val="24"/>
          <w:szCs w:val="24"/>
        </w:rPr>
        <w:t xml:space="preserve">Schválený rozpočet príjmov v roku 2015 v sume </w:t>
      </w:r>
      <w:r w:rsidRPr="00252A17">
        <w:rPr>
          <w:rFonts w:ascii="Times New Roman" w:hAnsi="Times New Roman" w:cs="Times New Roman"/>
          <w:sz w:val="24"/>
          <w:szCs w:val="24"/>
          <w:lang w:eastAsia="sk-SK"/>
        </w:rPr>
        <w:t>286 304 989,00 eur</w:t>
      </w:r>
      <w:r w:rsidRPr="00252A17">
        <w:rPr>
          <w:rFonts w:ascii="Times New Roman" w:hAnsi="Times New Roman" w:cs="Times New Roman"/>
          <w:sz w:val="24"/>
          <w:szCs w:val="24"/>
        </w:rPr>
        <w:t xml:space="preserve"> bol rozpočtovými opatreniami MF SR  upravený  na  hodnotu </w:t>
      </w:r>
      <w:r w:rsidRPr="00252A17">
        <w:rPr>
          <w:rFonts w:ascii="Times New Roman" w:hAnsi="Times New Roman" w:cs="Times New Roman"/>
          <w:sz w:val="24"/>
          <w:szCs w:val="24"/>
          <w:lang w:eastAsia="sk-SK"/>
        </w:rPr>
        <w:t xml:space="preserve">366 929 934,78 </w:t>
      </w:r>
      <w:r w:rsidRPr="00252A17">
        <w:rPr>
          <w:rFonts w:ascii="Times New Roman" w:hAnsi="Times New Roman" w:cs="Times New Roman"/>
          <w:sz w:val="24"/>
          <w:szCs w:val="24"/>
        </w:rPr>
        <w:t xml:space="preserve">eur. Celkové príjmy za rok 2015 boli naplnené v sume 369 085 004,57 eur a k upravenému rozpočtu príjmov boli splnené na 100,59 %. </w:t>
      </w:r>
    </w:p>
    <w:p w:rsidR="00252A17" w:rsidRPr="00252A17" w:rsidRDefault="00252A17" w:rsidP="00A7344A">
      <w:pPr>
        <w:autoSpaceDE w:val="0"/>
        <w:autoSpaceDN w:val="0"/>
        <w:adjustRightInd w:val="0"/>
        <w:spacing w:line="240" w:lineRule="auto"/>
        <w:ind w:firstLine="567"/>
        <w:jc w:val="both"/>
        <w:rPr>
          <w:rFonts w:ascii="Times New Roman" w:hAnsi="Times New Roman" w:cs="Times New Roman"/>
          <w:sz w:val="24"/>
          <w:szCs w:val="24"/>
          <w:lang w:eastAsia="sk-SK"/>
        </w:rPr>
      </w:pPr>
      <w:r w:rsidRPr="00252A17">
        <w:rPr>
          <w:rFonts w:ascii="Times New Roman" w:hAnsi="Times New Roman" w:cs="Times New Roman"/>
          <w:sz w:val="24"/>
          <w:szCs w:val="24"/>
        </w:rPr>
        <w:t xml:space="preserve">Schválený rozpočet  výdavkov v roku 2015 v sume </w:t>
      </w:r>
      <w:r w:rsidRPr="00252A17">
        <w:rPr>
          <w:rFonts w:ascii="Times New Roman" w:hAnsi="Times New Roman" w:cs="Times New Roman"/>
          <w:sz w:val="24"/>
          <w:szCs w:val="24"/>
          <w:lang w:eastAsia="sk-SK"/>
        </w:rPr>
        <w:t xml:space="preserve">298 270 138,00 eur </w:t>
      </w:r>
      <w:r w:rsidRPr="00252A17">
        <w:rPr>
          <w:rFonts w:ascii="Times New Roman" w:hAnsi="Times New Roman" w:cs="Times New Roman"/>
          <w:sz w:val="24"/>
          <w:szCs w:val="24"/>
        </w:rPr>
        <w:t xml:space="preserve">bol po zrealizovaných rozpočtových opatreniach upravený na hodnotu </w:t>
      </w:r>
      <w:r w:rsidRPr="00252A17">
        <w:rPr>
          <w:rFonts w:ascii="Times New Roman" w:hAnsi="Times New Roman" w:cs="Times New Roman"/>
          <w:sz w:val="24"/>
          <w:szCs w:val="24"/>
          <w:lang w:eastAsia="sk-SK"/>
        </w:rPr>
        <w:t>441 217 548,62 e</w:t>
      </w:r>
      <w:r w:rsidRPr="00252A17">
        <w:rPr>
          <w:rFonts w:ascii="Times New Roman" w:hAnsi="Times New Roman" w:cs="Times New Roman"/>
          <w:sz w:val="24"/>
          <w:szCs w:val="24"/>
        </w:rPr>
        <w:t xml:space="preserve">ur, čerpanie (vrátane zdroja 72c – mimorozpočtové prostriedky) bolo vykázané v sume         441 077 675,37 eur, t.j. plnenie na  99,97 % k upravenému rozpočtu výdavkov k 31.12.2015. </w:t>
      </w:r>
    </w:p>
    <w:p w:rsidR="00252A17" w:rsidRPr="00252A17" w:rsidRDefault="00252A17" w:rsidP="00A7344A">
      <w:pPr>
        <w:autoSpaceDE w:val="0"/>
        <w:autoSpaceDN w:val="0"/>
        <w:adjustRightInd w:val="0"/>
        <w:spacing w:line="240" w:lineRule="auto"/>
        <w:ind w:firstLine="567"/>
        <w:jc w:val="both"/>
        <w:rPr>
          <w:rFonts w:ascii="Times New Roman" w:hAnsi="Times New Roman" w:cs="Times New Roman"/>
          <w:sz w:val="24"/>
          <w:szCs w:val="24"/>
        </w:rPr>
      </w:pPr>
      <w:r w:rsidRPr="00252A17">
        <w:rPr>
          <w:rFonts w:ascii="Times New Roman" w:hAnsi="Times New Roman" w:cs="Times New Roman"/>
          <w:sz w:val="24"/>
          <w:szCs w:val="24"/>
        </w:rPr>
        <w:t xml:space="preserve">Rozpočet  výdavkov v roku 2015 pokryl nevyhnutné  výdavky  rezortu a realizáciou výdavkov bolo zabezpečené plynulé plnenie úloh ministerstva. </w:t>
      </w:r>
    </w:p>
    <w:p w:rsidR="00560D2F" w:rsidRDefault="00252A17" w:rsidP="00A7344A">
      <w:pPr>
        <w:tabs>
          <w:tab w:val="left" w:pos="540"/>
        </w:tabs>
        <w:spacing w:line="240" w:lineRule="auto"/>
        <w:ind w:firstLine="540"/>
        <w:jc w:val="both"/>
        <w:rPr>
          <w:rFonts w:ascii="Times New Roman" w:hAnsi="Times New Roman" w:cs="Times New Roman"/>
          <w:sz w:val="24"/>
          <w:szCs w:val="24"/>
        </w:rPr>
      </w:pPr>
      <w:r w:rsidRPr="00252A17">
        <w:rPr>
          <w:rFonts w:ascii="Times New Roman" w:hAnsi="Times New Roman" w:cs="Times New Roman"/>
          <w:sz w:val="24"/>
          <w:szCs w:val="24"/>
        </w:rPr>
        <w:t xml:space="preserve">V priebehu </w:t>
      </w:r>
      <w:r w:rsidR="002929A2">
        <w:rPr>
          <w:rFonts w:ascii="Times New Roman" w:hAnsi="Times New Roman" w:cs="Times New Roman"/>
          <w:sz w:val="24"/>
          <w:szCs w:val="24"/>
        </w:rPr>
        <w:t xml:space="preserve">roka 2015 </w:t>
      </w:r>
      <w:r w:rsidRPr="00252A17">
        <w:rPr>
          <w:rFonts w:ascii="Times New Roman" w:hAnsi="Times New Roman" w:cs="Times New Roman"/>
          <w:sz w:val="24"/>
          <w:szCs w:val="24"/>
        </w:rPr>
        <w:t>Ministerstvo hospodárstva SR analyzovalo použitie zdrojov rozpočtu. V roku 2015 nedošlo k prekročeniu povoleného čerpania výdavkov a k nenaplneniu príjmov kapitoly MH SR</w:t>
      </w:r>
      <w:r>
        <w:rPr>
          <w:rFonts w:ascii="Times New Roman" w:hAnsi="Times New Roman" w:cs="Times New Roman"/>
          <w:sz w:val="24"/>
          <w:szCs w:val="24"/>
        </w:rPr>
        <w:t>.</w:t>
      </w:r>
    </w:p>
    <w:p w:rsidR="00A41974" w:rsidRPr="00252A17" w:rsidRDefault="00A41974" w:rsidP="00A7344A">
      <w:pPr>
        <w:tabs>
          <w:tab w:val="left" w:pos="540"/>
        </w:tabs>
        <w:spacing w:line="240" w:lineRule="auto"/>
        <w:ind w:firstLine="540"/>
        <w:jc w:val="both"/>
        <w:rPr>
          <w:rFonts w:ascii="Times New Roman" w:hAnsi="Times New Roman" w:cs="Times New Roman"/>
          <w:sz w:val="24"/>
          <w:szCs w:val="24"/>
        </w:rPr>
      </w:pPr>
    </w:p>
    <w:p w:rsidR="00560D2F" w:rsidRDefault="00560D2F" w:rsidP="00E81F99">
      <w:pPr>
        <w:spacing w:line="240" w:lineRule="auto"/>
        <w:ind w:firstLine="539"/>
        <w:jc w:val="both"/>
        <w:rPr>
          <w:szCs w:val="24"/>
        </w:rPr>
      </w:pPr>
    </w:p>
    <w:p w:rsidR="00560D2F" w:rsidRPr="00184121" w:rsidRDefault="00560D2F" w:rsidP="00125830">
      <w:pPr>
        <w:pStyle w:val="Odsekzoznamu"/>
        <w:tabs>
          <w:tab w:val="left" w:pos="540"/>
        </w:tabs>
        <w:spacing w:after="0" w:line="240" w:lineRule="auto"/>
        <w:ind w:left="0" w:firstLine="540"/>
        <w:jc w:val="both"/>
        <w:rPr>
          <w:rFonts w:ascii="Times New Roman" w:hAnsi="Times New Roman" w:cs="Times New Roman"/>
          <w:smallCaps/>
          <w:color w:val="00FF00"/>
          <w:sz w:val="24"/>
          <w:szCs w:val="24"/>
        </w:rPr>
      </w:pPr>
    </w:p>
    <w:sectPr w:rsidR="00560D2F" w:rsidRPr="00184121" w:rsidSect="008F3001">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078" w:rsidRDefault="00966078" w:rsidP="00BE1F31">
      <w:pPr>
        <w:spacing w:after="0" w:line="240" w:lineRule="auto"/>
      </w:pPr>
      <w:r>
        <w:separator/>
      </w:r>
    </w:p>
  </w:endnote>
  <w:endnote w:type="continuationSeparator" w:id="0">
    <w:p w:rsidR="00966078" w:rsidRDefault="00966078" w:rsidP="00BE1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New Roman (WE)">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New Roman CE">
    <w:panose1 w:val="02020603050405020304"/>
    <w:charset w:val="EE"/>
    <w:family w:val="roman"/>
    <w:pitch w:val="variable"/>
    <w:sig w:usb0="E0002AFF" w:usb1="C0007841" w:usb2="00000009" w:usb3="00000000" w:csb0="000001FF"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694941"/>
      <w:docPartObj>
        <w:docPartGallery w:val="Page Numbers (Bottom of Page)"/>
        <w:docPartUnique/>
      </w:docPartObj>
    </w:sdtPr>
    <w:sdtEndPr/>
    <w:sdtContent>
      <w:p w:rsidR="005C5147" w:rsidRDefault="005C5147">
        <w:pPr>
          <w:pStyle w:val="Pta"/>
          <w:jc w:val="center"/>
        </w:pPr>
        <w:r>
          <w:fldChar w:fldCharType="begin"/>
        </w:r>
        <w:r>
          <w:instrText>PAGE   \* MERGEFORMAT</w:instrText>
        </w:r>
        <w:r>
          <w:fldChar w:fldCharType="separate"/>
        </w:r>
        <w:r w:rsidR="0064235C">
          <w:rPr>
            <w:noProof/>
          </w:rPr>
          <w:t>8</w:t>
        </w:r>
        <w:r>
          <w:fldChar w:fldCharType="end"/>
        </w:r>
      </w:p>
    </w:sdtContent>
  </w:sdt>
  <w:p w:rsidR="005C5147" w:rsidRDefault="005C514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078" w:rsidRDefault="00966078" w:rsidP="00BE1F31">
      <w:pPr>
        <w:spacing w:after="0" w:line="240" w:lineRule="auto"/>
      </w:pPr>
      <w:r>
        <w:separator/>
      </w:r>
    </w:p>
  </w:footnote>
  <w:footnote w:type="continuationSeparator" w:id="0">
    <w:p w:rsidR="00966078" w:rsidRDefault="00966078" w:rsidP="00BE1F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C9C"/>
    <w:multiLevelType w:val="hybridMultilevel"/>
    <w:tmpl w:val="C060A8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3300337"/>
    <w:multiLevelType w:val="multilevel"/>
    <w:tmpl w:val="142667E8"/>
    <w:lvl w:ilvl="0">
      <w:start w:val="1"/>
      <w:numFmt w:val="decimal"/>
      <w:lvlText w:val="%1."/>
      <w:lvlJc w:val="left"/>
      <w:pPr>
        <w:ind w:left="540" w:hanging="540"/>
      </w:pPr>
      <w:rPr>
        <w:rFonts w:hint="default"/>
      </w:rPr>
    </w:lvl>
    <w:lvl w:ilvl="1">
      <w:start w:val="3"/>
      <w:numFmt w:val="decimal"/>
      <w:lvlText w:val="%1.%2."/>
      <w:lvlJc w:val="left"/>
      <w:pPr>
        <w:ind w:left="1250"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nsid w:val="098C7A20"/>
    <w:multiLevelType w:val="hybridMultilevel"/>
    <w:tmpl w:val="28188B9C"/>
    <w:lvl w:ilvl="0" w:tplc="D6E82D88">
      <w:start w:val="1"/>
      <w:numFmt w:val="bullet"/>
      <w:lvlText w:val="-"/>
      <w:lvlJc w:val="left"/>
      <w:pPr>
        <w:tabs>
          <w:tab w:val="num" w:pos="1260"/>
        </w:tabs>
        <w:ind w:left="1260" w:hanging="360"/>
      </w:pPr>
      <w:rPr>
        <w:rFonts w:ascii="Times New Roman" w:eastAsia="Times New Roman" w:hAnsi="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start w:val="1"/>
      <w:numFmt w:val="bullet"/>
      <w:lvlText w:val=""/>
      <w:lvlJc w:val="left"/>
      <w:pPr>
        <w:tabs>
          <w:tab w:val="num" w:pos="5100"/>
        </w:tabs>
        <w:ind w:left="5100" w:hanging="360"/>
      </w:pPr>
      <w:rPr>
        <w:rFonts w:ascii="Symbol" w:hAnsi="Symbol" w:hint="default"/>
      </w:rPr>
    </w:lvl>
    <w:lvl w:ilvl="7" w:tplc="041B0003">
      <w:start w:val="1"/>
      <w:numFmt w:val="bullet"/>
      <w:lvlText w:val="o"/>
      <w:lvlJc w:val="left"/>
      <w:pPr>
        <w:tabs>
          <w:tab w:val="num" w:pos="5820"/>
        </w:tabs>
        <w:ind w:left="5820" w:hanging="360"/>
      </w:pPr>
      <w:rPr>
        <w:rFonts w:ascii="Courier New" w:hAnsi="Courier New" w:hint="default"/>
      </w:rPr>
    </w:lvl>
    <w:lvl w:ilvl="8" w:tplc="041B0005">
      <w:start w:val="1"/>
      <w:numFmt w:val="bullet"/>
      <w:lvlText w:val=""/>
      <w:lvlJc w:val="left"/>
      <w:pPr>
        <w:tabs>
          <w:tab w:val="num" w:pos="6540"/>
        </w:tabs>
        <w:ind w:left="6540" w:hanging="360"/>
      </w:pPr>
      <w:rPr>
        <w:rFonts w:ascii="Wingdings" w:hAnsi="Wingdings" w:hint="default"/>
      </w:rPr>
    </w:lvl>
  </w:abstractNum>
  <w:abstractNum w:abstractNumId="3">
    <w:nsid w:val="0CAF3D6D"/>
    <w:multiLevelType w:val="multilevel"/>
    <w:tmpl w:val="60F4E034"/>
    <w:lvl w:ilvl="0">
      <w:start w:val="1"/>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nsid w:val="0DEF2DC2"/>
    <w:multiLevelType w:val="multilevel"/>
    <w:tmpl w:val="3AB6E828"/>
    <w:lvl w:ilvl="0">
      <w:start w:val="1"/>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119C31DA"/>
    <w:multiLevelType w:val="hybridMultilevel"/>
    <w:tmpl w:val="7F124C66"/>
    <w:lvl w:ilvl="0" w:tplc="8F74E4C8">
      <w:start w:val="1"/>
      <w:numFmt w:val="bullet"/>
      <w:lvlText w:val="-"/>
      <w:lvlJc w:val="left"/>
      <w:pPr>
        <w:tabs>
          <w:tab w:val="num" w:pos="720"/>
        </w:tabs>
        <w:ind w:left="720" w:hanging="360"/>
      </w:pPr>
      <w:rPr>
        <w:rFonts w:ascii="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12377F48"/>
    <w:multiLevelType w:val="hybridMultilevel"/>
    <w:tmpl w:val="7116B884"/>
    <w:lvl w:ilvl="0" w:tplc="041B0003">
      <w:start w:val="1"/>
      <w:numFmt w:val="bullet"/>
      <w:lvlText w:val="o"/>
      <w:lvlJc w:val="left"/>
      <w:pPr>
        <w:ind w:left="1068" w:hanging="360"/>
      </w:pPr>
      <w:rPr>
        <w:rFonts w:ascii="Courier New" w:hAnsi="Courier New" w:cs="Courier New"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nsid w:val="12527C73"/>
    <w:multiLevelType w:val="hybridMultilevel"/>
    <w:tmpl w:val="E190D3EE"/>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E258DA0A">
      <w:start w:val="1"/>
      <w:numFmt w:val="decimal"/>
      <w:lvlText w:val="%4."/>
      <w:lvlJc w:val="left"/>
      <w:pPr>
        <w:ind w:left="360" w:hanging="360"/>
      </w:pPr>
      <w:rPr>
        <w:rFonts w:ascii="Times New Roman" w:eastAsia="Times" w:hAnsi="Times New Roman"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nsid w:val="13C77E1A"/>
    <w:multiLevelType w:val="hybridMultilevel"/>
    <w:tmpl w:val="A5785934"/>
    <w:lvl w:ilvl="0" w:tplc="E3887F88">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ED5E27"/>
    <w:multiLevelType w:val="hybridMultilevel"/>
    <w:tmpl w:val="8FB8FF90"/>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626625C"/>
    <w:multiLevelType w:val="hybridMultilevel"/>
    <w:tmpl w:val="4BD83222"/>
    <w:lvl w:ilvl="0" w:tplc="11008F4E">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6C0778C"/>
    <w:multiLevelType w:val="multilevel"/>
    <w:tmpl w:val="C492D1B8"/>
    <w:lvl w:ilvl="0">
      <w:start w:val="1"/>
      <w:numFmt w:val="lowerLetter"/>
      <w:lvlText w:val="%1."/>
      <w:lvlJc w:val="left"/>
      <w:pPr>
        <w:tabs>
          <w:tab w:val="num" w:pos="720"/>
        </w:tabs>
        <w:ind w:left="720" w:hanging="360"/>
      </w:pPr>
    </w:lvl>
    <w:lvl w:ilvl="1">
      <w:start w:val="1"/>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19767FE4"/>
    <w:multiLevelType w:val="hybridMultilevel"/>
    <w:tmpl w:val="20269FF6"/>
    <w:lvl w:ilvl="0" w:tplc="1B3C3B7A">
      <w:numFmt w:val="bullet"/>
      <w:lvlText w:val="-"/>
      <w:lvlJc w:val="left"/>
      <w:pPr>
        <w:ind w:left="720" w:hanging="360"/>
      </w:pPr>
      <w:rPr>
        <w:rFonts w:ascii="Times New Roman" w:eastAsia="Times New Roman" w:hAnsi="Times New Roman" w:cs="Times New Roman" w:hint="default"/>
        <w:sz w:val="22"/>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nsid w:val="23913367"/>
    <w:multiLevelType w:val="multilevel"/>
    <w:tmpl w:val="49BAEA1C"/>
    <w:lvl w:ilvl="0">
      <w:start w:val="4"/>
      <w:numFmt w:val="decimalZero"/>
      <w:lvlText w:val="%1"/>
      <w:lvlJc w:val="left"/>
      <w:pPr>
        <w:ind w:left="420" w:hanging="420"/>
      </w:pPr>
      <w:rPr>
        <w:rFonts w:hint="default"/>
      </w:rPr>
    </w:lvl>
    <w:lvl w:ilvl="1">
      <w:start w:val="9"/>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1A0064"/>
    <w:multiLevelType w:val="hybridMultilevel"/>
    <w:tmpl w:val="599045E2"/>
    <w:lvl w:ilvl="0" w:tplc="1C94A7AE">
      <w:start w:val="1"/>
      <w:numFmt w:val="decimal"/>
      <w:lvlText w:val="1.1.%1."/>
      <w:lvlJc w:val="left"/>
      <w:pPr>
        <w:ind w:left="360" w:hanging="360"/>
      </w:pPr>
      <w:rPr>
        <w:rFonts w:cs="Times New Roman" w:hint="default"/>
        <w:strike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nsid w:val="34E16907"/>
    <w:multiLevelType w:val="hybridMultilevel"/>
    <w:tmpl w:val="0366A554"/>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16">
    <w:nsid w:val="35472D17"/>
    <w:multiLevelType w:val="hybridMultilevel"/>
    <w:tmpl w:val="C4A80BD4"/>
    <w:lvl w:ilvl="0" w:tplc="1018CB24">
      <w:start w:val="1"/>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477E66ED"/>
    <w:multiLevelType w:val="hybridMultilevel"/>
    <w:tmpl w:val="A3103A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10D2F06"/>
    <w:multiLevelType w:val="hybridMultilevel"/>
    <w:tmpl w:val="D4D47D58"/>
    <w:lvl w:ilvl="0" w:tplc="3E3A9C6E">
      <w:numFmt w:val="bullet"/>
      <w:lvlText w:val="-"/>
      <w:lvlJc w:val="left"/>
      <w:pPr>
        <w:ind w:left="1276" w:hanging="360"/>
      </w:pPr>
      <w:rPr>
        <w:rFonts w:ascii="Calibri" w:eastAsia="Calibri" w:hAnsi="Calibri" w:cs="Times New Roman" w:hint="default"/>
      </w:rPr>
    </w:lvl>
    <w:lvl w:ilvl="1" w:tplc="041B0003">
      <w:start w:val="1"/>
      <w:numFmt w:val="bullet"/>
      <w:lvlText w:val="o"/>
      <w:lvlJc w:val="left"/>
      <w:pPr>
        <w:ind w:left="1996" w:hanging="360"/>
      </w:pPr>
      <w:rPr>
        <w:rFonts w:ascii="Courier New" w:hAnsi="Courier New" w:cs="Courier New" w:hint="default"/>
      </w:rPr>
    </w:lvl>
    <w:lvl w:ilvl="2" w:tplc="041B0005">
      <w:start w:val="1"/>
      <w:numFmt w:val="bullet"/>
      <w:lvlText w:val=""/>
      <w:lvlJc w:val="left"/>
      <w:pPr>
        <w:ind w:left="2716" w:hanging="360"/>
      </w:pPr>
      <w:rPr>
        <w:rFonts w:ascii="Wingdings" w:hAnsi="Wingdings" w:hint="default"/>
      </w:rPr>
    </w:lvl>
    <w:lvl w:ilvl="3" w:tplc="041B0001" w:tentative="1">
      <w:start w:val="1"/>
      <w:numFmt w:val="bullet"/>
      <w:lvlText w:val=""/>
      <w:lvlJc w:val="left"/>
      <w:pPr>
        <w:ind w:left="3436" w:hanging="360"/>
      </w:pPr>
      <w:rPr>
        <w:rFonts w:ascii="Symbol" w:hAnsi="Symbol" w:hint="default"/>
      </w:rPr>
    </w:lvl>
    <w:lvl w:ilvl="4" w:tplc="041B0003" w:tentative="1">
      <w:start w:val="1"/>
      <w:numFmt w:val="bullet"/>
      <w:lvlText w:val="o"/>
      <w:lvlJc w:val="left"/>
      <w:pPr>
        <w:ind w:left="4156" w:hanging="360"/>
      </w:pPr>
      <w:rPr>
        <w:rFonts w:ascii="Courier New" w:hAnsi="Courier New" w:cs="Courier New" w:hint="default"/>
      </w:rPr>
    </w:lvl>
    <w:lvl w:ilvl="5" w:tplc="041B0005" w:tentative="1">
      <w:start w:val="1"/>
      <w:numFmt w:val="bullet"/>
      <w:lvlText w:val=""/>
      <w:lvlJc w:val="left"/>
      <w:pPr>
        <w:ind w:left="4876" w:hanging="360"/>
      </w:pPr>
      <w:rPr>
        <w:rFonts w:ascii="Wingdings" w:hAnsi="Wingdings" w:hint="default"/>
      </w:rPr>
    </w:lvl>
    <w:lvl w:ilvl="6" w:tplc="041B0001" w:tentative="1">
      <w:start w:val="1"/>
      <w:numFmt w:val="bullet"/>
      <w:lvlText w:val=""/>
      <w:lvlJc w:val="left"/>
      <w:pPr>
        <w:ind w:left="5596" w:hanging="360"/>
      </w:pPr>
      <w:rPr>
        <w:rFonts w:ascii="Symbol" w:hAnsi="Symbol" w:hint="default"/>
      </w:rPr>
    </w:lvl>
    <w:lvl w:ilvl="7" w:tplc="041B0003" w:tentative="1">
      <w:start w:val="1"/>
      <w:numFmt w:val="bullet"/>
      <w:lvlText w:val="o"/>
      <w:lvlJc w:val="left"/>
      <w:pPr>
        <w:ind w:left="6316" w:hanging="360"/>
      </w:pPr>
      <w:rPr>
        <w:rFonts w:ascii="Courier New" w:hAnsi="Courier New" w:cs="Courier New" w:hint="default"/>
      </w:rPr>
    </w:lvl>
    <w:lvl w:ilvl="8" w:tplc="041B0005" w:tentative="1">
      <w:start w:val="1"/>
      <w:numFmt w:val="bullet"/>
      <w:lvlText w:val=""/>
      <w:lvlJc w:val="left"/>
      <w:pPr>
        <w:ind w:left="7036" w:hanging="360"/>
      </w:pPr>
      <w:rPr>
        <w:rFonts w:ascii="Wingdings" w:hAnsi="Wingdings" w:hint="default"/>
      </w:rPr>
    </w:lvl>
  </w:abstractNum>
  <w:abstractNum w:abstractNumId="19">
    <w:nsid w:val="531B785F"/>
    <w:multiLevelType w:val="multilevel"/>
    <w:tmpl w:val="6EF425DE"/>
    <w:lvl w:ilvl="0">
      <w:start w:val="4"/>
      <w:numFmt w:val="decimalZero"/>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7E41672"/>
    <w:multiLevelType w:val="hybridMultilevel"/>
    <w:tmpl w:val="62222268"/>
    <w:lvl w:ilvl="0" w:tplc="E3887F88">
      <w:start w:val="1"/>
      <w:numFmt w:val="upperLetter"/>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5E8449A1"/>
    <w:multiLevelType w:val="hybridMultilevel"/>
    <w:tmpl w:val="E042C1B0"/>
    <w:lvl w:ilvl="0" w:tplc="62DE484C">
      <w:start w:val="1"/>
      <w:numFmt w:val="bullet"/>
      <w:lvlText w:val="-"/>
      <w:lvlJc w:val="left"/>
      <w:pPr>
        <w:ind w:left="555" w:hanging="360"/>
      </w:pPr>
      <w:rPr>
        <w:rFonts w:ascii="Times New Roman" w:eastAsia="Times" w:hAnsi="Times New Roman" w:cs="Times New Roman" w:hint="default"/>
      </w:rPr>
    </w:lvl>
    <w:lvl w:ilvl="1" w:tplc="041B0003" w:tentative="1">
      <w:start w:val="1"/>
      <w:numFmt w:val="bullet"/>
      <w:lvlText w:val="o"/>
      <w:lvlJc w:val="left"/>
      <w:pPr>
        <w:ind w:left="1275" w:hanging="360"/>
      </w:pPr>
      <w:rPr>
        <w:rFonts w:ascii="Courier New" w:hAnsi="Courier New" w:cs="Courier New" w:hint="default"/>
      </w:rPr>
    </w:lvl>
    <w:lvl w:ilvl="2" w:tplc="041B0005" w:tentative="1">
      <w:start w:val="1"/>
      <w:numFmt w:val="bullet"/>
      <w:lvlText w:val=""/>
      <w:lvlJc w:val="left"/>
      <w:pPr>
        <w:ind w:left="1995" w:hanging="360"/>
      </w:pPr>
      <w:rPr>
        <w:rFonts w:ascii="Wingdings" w:hAnsi="Wingdings" w:hint="default"/>
      </w:rPr>
    </w:lvl>
    <w:lvl w:ilvl="3" w:tplc="041B0001" w:tentative="1">
      <w:start w:val="1"/>
      <w:numFmt w:val="bullet"/>
      <w:lvlText w:val=""/>
      <w:lvlJc w:val="left"/>
      <w:pPr>
        <w:ind w:left="2715" w:hanging="360"/>
      </w:pPr>
      <w:rPr>
        <w:rFonts w:ascii="Symbol" w:hAnsi="Symbol" w:hint="default"/>
      </w:rPr>
    </w:lvl>
    <w:lvl w:ilvl="4" w:tplc="041B0003" w:tentative="1">
      <w:start w:val="1"/>
      <w:numFmt w:val="bullet"/>
      <w:lvlText w:val="o"/>
      <w:lvlJc w:val="left"/>
      <w:pPr>
        <w:ind w:left="3435" w:hanging="360"/>
      </w:pPr>
      <w:rPr>
        <w:rFonts w:ascii="Courier New" w:hAnsi="Courier New" w:cs="Courier New" w:hint="default"/>
      </w:rPr>
    </w:lvl>
    <w:lvl w:ilvl="5" w:tplc="041B0005" w:tentative="1">
      <w:start w:val="1"/>
      <w:numFmt w:val="bullet"/>
      <w:lvlText w:val=""/>
      <w:lvlJc w:val="left"/>
      <w:pPr>
        <w:ind w:left="4155" w:hanging="360"/>
      </w:pPr>
      <w:rPr>
        <w:rFonts w:ascii="Wingdings" w:hAnsi="Wingdings" w:hint="default"/>
      </w:rPr>
    </w:lvl>
    <w:lvl w:ilvl="6" w:tplc="041B0001" w:tentative="1">
      <w:start w:val="1"/>
      <w:numFmt w:val="bullet"/>
      <w:lvlText w:val=""/>
      <w:lvlJc w:val="left"/>
      <w:pPr>
        <w:ind w:left="4875" w:hanging="360"/>
      </w:pPr>
      <w:rPr>
        <w:rFonts w:ascii="Symbol" w:hAnsi="Symbol" w:hint="default"/>
      </w:rPr>
    </w:lvl>
    <w:lvl w:ilvl="7" w:tplc="041B0003" w:tentative="1">
      <w:start w:val="1"/>
      <w:numFmt w:val="bullet"/>
      <w:lvlText w:val="o"/>
      <w:lvlJc w:val="left"/>
      <w:pPr>
        <w:ind w:left="5595" w:hanging="360"/>
      </w:pPr>
      <w:rPr>
        <w:rFonts w:ascii="Courier New" w:hAnsi="Courier New" w:cs="Courier New" w:hint="default"/>
      </w:rPr>
    </w:lvl>
    <w:lvl w:ilvl="8" w:tplc="041B0005" w:tentative="1">
      <w:start w:val="1"/>
      <w:numFmt w:val="bullet"/>
      <w:lvlText w:val=""/>
      <w:lvlJc w:val="left"/>
      <w:pPr>
        <w:ind w:left="6315" w:hanging="360"/>
      </w:pPr>
      <w:rPr>
        <w:rFonts w:ascii="Wingdings" w:hAnsi="Wingdings" w:hint="default"/>
      </w:rPr>
    </w:lvl>
  </w:abstractNum>
  <w:abstractNum w:abstractNumId="22">
    <w:nsid w:val="5ECD1C1C"/>
    <w:multiLevelType w:val="hybridMultilevel"/>
    <w:tmpl w:val="6E3A2C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0992624"/>
    <w:multiLevelType w:val="hybridMultilevel"/>
    <w:tmpl w:val="6EB8FFE0"/>
    <w:lvl w:ilvl="0" w:tplc="DF06751E">
      <w:start w:val="1"/>
      <w:numFmt w:val="decimal"/>
      <w:lvlText w:val="1.%1."/>
      <w:lvlJc w:val="left"/>
      <w:pPr>
        <w:ind w:left="360" w:hanging="360"/>
      </w:pPr>
      <w:rPr>
        <w:rFonts w:cs="Times New Roman" w:hint="default"/>
        <w:b/>
        <w:bCs/>
        <w:color w:val="auto"/>
      </w:rPr>
    </w:lvl>
    <w:lvl w:ilvl="1" w:tplc="041B0019">
      <w:start w:val="1"/>
      <w:numFmt w:val="lowerLetter"/>
      <w:lvlText w:val="%2."/>
      <w:lvlJc w:val="left"/>
      <w:pPr>
        <w:ind w:left="6609" w:hanging="360"/>
      </w:pPr>
      <w:rPr>
        <w:rFonts w:cs="Times New Roman"/>
      </w:rPr>
    </w:lvl>
    <w:lvl w:ilvl="2" w:tplc="041B001B">
      <w:start w:val="1"/>
      <w:numFmt w:val="lowerRoman"/>
      <w:lvlText w:val="%3."/>
      <w:lvlJc w:val="right"/>
      <w:pPr>
        <w:ind w:left="7329" w:hanging="180"/>
      </w:pPr>
      <w:rPr>
        <w:rFonts w:cs="Times New Roman"/>
      </w:rPr>
    </w:lvl>
    <w:lvl w:ilvl="3" w:tplc="041B000F">
      <w:start w:val="1"/>
      <w:numFmt w:val="decimal"/>
      <w:lvlText w:val="%4."/>
      <w:lvlJc w:val="left"/>
      <w:pPr>
        <w:ind w:left="8049" w:hanging="360"/>
      </w:pPr>
      <w:rPr>
        <w:rFonts w:cs="Times New Roman"/>
      </w:rPr>
    </w:lvl>
    <w:lvl w:ilvl="4" w:tplc="041B0019">
      <w:start w:val="1"/>
      <w:numFmt w:val="lowerLetter"/>
      <w:lvlText w:val="%5."/>
      <w:lvlJc w:val="left"/>
      <w:pPr>
        <w:ind w:left="8769" w:hanging="360"/>
      </w:pPr>
      <w:rPr>
        <w:rFonts w:cs="Times New Roman"/>
      </w:rPr>
    </w:lvl>
    <w:lvl w:ilvl="5" w:tplc="041B001B">
      <w:start w:val="1"/>
      <w:numFmt w:val="lowerRoman"/>
      <w:lvlText w:val="%6."/>
      <w:lvlJc w:val="right"/>
      <w:pPr>
        <w:ind w:left="9489" w:hanging="180"/>
      </w:pPr>
      <w:rPr>
        <w:rFonts w:cs="Times New Roman"/>
      </w:rPr>
    </w:lvl>
    <w:lvl w:ilvl="6" w:tplc="041B000F">
      <w:start w:val="1"/>
      <w:numFmt w:val="decimal"/>
      <w:lvlText w:val="%7."/>
      <w:lvlJc w:val="left"/>
      <w:pPr>
        <w:ind w:left="10209" w:hanging="360"/>
      </w:pPr>
      <w:rPr>
        <w:rFonts w:cs="Times New Roman"/>
      </w:rPr>
    </w:lvl>
    <w:lvl w:ilvl="7" w:tplc="041B0019">
      <w:start w:val="1"/>
      <w:numFmt w:val="lowerLetter"/>
      <w:lvlText w:val="%8."/>
      <w:lvlJc w:val="left"/>
      <w:pPr>
        <w:ind w:left="10929" w:hanging="360"/>
      </w:pPr>
      <w:rPr>
        <w:rFonts w:cs="Times New Roman"/>
      </w:rPr>
    </w:lvl>
    <w:lvl w:ilvl="8" w:tplc="041B001B">
      <w:start w:val="1"/>
      <w:numFmt w:val="lowerRoman"/>
      <w:lvlText w:val="%9."/>
      <w:lvlJc w:val="right"/>
      <w:pPr>
        <w:ind w:left="11649" w:hanging="180"/>
      </w:pPr>
      <w:rPr>
        <w:rFonts w:cs="Times New Roman"/>
      </w:rPr>
    </w:lvl>
  </w:abstractNum>
  <w:abstractNum w:abstractNumId="24">
    <w:nsid w:val="640722C4"/>
    <w:multiLevelType w:val="multilevel"/>
    <w:tmpl w:val="CC86EEAE"/>
    <w:lvl w:ilvl="0">
      <w:start w:val="4"/>
      <w:numFmt w:val="decimalZero"/>
      <w:lvlText w:val="%1"/>
      <w:lvlJc w:val="left"/>
      <w:pPr>
        <w:ind w:left="420" w:hanging="420"/>
      </w:pPr>
      <w:rPr>
        <w:rFonts w:hint="default"/>
      </w:rPr>
    </w:lvl>
    <w:lvl w:ilvl="1">
      <w:start w:val="3"/>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5">
    <w:nsid w:val="648E5B01"/>
    <w:multiLevelType w:val="multilevel"/>
    <w:tmpl w:val="F26486C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88E60C8"/>
    <w:multiLevelType w:val="hybridMultilevel"/>
    <w:tmpl w:val="377A8FB8"/>
    <w:lvl w:ilvl="0" w:tplc="69D8DC2A">
      <w:start w:val="1"/>
      <w:numFmt w:val="decimal"/>
      <w:lvlText w:val="1.2.%1."/>
      <w:lvlJc w:val="left"/>
      <w:pPr>
        <w:ind w:left="720" w:hanging="360"/>
      </w:pPr>
      <w:rPr>
        <w:rFonts w:cs="Times New Roman" w:hint="default"/>
        <w:strike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7">
    <w:nsid w:val="6F9D1868"/>
    <w:multiLevelType w:val="hybridMultilevel"/>
    <w:tmpl w:val="A612A5EC"/>
    <w:lvl w:ilvl="0" w:tplc="D2C69BCE">
      <w:start w:val="495"/>
      <w:numFmt w:val="bullet"/>
      <w:lvlText w:val=""/>
      <w:lvlJc w:val="left"/>
      <w:pPr>
        <w:ind w:left="720" w:hanging="360"/>
      </w:pPr>
      <w:rPr>
        <w:rFonts w:ascii="Symbol" w:eastAsia="Times"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771C4927"/>
    <w:multiLevelType w:val="hybridMultilevel"/>
    <w:tmpl w:val="C7EA0DFA"/>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78CE4C69"/>
    <w:multiLevelType w:val="hybridMultilevel"/>
    <w:tmpl w:val="60B0D5F0"/>
    <w:lvl w:ilvl="0" w:tplc="041B0003">
      <w:start w:val="1"/>
      <w:numFmt w:val="bullet"/>
      <w:lvlText w:val="o"/>
      <w:lvlJc w:val="left"/>
      <w:pPr>
        <w:ind w:left="1068" w:hanging="360"/>
      </w:pPr>
      <w:rPr>
        <w:rFonts w:ascii="Courier New" w:hAnsi="Courier New" w:cs="Courier Ne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23"/>
  </w:num>
  <w:num w:numId="2">
    <w:abstractNumId w:val="14"/>
  </w:num>
  <w:num w:numId="3">
    <w:abstractNumId w:val="26"/>
  </w:num>
  <w:num w:numId="4">
    <w:abstractNumId w:val="7"/>
  </w:num>
  <w:num w:numId="5">
    <w:abstractNumId w:val="2"/>
  </w:num>
  <w:num w:numId="6">
    <w:abstractNumId w:val="16"/>
  </w:num>
  <w:num w:numId="7">
    <w:abstractNumId w:val="11"/>
  </w:num>
  <w:num w:numId="8">
    <w:abstractNumId w:val="18"/>
  </w:num>
  <w:num w:numId="9">
    <w:abstractNumId w:val="10"/>
  </w:num>
  <w:num w:numId="10">
    <w:abstractNumId w:val="21"/>
  </w:num>
  <w:num w:numId="11">
    <w:abstractNumId w:val="6"/>
  </w:num>
  <w:num w:numId="12">
    <w:abstractNumId w:val="29"/>
  </w:num>
  <w:num w:numId="13">
    <w:abstractNumId w:val="17"/>
  </w:num>
  <w:num w:numId="14">
    <w:abstractNumId w:val="1"/>
  </w:num>
  <w:num w:numId="15">
    <w:abstractNumId w:val="5"/>
  </w:num>
  <w:num w:numId="16">
    <w:abstractNumId w:val="20"/>
  </w:num>
  <w:num w:numId="17">
    <w:abstractNumId w:val="0"/>
  </w:num>
  <w:num w:numId="18">
    <w:abstractNumId w:val="15"/>
  </w:num>
  <w:num w:numId="19">
    <w:abstractNumId w:val="19"/>
  </w:num>
  <w:num w:numId="20">
    <w:abstractNumId w:val="24"/>
  </w:num>
  <w:num w:numId="21">
    <w:abstractNumId w:val="13"/>
  </w:num>
  <w:num w:numId="22">
    <w:abstractNumId w:val="4"/>
  </w:num>
  <w:num w:numId="23">
    <w:abstractNumId w:val="3"/>
  </w:num>
  <w:num w:numId="24">
    <w:abstractNumId w:val="28"/>
  </w:num>
  <w:num w:numId="25">
    <w:abstractNumId w:val="25"/>
  </w:num>
  <w:num w:numId="26">
    <w:abstractNumId w:val="27"/>
  </w:num>
  <w:num w:numId="27">
    <w:abstractNumId w:val="12"/>
  </w:num>
  <w:num w:numId="28">
    <w:abstractNumId w:val="9"/>
  </w:num>
  <w:num w:numId="29">
    <w:abstractNumId w:val="12"/>
  </w:num>
  <w:num w:numId="30">
    <w:abstractNumId w:val="12"/>
  </w:num>
  <w:num w:numId="31">
    <w:abstractNumId w:val="18"/>
  </w:num>
  <w:num w:numId="32">
    <w:abstractNumId w:val="8"/>
  </w:num>
  <w:num w:numId="33">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doNotTrackMoves/>
  <w:defaultTabStop w:val="708"/>
  <w:hyphenationZone w:val="425"/>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03A88"/>
    <w:rsid w:val="0000011A"/>
    <w:rsid w:val="00000332"/>
    <w:rsid w:val="000003EE"/>
    <w:rsid w:val="00001617"/>
    <w:rsid w:val="0000179B"/>
    <w:rsid w:val="0000192D"/>
    <w:rsid w:val="00001B4D"/>
    <w:rsid w:val="00001FB9"/>
    <w:rsid w:val="000022AD"/>
    <w:rsid w:val="00002548"/>
    <w:rsid w:val="00002ADA"/>
    <w:rsid w:val="00003253"/>
    <w:rsid w:val="00003D50"/>
    <w:rsid w:val="000041A8"/>
    <w:rsid w:val="00004BB8"/>
    <w:rsid w:val="00005238"/>
    <w:rsid w:val="00005344"/>
    <w:rsid w:val="00005387"/>
    <w:rsid w:val="00006310"/>
    <w:rsid w:val="00006B42"/>
    <w:rsid w:val="00007055"/>
    <w:rsid w:val="00007B5F"/>
    <w:rsid w:val="00007D95"/>
    <w:rsid w:val="00010186"/>
    <w:rsid w:val="000101D6"/>
    <w:rsid w:val="00010475"/>
    <w:rsid w:val="00010BA2"/>
    <w:rsid w:val="00010DE1"/>
    <w:rsid w:val="0001115D"/>
    <w:rsid w:val="000122CA"/>
    <w:rsid w:val="00012627"/>
    <w:rsid w:val="000128AA"/>
    <w:rsid w:val="00012F4D"/>
    <w:rsid w:val="000135F9"/>
    <w:rsid w:val="00013784"/>
    <w:rsid w:val="00013CAD"/>
    <w:rsid w:val="00014A10"/>
    <w:rsid w:val="00015389"/>
    <w:rsid w:val="00015416"/>
    <w:rsid w:val="000156CC"/>
    <w:rsid w:val="00015717"/>
    <w:rsid w:val="00015CBC"/>
    <w:rsid w:val="00016830"/>
    <w:rsid w:val="00016F88"/>
    <w:rsid w:val="00017191"/>
    <w:rsid w:val="00017268"/>
    <w:rsid w:val="000173F4"/>
    <w:rsid w:val="00017648"/>
    <w:rsid w:val="00017CE2"/>
    <w:rsid w:val="000200BE"/>
    <w:rsid w:val="000200CA"/>
    <w:rsid w:val="0002087E"/>
    <w:rsid w:val="00020DF5"/>
    <w:rsid w:val="00020E32"/>
    <w:rsid w:val="00020EDB"/>
    <w:rsid w:val="0002123D"/>
    <w:rsid w:val="0002157D"/>
    <w:rsid w:val="00021C5D"/>
    <w:rsid w:val="0002240E"/>
    <w:rsid w:val="000227D5"/>
    <w:rsid w:val="000230C7"/>
    <w:rsid w:val="000231B2"/>
    <w:rsid w:val="000233F5"/>
    <w:rsid w:val="000236AE"/>
    <w:rsid w:val="000238B1"/>
    <w:rsid w:val="00023982"/>
    <w:rsid w:val="00023C04"/>
    <w:rsid w:val="00023E03"/>
    <w:rsid w:val="00023E77"/>
    <w:rsid w:val="000258B8"/>
    <w:rsid w:val="00025900"/>
    <w:rsid w:val="00025A4E"/>
    <w:rsid w:val="00025C79"/>
    <w:rsid w:val="00025D09"/>
    <w:rsid w:val="000261E9"/>
    <w:rsid w:val="00026274"/>
    <w:rsid w:val="000264CA"/>
    <w:rsid w:val="000265AA"/>
    <w:rsid w:val="00026903"/>
    <w:rsid w:val="0002690F"/>
    <w:rsid w:val="00026A29"/>
    <w:rsid w:val="00026A8C"/>
    <w:rsid w:val="00026C78"/>
    <w:rsid w:val="00026D80"/>
    <w:rsid w:val="00026DCB"/>
    <w:rsid w:val="00026E84"/>
    <w:rsid w:val="00026F90"/>
    <w:rsid w:val="00026FF6"/>
    <w:rsid w:val="000272B7"/>
    <w:rsid w:val="0002759F"/>
    <w:rsid w:val="000275A9"/>
    <w:rsid w:val="00027649"/>
    <w:rsid w:val="00027A72"/>
    <w:rsid w:val="00027DCC"/>
    <w:rsid w:val="00030260"/>
    <w:rsid w:val="000307CD"/>
    <w:rsid w:val="00031120"/>
    <w:rsid w:val="00031416"/>
    <w:rsid w:val="00031633"/>
    <w:rsid w:val="00031F9C"/>
    <w:rsid w:val="00032159"/>
    <w:rsid w:val="00032A19"/>
    <w:rsid w:val="00032E89"/>
    <w:rsid w:val="00032EF1"/>
    <w:rsid w:val="0003319E"/>
    <w:rsid w:val="00033330"/>
    <w:rsid w:val="00033A24"/>
    <w:rsid w:val="00033E9E"/>
    <w:rsid w:val="00033EF1"/>
    <w:rsid w:val="0003409F"/>
    <w:rsid w:val="000343B7"/>
    <w:rsid w:val="0003481B"/>
    <w:rsid w:val="00034BA8"/>
    <w:rsid w:val="00035112"/>
    <w:rsid w:val="0003517A"/>
    <w:rsid w:val="00035616"/>
    <w:rsid w:val="000357A2"/>
    <w:rsid w:val="00035A52"/>
    <w:rsid w:val="00035B5D"/>
    <w:rsid w:val="00035BDD"/>
    <w:rsid w:val="000364F0"/>
    <w:rsid w:val="000365BF"/>
    <w:rsid w:val="00036AF9"/>
    <w:rsid w:val="00036BA2"/>
    <w:rsid w:val="00036EE9"/>
    <w:rsid w:val="00036FF0"/>
    <w:rsid w:val="00036FF8"/>
    <w:rsid w:val="0003706C"/>
    <w:rsid w:val="00037187"/>
    <w:rsid w:val="00037C2D"/>
    <w:rsid w:val="00037EA7"/>
    <w:rsid w:val="0004012E"/>
    <w:rsid w:val="00040776"/>
    <w:rsid w:val="00041119"/>
    <w:rsid w:val="0004112E"/>
    <w:rsid w:val="0004145E"/>
    <w:rsid w:val="000417E5"/>
    <w:rsid w:val="00041AA5"/>
    <w:rsid w:val="00041D26"/>
    <w:rsid w:val="00041F8D"/>
    <w:rsid w:val="00042429"/>
    <w:rsid w:val="0004314D"/>
    <w:rsid w:val="0004349A"/>
    <w:rsid w:val="00043710"/>
    <w:rsid w:val="000439C8"/>
    <w:rsid w:val="00043C6C"/>
    <w:rsid w:val="00043FA2"/>
    <w:rsid w:val="000442C4"/>
    <w:rsid w:val="00044455"/>
    <w:rsid w:val="00044A87"/>
    <w:rsid w:val="00044F95"/>
    <w:rsid w:val="00045582"/>
    <w:rsid w:val="00045E61"/>
    <w:rsid w:val="00046782"/>
    <w:rsid w:val="00046C37"/>
    <w:rsid w:val="000471EB"/>
    <w:rsid w:val="000475D2"/>
    <w:rsid w:val="0004798D"/>
    <w:rsid w:val="00047A29"/>
    <w:rsid w:val="00047E5E"/>
    <w:rsid w:val="00050044"/>
    <w:rsid w:val="00050099"/>
    <w:rsid w:val="000500C7"/>
    <w:rsid w:val="000502E0"/>
    <w:rsid w:val="00050444"/>
    <w:rsid w:val="0005051C"/>
    <w:rsid w:val="00050AA7"/>
    <w:rsid w:val="000512F9"/>
    <w:rsid w:val="000513E2"/>
    <w:rsid w:val="000514C2"/>
    <w:rsid w:val="000515D3"/>
    <w:rsid w:val="00052CB7"/>
    <w:rsid w:val="00052E70"/>
    <w:rsid w:val="00052FBF"/>
    <w:rsid w:val="00053165"/>
    <w:rsid w:val="0005321A"/>
    <w:rsid w:val="000535CB"/>
    <w:rsid w:val="0005394E"/>
    <w:rsid w:val="00054079"/>
    <w:rsid w:val="000542BC"/>
    <w:rsid w:val="00055085"/>
    <w:rsid w:val="000566A7"/>
    <w:rsid w:val="00056EAD"/>
    <w:rsid w:val="000572DF"/>
    <w:rsid w:val="00057411"/>
    <w:rsid w:val="000577EB"/>
    <w:rsid w:val="000605C7"/>
    <w:rsid w:val="000618E8"/>
    <w:rsid w:val="00061999"/>
    <w:rsid w:val="0006199B"/>
    <w:rsid w:val="00061D29"/>
    <w:rsid w:val="000626EB"/>
    <w:rsid w:val="00062A70"/>
    <w:rsid w:val="0006318B"/>
    <w:rsid w:val="0006326C"/>
    <w:rsid w:val="00063500"/>
    <w:rsid w:val="00063959"/>
    <w:rsid w:val="00063AF8"/>
    <w:rsid w:val="000640AC"/>
    <w:rsid w:val="000643CB"/>
    <w:rsid w:val="000646CB"/>
    <w:rsid w:val="000649A9"/>
    <w:rsid w:val="00064D1C"/>
    <w:rsid w:val="00064E8E"/>
    <w:rsid w:val="000653BD"/>
    <w:rsid w:val="000654B3"/>
    <w:rsid w:val="0006562F"/>
    <w:rsid w:val="000657AF"/>
    <w:rsid w:val="00065A28"/>
    <w:rsid w:val="00065A85"/>
    <w:rsid w:val="0006652D"/>
    <w:rsid w:val="00066C6D"/>
    <w:rsid w:val="00067441"/>
    <w:rsid w:val="00067935"/>
    <w:rsid w:val="00067CC4"/>
    <w:rsid w:val="00067F14"/>
    <w:rsid w:val="00070667"/>
    <w:rsid w:val="00070C53"/>
    <w:rsid w:val="00070EE2"/>
    <w:rsid w:val="000711F2"/>
    <w:rsid w:val="0007171D"/>
    <w:rsid w:val="00071EBE"/>
    <w:rsid w:val="00072035"/>
    <w:rsid w:val="0007249B"/>
    <w:rsid w:val="00072A3D"/>
    <w:rsid w:val="00072C98"/>
    <w:rsid w:val="00072C9E"/>
    <w:rsid w:val="00072EF8"/>
    <w:rsid w:val="0007317B"/>
    <w:rsid w:val="000735D6"/>
    <w:rsid w:val="000738BC"/>
    <w:rsid w:val="000739C9"/>
    <w:rsid w:val="00073AB8"/>
    <w:rsid w:val="000743CA"/>
    <w:rsid w:val="0007477E"/>
    <w:rsid w:val="000748A7"/>
    <w:rsid w:val="00074983"/>
    <w:rsid w:val="00074E76"/>
    <w:rsid w:val="000751E7"/>
    <w:rsid w:val="000757BA"/>
    <w:rsid w:val="00075A10"/>
    <w:rsid w:val="00075C8C"/>
    <w:rsid w:val="00075E14"/>
    <w:rsid w:val="000763F1"/>
    <w:rsid w:val="0007645A"/>
    <w:rsid w:val="00076D62"/>
    <w:rsid w:val="000770B7"/>
    <w:rsid w:val="0007790D"/>
    <w:rsid w:val="000804E0"/>
    <w:rsid w:val="000813CF"/>
    <w:rsid w:val="0008185A"/>
    <w:rsid w:val="00081E41"/>
    <w:rsid w:val="00082094"/>
    <w:rsid w:val="0008212A"/>
    <w:rsid w:val="00082333"/>
    <w:rsid w:val="00082519"/>
    <w:rsid w:val="0008254A"/>
    <w:rsid w:val="00082DBC"/>
    <w:rsid w:val="00082E4C"/>
    <w:rsid w:val="0008304A"/>
    <w:rsid w:val="00083265"/>
    <w:rsid w:val="0008384B"/>
    <w:rsid w:val="000839AC"/>
    <w:rsid w:val="00084134"/>
    <w:rsid w:val="00084504"/>
    <w:rsid w:val="0008524A"/>
    <w:rsid w:val="0008537E"/>
    <w:rsid w:val="000858E8"/>
    <w:rsid w:val="00085AA1"/>
    <w:rsid w:val="00085C53"/>
    <w:rsid w:val="00085C58"/>
    <w:rsid w:val="0008674C"/>
    <w:rsid w:val="000867BC"/>
    <w:rsid w:val="00086A0D"/>
    <w:rsid w:val="00086AD3"/>
    <w:rsid w:val="00086CD6"/>
    <w:rsid w:val="0008702F"/>
    <w:rsid w:val="00087079"/>
    <w:rsid w:val="000870C4"/>
    <w:rsid w:val="000871D8"/>
    <w:rsid w:val="00087205"/>
    <w:rsid w:val="0009085C"/>
    <w:rsid w:val="00090AEC"/>
    <w:rsid w:val="00090D61"/>
    <w:rsid w:val="00090DF5"/>
    <w:rsid w:val="000912D4"/>
    <w:rsid w:val="000913E6"/>
    <w:rsid w:val="000914B0"/>
    <w:rsid w:val="00091A28"/>
    <w:rsid w:val="000923C4"/>
    <w:rsid w:val="0009256A"/>
    <w:rsid w:val="00092780"/>
    <w:rsid w:val="000928BA"/>
    <w:rsid w:val="00092D79"/>
    <w:rsid w:val="0009336A"/>
    <w:rsid w:val="000933B4"/>
    <w:rsid w:val="00093469"/>
    <w:rsid w:val="00093690"/>
    <w:rsid w:val="00093DA5"/>
    <w:rsid w:val="0009488C"/>
    <w:rsid w:val="00094AB2"/>
    <w:rsid w:val="00095021"/>
    <w:rsid w:val="000953C7"/>
    <w:rsid w:val="000955C0"/>
    <w:rsid w:val="00095873"/>
    <w:rsid w:val="00095C6E"/>
    <w:rsid w:val="00096078"/>
    <w:rsid w:val="0009619D"/>
    <w:rsid w:val="00096994"/>
    <w:rsid w:val="00096D7C"/>
    <w:rsid w:val="00097FBB"/>
    <w:rsid w:val="000A0370"/>
    <w:rsid w:val="000A04C0"/>
    <w:rsid w:val="000A0747"/>
    <w:rsid w:val="000A0AC1"/>
    <w:rsid w:val="000A1223"/>
    <w:rsid w:val="000A165D"/>
    <w:rsid w:val="000A16C3"/>
    <w:rsid w:val="000A1C39"/>
    <w:rsid w:val="000A1CBE"/>
    <w:rsid w:val="000A1D8D"/>
    <w:rsid w:val="000A1D95"/>
    <w:rsid w:val="000A212C"/>
    <w:rsid w:val="000A21AE"/>
    <w:rsid w:val="000A2387"/>
    <w:rsid w:val="000A2552"/>
    <w:rsid w:val="000A269B"/>
    <w:rsid w:val="000A26AF"/>
    <w:rsid w:val="000A27F9"/>
    <w:rsid w:val="000A2879"/>
    <w:rsid w:val="000A2B04"/>
    <w:rsid w:val="000A3103"/>
    <w:rsid w:val="000A3435"/>
    <w:rsid w:val="000A38DC"/>
    <w:rsid w:val="000A3CE6"/>
    <w:rsid w:val="000A3F03"/>
    <w:rsid w:val="000A4576"/>
    <w:rsid w:val="000A48C2"/>
    <w:rsid w:val="000A4987"/>
    <w:rsid w:val="000A4B1C"/>
    <w:rsid w:val="000A4E41"/>
    <w:rsid w:val="000A5049"/>
    <w:rsid w:val="000A519F"/>
    <w:rsid w:val="000A58DE"/>
    <w:rsid w:val="000A58E5"/>
    <w:rsid w:val="000A5931"/>
    <w:rsid w:val="000A5E6E"/>
    <w:rsid w:val="000A607D"/>
    <w:rsid w:val="000A6087"/>
    <w:rsid w:val="000A6539"/>
    <w:rsid w:val="000A6570"/>
    <w:rsid w:val="000A65EA"/>
    <w:rsid w:val="000A6B13"/>
    <w:rsid w:val="000A6CEF"/>
    <w:rsid w:val="000A6DF3"/>
    <w:rsid w:val="000A7002"/>
    <w:rsid w:val="000A77C6"/>
    <w:rsid w:val="000B02A3"/>
    <w:rsid w:val="000B02A5"/>
    <w:rsid w:val="000B1029"/>
    <w:rsid w:val="000B13CA"/>
    <w:rsid w:val="000B1481"/>
    <w:rsid w:val="000B165E"/>
    <w:rsid w:val="000B177B"/>
    <w:rsid w:val="000B2215"/>
    <w:rsid w:val="000B22D0"/>
    <w:rsid w:val="000B231E"/>
    <w:rsid w:val="000B25BB"/>
    <w:rsid w:val="000B2736"/>
    <w:rsid w:val="000B2A3C"/>
    <w:rsid w:val="000B2A6C"/>
    <w:rsid w:val="000B30C9"/>
    <w:rsid w:val="000B31A1"/>
    <w:rsid w:val="000B32E8"/>
    <w:rsid w:val="000B3349"/>
    <w:rsid w:val="000B3483"/>
    <w:rsid w:val="000B35D3"/>
    <w:rsid w:val="000B3822"/>
    <w:rsid w:val="000B38F0"/>
    <w:rsid w:val="000B39FE"/>
    <w:rsid w:val="000B3E04"/>
    <w:rsid w:val="000B3FCB"/>
    <w:rsid w:val="000B41FF"/>
    <w:rsid w:val="000B4E3B"/>
    <w:rsid w:val="000B4F94"/>
    <w:rsid w:val="000B542A"/>
    <w:rsid w:val="000B5504"/>
    <w:rsid w:val="000B575E"/>
    <w:rsid w:val="000B594D"/>
    <w:rsid w:val="000B5DFD"/>
    <w:rsid w:val="000B5F42"/>
    <w:rsid w:val="000B634A"/>
    <w:rsid w:val="000B63D7"/>
    <w:rsid w:val="000B65C5"/>
    <w:rsid w:val="000B6631"/>
    <w:rsid w:val="000B6E5F"/>
    <w:rsid w:val="000B7E41"/>
    <w:rsid w:val="000C0163"/>
    <w:rsid w:val="000C04AC"/>
    <w:rsid w:val="000C05B0"/>
    <w:rsid w:val="000C085C"/>
    <w:rsid w:val="000C0A35"/>
    <w:rsid w:val="000C0AD1"/>
    <w:rsid w:val="000C0C90"/>
    <w:rsid w:val="000C100D"/>
    <w:rsid w:val="000C12F8"/>
    <w:rsid w:val="000C164C"/>
    <w:rsid w:val="000C17A2"/>
    <w:rsid w:val="000C187F"/>
    <w:rsid w:val="000C1C88"/>
    <w:rsid w:val="000C1CF1"/>
    <w:rsid w:val="000C1F11"/>
    <w:rsid w:val="000C207F"/>
    <w:rsid w:val="000C21B2"/>
    <w:rsid w:val="000C2808"/>
    <w:rsid w:val="000C326D"/>
    <w:rsid w:val="000C3364"/>
    <w:rsid w:val="000C33AA"/>
    <w:rsid w:val="000C3455"/>
    <w:rsid w:val="000C347F"/>
    <w:rsid w:val="000C355D"/>
    <w:rsid w:val="000C3880"/>
    <w:rsid w:val="000C3911"/>
    <w:rsid w:val="000C39E5"/>
    <w:rsid w:val="000C3A18"/>
    <w:rsid w:val="000C3FDA"/>
    <w:rsid w:val="000C404B"/>
    <w:rsid w:val="000C48DC"/>
    <w:rsid w:val="000C4C40"/>
    <w:rsid w:val="000C503C"/>
    <w:rsid w:val="000C5458"/>
    <w:rsid w:val="000C56C1"/>
    <w:rsid w:val="000C592E"/>
    <w:rsid w:val="000C5E48"/>
    <w:rsid w:val="000C607B"/>
    <w:rsid w:val="000C64F6"/>
    <w:rsid w:val="000C6501"/>
    <w:rsid w:val="000C6B83"/>
    <w:rsid w:val="000C7382"/>
    <w:rsid w:val="000C7475"/>
    <w:rsid w:val="000C7771"/>
    <w:rsid w:val="000C7B9B"/>
    <w:rsid w:val="000C7CAA"/>
    <w:rsid w:val="000D0AC4"/>
    <w:rsid w:val="000D0B0F"/>
    <w:rsid w:val="000D0BAF"/>
    <w:rsid w:val="000D0D66"/>
    <w:rsid w:val="000D138C"/>
    <w:rsid w:val="000D14B8"/>
    <w:rsid w:val="000D1AED"/>
    <w:rsid w:val="000D2008"/>
    <w:rsid w:val="000D23A2"/>
    <w:rsid w:val="000D2467"/>
    <w:rsid w:val="000D271B"/>
    <w:rsid w:val="000D284C"/>
    <w:rsid w:val="000D2CC1"/>
    <w:rsid w:val="000D38CE"/>
    <w:rsid w:val="000D3F55"/>
    <w:rsid w:val="000D4ACF"/>
    <w:rsid w:val="000D4DB2"/>
    <w:rsid w:val="000D5408"/>
    <w:rsid w:val="000D5611"/>
    <w:rsid w:val="000D5648"/>
    <w:rsid w:val="000D5A42"/>
    <w:rsid w:val="000D5BF4"/>
    <w:rsid w:val="000D60CB"/>
    <w:rsid w:val="000D6684"/>
    <w:rsid w:val="000D66C7"/>
    <w:rsid w:val="000D6978"/>
    <w:rsid w:val="000D7510"/>
    <w:rsid w:val="000D7C86"/>
    <w:rsid w:val="000D7E05"/>
    <w:rsid w:val="000E0B4D"/>
    <w:rsid w:val="000E0B53"/>
    <w:rsid w:val="000E0E65"/>
    <w:rsid w:val="000E10B1"/>
    <w:rsid w:val="000E10B4"/>
    <w:rsid w:val="000E1575"/>
    <w:rsid w:val="000E1B06"/>
    <w:rsid w:val="000E1CB5"/>
    <w:rsid w:val="000E2012"/>
    <w:rsid w:val="000E24CD"/>
    <w:rsid w:val="000E252D"/>
    <w:rsid w:val="000E25D8"/>
    <w:rsid w:val="000E2688"/>
    <w:rsid w:val="000E318F"/>
    <w:rsid w:val="000E345C"/>
    <w:rsid w:val="000E3633"/>
    <w:rsid w:val="000E3763"/>
    <w:rsid w:val="000E3F7C"/>
    <w:rsid w:val="000E4110"/>
    <w:rsid w:val="000E44FF"/>
    <w:rsid w:val="000E450B"/>
    <w:rsid w:val="000E46FA"/>
    <w:rsid w:val="000E4AC6"/>
    <w:rsid w:val="000E4ADB"/>
    <w:rsid w:val="000E5C53"/>
    <w:rsid w:val="000E5D2F"/>
    <w:rsid w:val="000E61DF"/>
    <w:rsid w:val="000E6769"/>
    <w:rsid w:val="000E6991"/>
    <w:rsid w:val="000E6D46"/>
    <w:rsid w:val="000E7350"/>
    <w:rsid w:val="000E7C59"/>
    <w:rsid w:val="000E7C91"/>
    <w:rsid w:val="000E7C98"/>
    <w:rsid w:val="000F0000"/>
    <w:rsid w:val="000F02AE"/>
    <w:rsid w:val="000F173A"/>
    <w:rsid w:val="000F23C1"/>
    <w:rsid w:val="000F2728"/>
    <w:rsid w:val="000F277A"/>
    <w:rsid w:val="000F2C51"/>
    <w:rsid w:val="000F2D3B"/>
    <w:rsid w:val="000F2FA0"/>
    <w:rsid w:val="000F30C0"/>
    <w:rsid w:val="000F3321"/>
    <w:rsid w:val="000F3CA0"/>
    <w:rsid w:val="000F4AA5"/>
    <w:rsid w:val="000F4B01"/>
    <w:rsid w:val="000F4B0D"/>
    <w:rsid w:val="000F4C61"/>
    <w:rsid w:val="000F4E83"/>
    <w:rsid w:val="000F4F79"/>
    <w:rsid w:val="000F525C"/>
    <w:rsid w:val="000F564E"/>
    <w:rsid w:val="000F5875"/>
    <w:rsid w:val="000F58CC"/>
    <w:rsid w:val="000F5993"/>
    <w:rsid w:val="000F5BD3"/>
    <w:rsid w:val="000F5F77"/>
    <w:rsid w:val="000F63C3"/>
    <w:rsid w:val="000F66F4"/>
    <w:rsid w:val="000F6AA6"/>
    <w:rsid w:val="000F6E0A"/>
    <w:rsid w:val="000F73A0"/>
    <w:rsid w:val="000F782B"/>
    <w:rsid w:val="00100297"/>
    <w:rsid w:val="001007B8"/>
    <w:rsid w:val="001008B0"/>
    <w:rsid w:val="00100BC3"/>
    <w:rsid w:val="00100EBC"/>
    <w:rsid w:val="001017B6"/>
    <w:rsid w:val="001017F3"/>
    <w:rsid w:val="00101B93"/>
    <w:rsid w:val="00102928"/>
    <w:rsid w:val="001032EF"/>
    <w:rsid w:val="0010344C"/>
    <w:rsid w:val="001034F4"/>
    <w:rsid w:val="001039B6"/>
    <w:rsid w:val="00103A87"/>
    <w:rsid w:val="00103A88"/>
    <w:rsid w:val="00103EEE"/>
    <w:rsid w:val="00104B82"/>
    <w:rsid w:val="001051B7"/>
    <w:rsid w:val="00105697"/>
    <w:rsid w:val="00105C6B"/>
    <w:rsid w:val="00105EB6"/>
    <w:rsid w:val="00105F11"/>
    <w:rsid w:val="00106305"/>
    <w:rsid w:val="001063B8"/>
    <w:rsid w:val="00106AC5"/>
    <w:rsid w:val="00106DD1"/>
    <w:rsid w:val="00106E2E"/>
    <w:rsid w:val="00106EBC"/>
    <w:rsid w:val="0010715E"/>
    <w:rsid w:val="00107729"/>
    <w:rsid w:val="00107C42"/>
    <w:rsid w:val="0011027D"/>
    <w:rsid w:val="001104A7"/>
    <w:rsid w:val="0011054B"/>
    <w:rsid w:val="001111FF"/>
    <w:rsid w:val="001114E1"/>
    <w:rsid w:val="00111543"/>
    <w:rsid w:val="00111790"/>
    <w:rsid w:val="001117C6"/>
    <w:rsid w:val="001119C6"/>
    <w:rsid w:val="00111C9A"/>
    <w:rsid w:val="00111E9A"/>
    <w:rsid w:val="001120ED"/>
    <w:rsid w:val="001121D8"/>
    <w:rsid w:val="00112516"/>
    <w:rsid w:val="00112567"/>
    <w:rsid w:val="00112840"/>
    <w:rsid w:val="0011338C"/>
    <w:rsid w:val="001136AD"/>
    <w:rsid w:val="001138A6"/>
    <w:rsid w:val="00113B47"/>
    <w:rsid w:val="00113C58"/>
    <w:rsid w:val="00114B34"/>
    <w:rsid w:val="00114B50"/>
    <w:rsid w:val="00115A84"/>
    <w:rsid w:val="00115B60"/>
    <w:rsid w:val="00116D30"/>
    <w:rsid w:val="0011705F"/>
    <w:rsid w:val="00117886"/>
    <w:rsid w:val="001178E4"/>
    <w:rsid w:val="001179A7"/>
    <w:rsid w:val="00117C74"/>
    <w:rsid w:val="00117E6A"/>
    <w:rsid w:val="00117F95"/>
    <w:rsid w:val="001200E4"/>
    <w:rsid w:val="00120275"/>
    <w:rsid w:val="001202E2"/>
    <w:rsid w:val="0012059B"/>
    <w:rsid w:val="001206AD"/>
    <w:rsid w:val="00120FFB"/>
    <w:rsid w:val="00121771"/>
    <w:rsid w:val="00121DA0"/>
    <w:rsid w:val="00121DB3"/>
    <w:rsid w:val="0012200B"/>
    <w:rsid w:val="00122408"/>
    <w:rsid w:val="001224C1"/>
    <w:rsid w:val="0012260A"/>
    <w:rsid w:val="0012273B"/>
    <w:rsid w:val="00122FE4"/>
    <w:rsid w:val="001230D2"/>
    <w:rsid w:val="00123238"/>
    <w:rsid w:val="0012367D"/>
    <w:rsid w:val="001237F8"/>
    <w:rsid w:val="0012401B"/>
    <w:rsid w:val="00124603"/>
    <w:rsid w:val="00124611"/>
    <w:rsid w:val="00124984"/>
    <w:rsid w:val="00124D6A"/>
    <w:rsid w:val="001250A7"/>
    <w:rsid w:val="00125830"/>
    <w:rsid w:val="00125D28"/>
    <w:rsid w:val="00125FFD"/>
    <w:rsid w:val="0012676C"/>
    <w:rsid w:val="00126E4F"/>
    <w:rsid w:val="0012741B"/>
    <w:rsid w:val="001275EA"/>
    <w:rsid w:val="00127683"/>
    <w:rsid w:val="00127864"/>
    <w:rsid w:val="00127ED2"/>
    <w:rsid w:val="00130058"/>
    <w:rsid w:val="0013034C"/>
    <w:rsid w:val="00131336"/>
    <w:rsid w:val="001313C2"/>
    <w:rsid w:val="00131576"/>
    <w:rsid w:val="00131731"/>
    <w:rsid w:val="00131978"/>
    <w:rsid w:val="00131B62"/>
    <w:rsid w:val="00131D86"/>
    <w:rsid w:val="00131F52"/>
    <w:rsid w:val="001328D2"/>
    <w:rsid w:val="00132CD0"/>
    <w:rsid w:val="00132D8F"/>
    <w:rsid w:val="00133039"/>
    <w:rsid w:val="001332DF"/>
    <w:rsid w:val="0013334C"/>
    <w:rsid w:val="0013366B"/>
    <w:rsid w:val="0013375E"/>
    <w:rsid w:val="001339A1"/>
    <w:rsid w:val="00133CD4"/>
    <w:rsid w:val="00133E38"/>
    <w:rsid w:val="00133E4E"/>
    <w:rsid w:val="00133EBE"/>
    <w:rsid w:val="001341B3"/>
    <w:rsid w:val="00134615"/>
    <w:rsid w:val="001346CE"/>
    <w:rsid w:val="0013481E"/>
    <w:rsid w:val="00134D4B"/>
    <w:rsid w:val="0013546C"/>
    <w:rsid w:val="001358DE"/>
    <w:rsid w:val="00135AF8"/>
    <w:rsid w:val="00135E86"/>
    <w:rsid w:val="0013602B"/>
    <w:rsid w:val="001361BA"/>
    <w:rsid w:val="001361F4"/>
    <w:rsid w:val="001362EA"/>
    <w:rsid w:val="00136907"/>
    <w:rsid w:val="00136F3E"/>
    <w:rsid w:val="0013715B"/>
    <w:rsid w:val="00137229"/>
    <w:rsid w:val="0013728F"/>
    <w:rsid w:val="00137731"/>
    <w:rsid w:val="00137748"/>
    <w:rsid w:val="00137F36"/>
    <w:rsid w:val="0014176B"/>
    <w:rsid w:val="00141813"/>
    <w:rsid w:val="00141BC5"/>
    <w:rsid w:val="00141F1F"/>
    <w:rsid w:val="00142C82"/>
    <w:rsid w:val="001430D4"/>
    <w:rsid w:val="00143983"/>
    <w:rsid w:val="00144146"/>
    <w:rsid w:val="001455BD"/>
    <w:rsid w:val="00145910"/>
    <w:rsid w:val="001459A9"/>
    <w:rsid w:val="00145D4C"/>
    <w:rsid w:val="00145F4B"/>
    <w:rsid w:val="00145F74"/>
    <w:rsid w:val="00146364"/>
    <w:rsid w:val="001463F9"/>
    <w:rsid w:val="00146A44"/>
    <w:rsid w:val="00146A4D"/>
    <w:rsid w:val="00147059"/>
    <w:rsid w:val="001470A8"/>
    <w:rsid w:val="00147120"/>
    <w:rsid w:val="001473BC"/>
    <w:rsid w:val="00147921"/>
    <w:rsid w:val="00147DC3"/>
    <w:rsid w:val="001507CD"/>
    <w:rsid w:val="001509E4"/>
    <w:rsid w:val="00150DFC"/>
    <w:rsid w:val="00150EB0"/>
    <w:rsid w:val="00150F00"/>
    <w:rsid w:val="001510FE"/>
    <w:rsid w:val="0015110A"/>
    <w:rsid w:val="00151654"/>
    <w:rsid w:val="001516EC"/>
    <w:rsid w:val="0015194B"/>
    <w:rsid w:val="001520C3"/>
    <w:rsid w:val="0015263A"/>
    <w:rsid w:val="00152CB4"/>
    <w:rsid w:val="0015321B"/>
    <w:rsid w:val="001533E3"/>
    <w:rsid w:val="00153443"/>
    <w:rsid w:val="0015410E"/>
    <w:rsid w:val="00154CD5"/>
    <w:rsid w:val="00154E03"/>
    <w:rsid w:val="00154E78"/>
    <w:rsid w:val="00154FA4"/>
    <w:rsid w:val="00155372"/>
    <w:rsid w:val="00155793"/>
    <w:rsid w:val="001563C7"/>
    <w:rsid w:val="001566FE"/>
    <w:rsid w:val="00157047"/>
    <w:rsid w:val="001570AF"/>
    <w:rsid w:val="0015727D"/>
    <w:rsid w:val="0015799F"/>
    <w:rsid w:val="00157DAF"/>
    <w:rsid w:val="00160155"/>
    <w:rsid w:val="00160675"/>
    <w:rsid w:val="00161163"/>
    <w:rsid w:val="001612E4"/>
    <w:rsid w:val="001614FC"/>
    <w:rsid w:val="00161606"/>
    <w:rsid w:val="00161AB3"/>
    <w:rsid w:val="00161EDD"/>
    <w:rsid w:val="001627DA"/>
    <w:rsid w:val="00162AF9"/>
    <w:rsid w:val="00162CF8"/>
    <w:rsid w:val="0016335D"/>
    <w:rsid w:val="00163629"/>
    <w:rsid w:val="00163853"/>
    <w:rsid w:val="00163BC1"/>
    <w:rsid w:val="00164676"/>
    <w:rsid w:val="001647AA"/>
    <w:rsid w:val="00164B1B"/>
    <w:rsid w:val="00164EAC"/>
    <w:rsid w:val="001653DA"/>
    <w:rsid w:val="001654C1"/>
    <w:rsid w:val="00165649"/>
    <w:rsid w:val="001656F5"/>
    <w:rsid w:val="00165B30"/>
    <w:rsid w:val="00165CE4"/>
    <w:rsid w:val="00165E8D"/>
    <w:rsid w:val="00166E73"/>
    <w:rsid w:val="0017024A"/>
    <w:rsid w:val="00170BD1"/>
    <w:rsid w:val="00170C8D"/>
    <w:rsid w:val="001713D6"/>
    <w:rsid w:val="0017233F"/>
    <w:rsid w:val="0017397E"/>
    <w:rsid w:val="00173C03"/>
    <w:rsid w:val="00173D3A"/>
    <w:rsid w:val="00173E9C"/>
    <w:rsid w:val="0017418E"/>
    <w:rsid w:val="00174348"/>
    <w:rsid w:val="001746D3"/>
    <w:rsid w:val="00175B60"/>
    <w:rsid w:val="00175E01"/>
    <w:rsid w:val="00176214"/>
    <w:rsid w:val="00176F4C"/>
    <w:rsid w:val="00176FBA"/>
    <w:rsid w:val="001774A1"/>
    <w:rsid w:val="0017765F"/>
    <w:rsid w:val="00177795"/>
    <w:rsid w:val="00177B9E"/>
    <w:rsid w:val="00180196"/>
    <w:rsid w:val="001803FE"/>
    <w:rsid w:val="001806B7"/>
    <w:rsid w:val="00180CA5"/>
    <w:rsid w:val="00181067"/>
    <w:rsid w:val="001815E4"/>
    <w:rsid w:val="00182576"/>
    <w:rsid w:val="001827BB"/>
    <w:rsid w:val="00182992"/>
    <w:rsid w:val="00182A2C"/>
    <w:rsid w:val="00182A6A"/>
    <w:rsid w:val="00182CCA"/>
    <w:rsid w:val="00182DE5"/>
    <w:rsid w:val="00182FF4"/>
    <w:rsid w:val="00183300"/>
    <w:rsid w:val="0018388D"/>
    <w:rsid w:val="00184121"/>
    <w:rsid w:val="00184820"/>
    <w:rsid w:val="00184C2F"/>
    <w:rsid w:val="00184C5F"/>
    <w:rsid w:val="0018509D"/>
    <w:rsid w:val="00185131"/>
    <w:rsid w:val="00185608"/>
    <w:rsid w:val="00185936"/>
    <w:rsid w:val="00186C0D"/>
    <w:rsid w:val="00186E99"/>
    <w:rsid w:val="001872FF"/>
    <w:rsid w:val="0018738E"/>
    <w:rsid w:val="00187510"/>
    <w:rsid w:val="0018772D"/>
    <w:rsid w:val="001877B5"/>
    <w:rsid w:val="00187805"/>
    <w:rsid w:val="0019065D"/>
    <w:rsid w:val="001908E9"/>
    <w:rsid w:val="00190A08"/>
    <w:rsid w:val="001913B4"/>
    <w:rsid w:val="001913C0"/>
    <w:rsid w:val="001918AE"/>
    <w:rsid w:val="00191AAD"/>
    <w:rsid w:val="00191B6D"/>
    <w:rsid w:val="00191BAC"/>
    <w:rsid w:val="00191D46"/>
    <w:rsid w:val="00192064"/>
    <w:rsid w:val="00192142"/>
    <w:rsid w:val="001923A1"/>
    <w:rsid w:val="00192A2A"/>
    <w:rsid w:val="00192E37"/>
    <w:rsid w:val="00192E9D"/>
    <w:rsid w:val="00193212"/>
    <w:rsid w:val="00193405"/>
    <w:rsid w:val="001935B4"/>
    <w:rsid w:val="00194975"/>
    <w:rsid w:val="001949D1"/>
    <w:rsid w:val="00194C98"/>
    <w:rsid w:val="001951A5"/>
    <w:rsid w:val="0019549E"/>
    <w:rsid w:val="00195D8F"/>
    <w:rsid w:val="00195EA9"/>
    <w:rsid w:val="001963DA"/>
    <w:rsid w:val="00196D81"/>
    <w:rsid w:val="001977F5"/>
    <w:rsid w:val="00197987"/>
    <w:rsid w:val="00197A62"/>
    <w:rsid w:val="00197EC7"/>
    <w:rsid w:val="001A029C"/>
    <w:rsid w:val="001A0683"/>
    <w:rsid w:val="001A0CE1"/>
    <w:rsid w:val="001A0E0B"/>
    <w:rsid w:val="001A15AA"/>
    <w:rsid w:val="001A17C0"/>
    <w:rsid w:val="001A1DA8"/>
    <w:rsid w:val="001A1E2F"/>
    <w:rsid w:val="001A2463"/>
    <w:rsid w:val="001A2511"/>
    <w:rsid w:val="001A29E5"/>
    <w:rsid w:val="001A3119"/>
    <w:rsid w:val="001A343E"/>
    <w:rsid w:val="001A362F"/>
    <w:rsid w:val="001A3B77"/>
    <w:rsid w:val="001A3CEC"/>
    <w:rsid w:val="001A46C4"/>
    <w:rsid w:val="001A492F"/>
    <w:rsid w:val="001A4A0C"/>
    <w:rsid w:val="001A4A0F"/>
    <w:rsid w:val="001A4A49"/>
    <w:rsid w:val="001A4F49"/>
    <w:rsid w:val="001A50D8"/>
    <w:rsid w:val="001A516B"/>
    <w:rsid w:val="001A5221"/>
    <w:rsid w:val="001A53C1"/>
    <w:rsid w:val="001A53F8"/>
    <w:rsid w:val="001A5403"/>
    <w:rsid w:val="001A5E47"/>
    <w:rsid w:val="001A6067"/>
    <w:rsid w:val="001A60F1"/>
    <w:rsid w:val="001A683D"/>
    <w:rsid w:val="001A6E14"/>
    <w:rsid w:val="001A6EC9"/>
    <w:rsid w:val="001A7353"/>
    <w:rsid w:val="001A76EC"/>
    <w:rsid w:val="001A77A8"/>
    <w:rsid w:val="001A7D57"/>
    <w:rsid w:val="001B04CE"/>
    <w:rsid w:val="001B0707"/>
    <w:rsid w:val="001B1107"/>
    <w:rsid w:val="001B1335"/>
    <w:rsid w:val="001B1562"/>
    <w:rsid w:val="001B186D"/>
    <w:rsid w:val="001B19B1"/>
    <w:rsid w:val="001B1F8D"/>
    <w:rsid w:val="001B223D"/>
    <w:rsid w:val="001B2872"/>
    <w:rsid w:val="001B2A24"/>
    <w:rsid w:val="001B2AF9"/>
    <w:rsid w:val="001B2C0C"/>
    <w:rsid w:val="001B322A"/>
    <w:rsid w:val="001B3F35"/>
    <w:rsid w:val="001B4515"/>
    <w:rsid w:val="001B4F13"/>
    <w:rsid w:val="001B5005"/>
    <w:rsid w:val="001B5185"/>
    <w:rsid w:val="001B5559"/>
    <w:rsid w:val="001B5A30"/>
    <w:rsid w:val="001B5C59"/>
    <w:rsid w:val="001B5D33"/>
    <w:rsid w:val="001B632A"/>
    <w:rsid w:val="001B666E"/>
    <w:rsid w:val="001B6675"/>
    <w:rsid w:val="001B6812"/>
    <w:rsid w:val="001B6B8E"/>
    <w:rsid w:val="001B6D04"/>
    <w:rsid w:val="001B6F61"/>
    <w:rsid w:val="001B7265"/>
    <w:rsid w:val="001B741B"/>
    <w:rsid w:val="001C0394"/>
    <w:rsid w:val="001C0535"/>
    <w:rsid w:val="001C0591"/>
    <w:rsid w:val="001C0971"/>
    <w:rsid w:val="001C0F94"/>
    <w:rsid w:val="001C14EA"/>
    <w:rsid w:val="001C192A"/>
    <w:rsid w:val="001C1E15"/>
    <w:rsid w:val="001C1F34"/>
    <w:rsid w:val="001C2478"/>
    <w:rsid w:val="001C2572"/>
    <w:rsid w:val="001C2694"/>
    <w:rsid w:val="001C2AF6"/>
    <w:rsid w:val="001C2F6C"/>
    <w:rsid w:val="001C3BF8"/>
    <w:rsid w:val="001C3C36"/>
    <w:rsid w:val="001C3CED"/>
    <w:rsid w:val="001C4031"/>
    <w:rsid w:val="001C4057"/>
    <w:rsid w:val="001C41DB"/>
    <w:rsid w:val="001C4542"/>
    <w:rsid w:val="001C4868"/>
    <w:rsid w:val="001C48C6"/>
    <w:rsid w:val="001C4CE3"/>
    <w:rsid w:val="001C4F06"/>
    <w:rsid w:val="001C506E"/>
    <w:rsid w:val="001C516D"/>
    <w:rsid w:val="001C5B9C"/>
    <w:rsid w:val="001C5D66"/>
    <w:rsid w:val="001C5DBD"/>
    <w:rsid w:val="001C6132"/>
    <w:rsid w:val="001C61DB"/>
    <w:rsid w:val="001C629A"/>
    <w:rsid w:val="001C64E2"/>
    <w:rsid w:val="001C683A"/>
    <w:rsid w:val="001C75E1"/>
    <w:rsid w:val="001C782A"/>
    <w:rsid w:val="001C78FA"/>
    <w:rsid w:val="001C7EE4"/>
    <w:rsid w:val="001C7FBA"/>
    <w:rsid w:val="001D08E8"/>
    <w:rsid w:val="001D1207"/>
    <w:rsid w:val="001D16EC"/>
    <w:rsid w:val="001D174E"/>
    <w:rsid w:val="001D17C2"/>
    <w:rsid w:val="001D1F47"/>
    <w:rsid w:val="001D20A1"/>
    <w:rsid w:val="001D2259"/>
    <w:rsid w:val="001D259E"/>
    <w:rsid w:val="001D29D8"/>
    <w:rsid w:val="001D2ACB"/>
    <w:rsid w:val="001D2C1E"/>
    <w:rsid w:val="001D2EBF"/>
    <w:rsid w:val="001D3284"/>
    <w:rsid w:val="001D3464"/>
    <w:rsid w:val="001D3724"/>
    <w:rsid w:val="001D3D54"/>
    <w:rsid w:val="001D3E7B"/>
    <w:rsid w:val="001D4355"/>
    <w:rsid w:val="001D4A98"/>
    <w:rsid w:val="001D4DB4"/>
    <w:rsid w:val="001D55EE"/>
    <w:rsid w:val="001D59E5"/>
    <w:rsid w:val="001D5A2F"/>
    <w:rsid w:val="001D5FAC"/>
    <w:rsid w:val="001D5FC4"/>
    <w:rsid w:val="001D64B4"/>
    <w:rsid w:val="001D64E8"/>
    <w:rsid w:val="001D663E"/>
    <w:rsid w:val="001D6A3F"/>
    <w:rsid w:val="001D6A96"/>
    <w:rsid w:val="001D71B2"/>
    <w:rsid w:val="001D7418"/>
    <w:rsid w:val="001D74E5"/>
    <w:rsid w:val="001D766E"/>
    <w:rsid w:val="001D79DC"/>
    <w:rsid w:val="001D7DBD"/>
    <w:rsid w:val="001D7F3E"/>
    <w:rsid w:val="001E00FB"/>
    <w:rsid w:val="001E02D4"/>
    <w:rsid w:val="001E0439"/>
    <w:rsid w:val="001E083F"/>
    <w:rsid w:val="001E0999"/>
    <w:rsid w:val="001E0DBC"/>
    <w:rsid w:val="001E12F8"/>
    <w:rsid w:val="001E1347"/>
    <w:rsid w:val="001E165A"/>
    <w:rsid w:val="001E2124"/>
    <w:rsid w:val="001E260B"/>
    <w:rsid w:val="001E27C7"/>
    <w:rsid w:val="001E2828"/>
    <w:rsid w:val="001E2EEC"/>
    <w:rsid w:val="001E325A"/>
    <w:rsid w:val="001E343C"/>
    <w:rsid w:val="001E4304"/>
    <w:rsid w:val="001E4582"/>
    <w:rsid w:val="001E4E4C"/>
    <w:rsid w:val="001E53F3"/>
    <w:rsid w:val="001E5694"/>
    <w:rsid w:val="001E5A01"/>
    <w:rsid w:val="001E653E"/>
    <w:rsid w:val="001E6A8E"/>
    <w:rsid w:val="001E6B73"/>
    <w:rsid w:val="001E6E84"/>
    <w:rsid w:val="001E70D6"/>
    <w:rsid w:val="001E7130"/>
    <w:rsid w:val="001E75ED"/>
    <w:rsid w:val="001E761D"/>
    <w:rsid w:val="001E790B"/>
    <w:rsid w:val="001F0BFC"/>
    <w:rsid w:val="001F0CFB"/>
    <w:rsid w:val="001F0CFF"/>
    <w:rsid w:val="001F0D69"/>
    <w:rsid w:val="001F0F62"/>
    <w:rsid w:val="001F1322"/>
    <w:rsid w:val="001F1DAF"/>
    <w:rsid w:val="001F1DCC"/>
    <w:rsid w:val="001F1E2B"/>
    <w:rsid w:val="001F1F19"/>
    <w:rsid w:val="001F222B"/>
    <w:rsid w:val="001F24A7"/>
    <w:rsid w:val="001F256F"/>
    <w:rsid w:val="001F2DCE"/>
    <w:rsid w:val="001F2FBE"/>
    <w:rsid w:val="001F3174"/>
    <w:rsid w:val="001F3A84"/>
    <w:rsid w:val="001F3C0E"/>
    <w:rsid w:val="001F4496"/>
    <w:rsid w:val="001F44EA"/>
    <w:rsid w:val="001F4828"/>
    <w:rsid w:val="001F489A"/>
    <w:rsid w:val="001F4F01"/>
    <w:rsid w:val="001F5016"/>
    <w:rsid w:val="001F53A2"/>
    <w:rsid w:val="001F5522"/>
    <w:rsid w:val="001F5BEF"/>
    <w:rsid w:val="001F5C61"/>
    <w:rsid w:val="001F5D50"/>
    <w:rsid w:val="001F6001"/>
    <w:rsid w:val="001F6A17"/>
    <w:rsid w:val="001F6A98"/>
    <w:rsid w:val="001F72E7"/>
    <w:rsid w:val="001F74F6"/>
    <w:rsid w:val="001F797B"/>
    <w:rsid w:val="001F7D60"/>
    <w:rsid w:val="001F7D91"/>
    <w:rsid w:val="002007D7"/>
    <w:rsid w:val="002008E1"/>
    <w:rsid w:val="00200CEA"/>
    <w:rsid w:val="0020101C"/>
    <w:rsid w:val="00201473"/>
    <w:rsid w:val="00201638"/>
    <w:rsid w:val="00201A38"/>
    <w:rsid w:val="00201C41"/>
    <w:rsid w:val="00201E43"/>
    <w:rsid w:val="002022C1"/>
    <w:rsid w:val="002024A8"/>
    <w:rsid w:val="00202550"/>
    <w:rsid w:val="00202856"/>
    <w:rsid w:val="00202CCF"/>
    <w:rsid w:val="00202E1F"/>
    <w:rsid w:val="00203A8B"/>
    <w:rsid w:val="00203A91"/>
    <w:rsid w:val="002040F9"/>
    <w:rsid w:val="0020428B"/>
    <w:rsid w:val="002043A1"/>
    <w:rsid w:val="00204408"/>
    <w:rsid w:val="00204633"/>
    <w:rsid w:val="00204C13"/>
    <w:rsid w:val="00205197"/>
    <w:rsid w:val="0020526B"/>
    <w:rsid w:val="0020571A"/>
    <w:rsid w:val="00205E94"/>
    <w:rsid w:val="00205FD2"/>
    <w:rsid w:val="002062FB"/>
    <w:rsid w:val="00206498"/>
    <w:rsid w:val="00206A4D"/>
    <w:rsid w:val="00206AA6"/>
    <w:rsid w:val="00206EF9"/>
    <w:rsid w:val="002074F2"/>
    <w:rsid w:val="00207811"/>
    <w:rsid w:val="00207939"/>
    <w:rsid w:val="00207DB6"/>
    <w:rsid w:val="00210244"/>
    <w:rsid w:val="0021050E"/>
    <w:rsid w:val="00210ED9"/>
    <w:rsid w:val="002110B9"/>
    <w:rsid w:val="00212146"/>
    <w:rsid w:val="00213217"/>
    <w:rsid w:val="00213A39"/>
    <w:rsid w:val="00213C9B"/>
    <w:rsid w:val="00213DAE"/>
    <w:rsid w:val="002141B4"/>
    <w:rsid w:val="002142F4"/>
    <w:rsid w:val="00214369"/>
    <w:rsid w:val="00214652"/>
    <w:rsid w:val="002147DE"/>
    <w:rsid w:val="002153FE"/>
    <w:rsid w:val="00215633"/>
    <w:rsid w:val="00215763"/>
    <w:rsid w:val="002160A3"/>
    <w:rsid w:val="002162B9"/>
    <w:rsid w:val="002163AB"/>
    <w:rsid w:val="00216942"/>
    <w:rsid w:val="00216B30"/>
    <w:rsid w:val="002170F7"/>
    <w:rsid w:val="00217D70"/>
    <w:rsid w:val="00220384"/>
    <w:rsid w:val="00220395"/>
    <w:rsid w:val="00220576"/>
    <w:rsid w:val="00221087"/>
    <w:rsid w:val="002211A3"/>
    <w:rsid w:val="00221285"/>
    <w:rsid w:val="002214B9"/>
    <w:rsid w:val="002218CC"/>
    <w:rsid w:val="00221BBA"/>
    <w:rsid w:val="00221C55"/>
    <w:rsid w:val="00222161"/>
    <w:rsid w:val="002221B0"/>
    <w:rsid w:val="00222AFA"/>
    <w:rsid w:val="00222EF7"/>
    <w:rsid w:val="00222F2F"/>
    <w:rsid w:val="00223566"/>
    <w:rsid w:val="002237D1"/>
    <w:rsid w:val="00223AED"/>
    <w:rsid w:val="00223D46"/>
    <w:rsid w:val="00223F10"/>
    <w:rsid w:val="00223FAE"/>
    <w:rsid w:val="002247CB"/>
    <w:rsid w:val="00224DCF"/>
    <w:rsid w:val="002250A6"/>
    <w:rsid w:val="00225119"/>
    <w:rsid w:val="00225788"/>
    <w:rsid w:val="002257BB"/>
    <w:rsid w:val="0022668C"/>
    <w:rsid w:val="00226B05"/>
    <w:rsid w:val="002270B0"/>
    <w:rsid w:val="00227625"/>
    <w:rsid w:val="002279D8"/>
    <w:rsid w:val="00227A5E"/>
    <w:rsid w:val="00227BA6"/>
    <w:rsid w:val="00227D9A"/>
    <w:rsid w:val="00227DD4"/>
    <w:rsid w:val="00227EEB"/>
    <w:rsid w:val="00230033"/>
    <w:rsid w:val="002305D2"/>
    <w:rsid w:val="00230BCE"/>
    <w:rsid w:val="00230C45"/>
    <w:rsid w:val="00230E4F"/>
    <w:rsid w:val="00231483"/>
    <w:rsid w:val="00231692"/>
    <w:rsid w:val="00231A13"/>
    <w:rsid w:val="00231E2D"/>
    <w:rsid w:val="00232206"/>
    <w:rsid w:val="00232DE4"/>
    <w:rsid w:val="00233165"/>
    <w:rsid w:val="00233525"/>
    <w:rsid w:val="002335D3"/>
    <w:rsid w:val="00233613"/>
    <w:rsid w:val="002337FD"/>
    <w:rsid w:val="00233DAE"/>
    <w:rsid w:val="00234048"/>
    <w:rsid w:val="00234B1C"/>
    <w:rsid w:val="00235187"/>
    <w:rsid w:val="00235388"/>
    <w:rsid w:val="00235C45"/>
    <w:rsid w:val="002360EE"/>
    <w:rsid w:val="00236195"/>
    <w:rsid w:val="002363D2"/>
    <w:rsid w:val="002365D3"/>
    <w:rsid w:val="002365EE"/>
    <w:rsid w:val="0023662B"/>
    <w:rsid w:val="00236B25"/>
    <w:rsid w:val="002370DE"/>
    <w:rsid w:val="00237762"/>
    <w:rsid w:val="002377BB"/>
    <w:rsid w:val="0023791D"/>
    <w:rsid w:val="00237A49"/>
    <w:rsid w:val="002404FE"/>
    <w:rsid w:val="00240515"/>
    <w:rsid w:val="00240521"/>
    <w:rsid w:val="00240647"/>
    <w:rsid w:val="00240CC4"/>
    <w:rsid w:val="00240DCA"/>
    <w:rsid w:val="00241183"/>
    <w:rsid w:val="00241A5F"/>
    <w:rsid w:val="00241A86"/>
    <w:rsid w:val="00241B52"/>
    <w:rsid w:val="00241E4E"/>
    <w:rsid w:val="0024270B"/>
    <w:rsid w:val="00242889"/>
    <w:rsid w:val="00242B0E"/>
    <w:rsid w:val="00242B24"/>
    <w:rsid w:val="00242B9A"/>
    <w:rsid w:val="00243160"/>
    <w:rsid w:val="00243A5B"/>
    <w:rsid w:val="00243B77"/>
    <w:rsid w:val="00243E7A"/>
    <w:rsid w:val="002443BE"/>
    <w:rsid w:val="002443FC"/>
    <w:rsid w:val="00244511"/>
    <w:rsid w:val="00244CAE"/>
    <w:rsid w:val="00244CEC"/>
    <w:rsid w:val="00245302"/>
    <w:rsid w:val="002458F0"/>
    <w:rsid w:val="00247043"/>
    <w:rsid w:val="002472AD"/>
    <w:rsid w:val="002476B9"/>
    <w:rsid w:val="00247CE6"/>
    <w:rsid w:val="002502D9"/>
    <w:rsid w:val="002503E4"/>
    <w:rsid w:val="00250AAC"/>
    <w:rsid w:val="00250E06"/>
    <w:rsid w:val="00250EBC"/>
    <w:rsid w:val="00250FD1"/>
    <w:rsid w:val="0025157A"/>
    <w:rsid w:val="00251D2C"/>
    <w:rsid w:val="002520CA"/>
    <w:rsid w:val="00252407"/>
    <w:rsid w:val="00252A17"/>
    <w:rsid w:val="00252BB9"/>
    <w:rsid w:val="00252D10"/>
    <w:rsid w:val="00252F61"/>
    <w:rsid w:val="002532D7"/>
    <w:rsid w:val="00253346"/>
    <w:rsid w:val="0025368B"/>
    <w:rsid w:val="0025381C"/>
    <w:rsid w:val="002538B4"/>
    <w:rsid w:val="00253942"/>
    <w:rsid w:val="002539F2"/>
    <w:rsid w:val="00253D43"/>
    <w:rsid w:val="00254CBC"/>
    <w:rsid w:val="002555D8"/>
    <w:rsid w:val="00255A81"/>
    <w:rsid w:val="00255CE0"/>
    <w:rsid w:val="00256427"/>
    <w:rsid w:val="002567BB"/>
    <w:rsid w:val="00256938"/>
    <w:rsid w:val="00256EB4"/>
    <w:rsid w:val="00256F4C"/>
    <w:rsid w:val="0025701F"/>
    <w:rsid w:val="00257049"/>
    <w:rsid w:val="0025717D"/>
    <w:rsid w:val="002573D4"/>
    <w:rsid w:val="002576E7"/>
    <w:rsid w:val="00257A3B"/>
    <w:rsid w:val="00257A8D"/>
    <w:rsid w:val="00257C50"/>
    <w:rsid w:val="00257CD2"/>
    <w:rsid w:val="00260202"/>
    <w:rsid w:val="00260250"/>
    <w:rsid w:val="00260891"/>
    <w:rsid w:val="00260945"/>
    <w:rsid w:val="00260D5A"/>
    <w:rsid w:val="00260E5A"/>
    <w:rsid w:val="00260EF3"/>
    <w:rsid w:val="00260F6C"/>
    <w:rsid w:val="0026104A"/>
    <w:rsid w:val="0026154B"/>
    <w:rsid w:val="002619CD"/>
    <w:rsid w:val="00261AAD"/>
    <w:rsid w:val="00261ADE"/>
    <w:rsid w:val="0026205D"/>
    <w:rsid w:val="00262420"/>
    <w:rsid w:val="002624AA"/>
    <w:rsid w:val="0026294B"/>
    <w:rsid w:val="002632C7"/>
    <w:rsid w:val="00263952"/>
    <w:rsid w:val="00263AFF"/>
    <w:rsid w:val="00263F40"/>
    <w:rsid w:val="002641F0"/>
    <w:rsid w:val="00264476"/>
    <w:rsid w:val="002646E1"/>
    <w:rsid w:val="00264AA4"/>
    <w:rsid w:val="00264AA6"/>
    <w:rsid w:val="00264B83"/>
    <w:rsid w:val="00264DF0"/>
    <w:rsid w:val="00264EE0"/>
    <w:rsid w:val="00265198"/>
    <w:rsid w:val="0026568F"/>
    <w:rsid w:val="002658B7"/>
    <w:rsid w:val="00265930"/>
    <w:rsid w:val="002667D2"/>
    <w:rsid w:val="00266CCB"/>
    <w:rsid w:val="00266E66"/>
    <w:rsid w:val="00267344"/>
    <w:rsid w:val="00267370"/>
    <w:rsid w:val="002674FF"/>
    <w:rsid w:val="00267600"/>
    <w:rsid w:val="0026760A"/>
    <w:rsid w:val="002677BB"/>
    <w:rsid w:val="00267A57"/>
    <w:rsid w:val="00267A80"/>
    <w:rsid w:val="00267F5E"/>
    <w:rsid w:val="00270531"/>
    <w:rsid w:val="00270A6B"/>
    <w:rsid w:val="00270FED"/>
    <w:rsid w:val="00271080"/>
    <w:rsid w:val="002712F7"/>
    <w:rsid w:val="00271799"/>
    <w:rsid w:val="00271ABD"/>
    <w:rsid w:val="00271BE0"/>
    <w:rsid w:val="00271C96"/>
    <w:rsid w:val="00272141"/>
    <w:rsid w:val="00272BD9"/>
    <w:rsid w:val="00272E26"/>
    <w:rsid w:val="00273181"/>
    <w:rsid w:val="002731C0"/>
    <w:rsid w:val="0027326C"/>
    <w:rsid w:val="0027340C"/>
    <w:rsid w:val="00274121"/>
    <w:rsid w:val="00274254"/>
    <w:rsid w:val="00274422"/>
    <w:rsid w:val="0027453E"/>
    <w:rsid w:val="002747E5"/>
    <w:rsid w:val="00274916"/>
    <w:rsid w:val="00274D38"/>
    <w:rsid w:val="00274E68"/>
    <w:rsid w:val="00275213"/>
    <w:rsid w:val="00275272"/>
    <w:rsid w:val="0027554B"/>
    <w:rsid w:val="00275DFC"/>
    <w:rsid w:val="00276312"/>
    <w:rsid w:val="00276411"/>
    <w:rsid w:val="0027646B"/>
    <w:rsid w:val="002767EF"/>
    <w:rsid w:val="0027726B"/>
    <w:rsid w:val="00277425"/>
    <w:rsid w:val="00277701"/>
    <w:rsid w:val="00277864"/>
    <w:rsid w:val="00277D3C"/>
    <w:rsid w:val="00280413"/>
    <w:rsid w:val="002808A8"/>
    <w:rsid w:val="00280DA0"/>
    <w:rsid w:val="00280DB6"/>
    <w:rsid w:val="00280FE6"/>
    <w:rsid w:val="002812F9"/>
    <w:rsid w:val="002815CC"/>
    <w:rsid w:val="002818D3"/>
    <w:rsid w:val="00281E7E"/>
    <w:rsid w:val="00281EEE"/>
    <w:rsid w:val="00282336"/>
    <w:rsid w:val="002824ED"/>
    <w:rsid w:val="002824F8"/>
    <w:rsid w:val="0028261A"/>
    <w:rsid w:val="00283198"/>
    <w:rsid w:val="002834DF"/>
    <w:rsid w:val="00283A85"/>
    <w:rsid w:val="00283FC8"/>
    <w:rsid w:val="002851EE"/>
    <w:rsid w:val="00285335"/>
    <w:rsid w:val="002857FC"/>
    <w:rsid w:val="002859E7"/>
    <w:rsid w:val="00285D14"/>
    <w:rsid w:val="00285FBE"/>
    <w:rsid w:val="00286059"/>
    <w:rsid w:val="00286208"/>
    <w:rsid w:val="0028643D"/>
    <w:rsid w:val="00286BC7"/>
    <w:rsid w:val="00286E6F"/>
    <w:rsid w:val="00287E0B"/>
    <w:rsid w:val="0029013C"/>
    <w:rsid w:val="002908AF"/>
    <w:rsid w:val="00290A0A"/>
    <w:rsid w:val="00290D61"/>
    <w:rsid w:val="002915CB"/>
    <w:rsid w:val="00292157"/>
    <w:rsid w:val="002923A0"/>
    <w:rsid w:val="0029252C"/>
    <w:rsid w:val="0029264A"/>
    <w:rsid w:val="002929A2"/>
    <w:rsid w:val="00293123"/>
    <w:rsid w:val="00293375"/>
    <w:rsid w:val="002936B0"/>
    <w:rsid w:val="00293961"/>
    <w:rsid w:val="00293A4C"/>
    <w:rsid w:val="00293AD7"/>
    <w:rsid w:val="00293C35"/>
    <w:rsid w:val="0029439A"/>
    <w:rsid w:val="002954C6"/>
    <w:rsid w:val="00295C41"/>
    <w:rsid w:val="00295E3D"/>
    <w:rsid w:val="00296008"/>
    <w:rsid w:val="002960DC"/>
    <w:rsid w:val="00296611"/>
    <w:rsid w:val="00297067"/>
    <w:rsid w:val="00297233"/>
    <w:rsid w:val="002974C9"/>
    <w:rsid w:val="00297F14"/>
    <w:rsid w:val="002A021B"/>
    <w:rsid w:val="002A057E"/>
    <w:rsid w:val="002A0FF5"/>
    <w:rsid w:val="002A19CF"/>
    <w:rsid w:val="002A1A4E"/>
    <w:rsid w:val="002A1D5B"/>
    <w:rsid w:val="002A27BE"/>
    <w:rsid w:val="002A2953"/>
    <w:rsid w:val="002A328E"/>
    <w:rsid w:val="002A3352"/>
    <w:rsid w:val="002A3405"/>
    <w:rsid w:val="002A3481"/>
    <w:rsid w:val="002A37D9"/>
    <w:rsid w:val="002A38E0"/>
    <w:rsid w:val="002A39BC"/>
    <w:rsid w:val="002A3B36"/>
    <w:rsid w:val="002A413D"/>
    <w:rsid w:val="002A4345"/>
    <w:rsid w:val="002A4C7C"/>
    <w:rsid w:val="002A51CD"/>
    <w:rsid w:val="002A58E9"/>
    <w:rsid w:val="002A591D"/>
    <w:rsid w:val="002A5C8D"/>
    <w:rsid w:val="002A602A"/>
    <w:rsid w:val="002A6602"/>
    <w:rsid w:val="002A69A3"/>
    <w:rsid w:val="002A6E68"/>
    <w:rsid w:val="002A7199"/>
    <w:rsid w:val="002A7390"/>
    <w:rsid w:val="002A7AA5"/>
    <w:rsid w:val="002A7C25"/>
    <w:rsid w:val="002A7C4C"/>
    <w:rsid w:val="002A7D66"/>
    <w:rsid w:val="002B02E0"/>
    <w:rsid w:val="002B08C7"/>
    <w:rsid w:val="002B0DA6"/>
    <w:rsid w:val="002B12EA"/>
    <w:rsid w:val="002B138E"/>
    <w:rsid w:val="002B1678"/>
    <w:rsid w:val="002B1856"/>
    <w:rsid w:val="002B18D4"/>
    <w:rsid w:val="002B1B5C"/>
    <w:rsid w:val="002B2215"/>
    <w:rsid w:val="002B22B3"/>
    <w:rsid w:val="002B2419"/>
    <w:rsid w:val="002B241D"/>
    <w:rsid w:val="002B280E"/>
    <w:rsid w:val="002B301C"/>
    <w:rsid w:val="002B314D"/>
    <w:rsid w:val="002B37E9"/>
    <w:rsid w:val="002B38F8"/>
    <w:rsid w:val="002B396B"/>
    <w:rsid w:val="002B39D5"/>
    <w:rsid w:val="002B3A80"/>
    <w:rsid w:val="002B3CFC"/>
    <w:rsid w:val="002B4332"/>
    <w:rsid w:val="002B4AE6"/>
    <w:rsid w:val="002B55D9"/>
    <w:rsid w:val="002B56AA"/>
    <w:rsid w:val="002B56B8"/>
    <w:rsid w:val="002B616B"/>
    <w:rsid w:val="002B6180"/>
    <w:rsid w:val="002B67CF"/>
    <w:rsid w:val="002B6826"/>
    <w:rsid w:val="002B6A2B"/>
    <w:rsid w:val="002B6C1B"/>
    <w:rsid w:val="002B6FE1"/>
    <w:rsid w:val="002B76DF"/>
    <w:rsid w:val="002B79CE"/>
    <w:rsid w:val="002B7AEF"/>
    <w:rsid w:val="002C00CA"/>
    <w:rsid w:val="002C0265"/>
    <w:rsid w:val="002C0520"/>
    <w:rsid w:val="002C0585"/>
    <w:rsid w:val="002C0731"/>
    <w:rsid w:val="002C0954"/>
    <w:rsid w:val="002C0C09"/>
    <w:rsid w:val="002C0F76"/>
    <w:rsid w:val="002C11A8"/>
    <w:rsid w:val="002C1246"/>
    <w:rsid w:val="002C15D2"/>
    <w:rsid w:val="002C167F"/>
    <w:rsid w:val="002C16BA"/>
    <w:rsid w:val="002C1A92"/>
    <w:rsid w:val="002C1A9B"/>
    <w:rsid w:val="002C1C6D"/>
    <w:rsid w:val="002C28C9"/>
    <w:rsid w:val="002C28CE"/>
    <w:rsid w:val="002C2ECF"/>
    <w:rsid w:val="002C3AD4"/>
    <w:rsid w:val="002C3CD9"/>
    <w:rsid w:val="002C3E64"/>
    <w:rsid w:val="002C453F"/>
    <w:rsid w:val="002C4690"/>
    <w:rsid w:val="002C4714"/>
    <w:rsid w:val="002C47E0"/>
    <w:rsid w:val="002C498E"/>
    <w:rsid w:val="002C4A86"/>
    <w:rsid w:val="002C4B82"/>
    <w:rsid w:val="002C4C9D"/>
    <w:rsid w:val="002C5038"/>
    <w:rsid w:val="002C50AF"/>
    <w:rsid w:val="002C52D1"/>
    <w:rsid w:val="002C52DC"/>
    <w:rsid w:val="002C599D"/>
    <w:rsid w:val="002C5BB9"/>
    <w:rsid w:val="002C6596"/>
    <w:rsid w:val="002C6A88"/>
    <w:rsid w:val="002C7106"/>
    <w:rsid w:val="002C738B"/>
    <w:rsid w:val="002C7581"/>
    <w:rsid w:val="002C76F1"/>
    <w:rsid w:val="002C7830"/>
    <w:rsid w:val="002C7A2D"/>
    <w:rsid w:val="002D052A"/>
    <w:rsid w:val="002D0777"/>
    <w:rsid w:val="002D0827"/>
    <w:rsid w:val="002D0856"/>
    <w:rsid w:val="002D0E77"/>
    <w:rsid w:val="002D1AAA"/>
    <w:rsid w:val="002D2034"/>
    <w:rsid w:val="002D20B7"/>
    <w:rsid w:val="002D2294"/>
    <w:rsid w:val="002D23EB"/>
    <w:rsid w:val="002D284E"/>
    <w:rsid w:val="002D290D"/>
    <w:rsid w:val="002D2C59"/>
    <w:rsid w:val="002D2E66"/>
    <w:rsid w:val="002D31D9"/>
    <w:rsid w:val="002D338D"/>
    <w:rsid w:val="002D3FEC"/>
    <w:rsid w:val="002D41CC"/>
    <w:rsid w:val="002D493B"/>
    <w:rsid w:val="002D4A72"/>
    <w:rsid w:val="002D5201"/>
    <w:rsid w:val="002D58CB"/>
    <w:rsid w:val="002D5F38"/>
    <w:rsid w:val="002D60AB"/>
    <w:rsid w:val="002D60C3"/>
    <w:rsid w:val="002D61E2"/>
    <w:rsid w:val="002D64E6"/>
    <w:rsid w:val="002D663A"/>
    <w:rsid w:val="002D66A6"/>
    <w:rsid w:val="002D6725"/>
    <w:rsid w:val="002D6751"/>
    <w:rsid w:val="002D67C6"/>
    <w:rsid w:val="002D6C3B"/>
    <w:rsid w:val="002D6D6D"/>
    <w:rsid w:val="002D74B5"/>
    <w:rsid w:val="002D794A"/>
    <w:rsid w:val="002D7B55"/>
    <w:rsid w:val="002D7BE3"/>
    <w:rsid w:val="002E025B"/>
    <w:rsid w:val="002E03A3"/>
    <w:rsid w:val="002E14A8"/>
    <w:rsid w:val="002E1689"/>
    <w:rsid w:val="002E20A9"/>
    <w:rsid w:val="002E27DD"/>
    <w:rsid w:val="002E2DC0"/>
    <w:rsid w:val="002E3367"/>
    <w:rsid w:val="002E3FFA"/>
    <w:rsid w:val="002E407F"/>
    <w:rsid w:val="002E4316"/>
    <w:rsid w:val="002E4598"/>
    <w:rsid w:val="002E461D"/>
    <w:rsid w:val="002E4815"/>
    <w:rsid w:val="002E4CF1"/>
    <w:rsid w:val="002E4E2D"/>
    <w:rsid w:val="002E5946"/>
    <w:rsid w:val="002E5C31"/>
    <w:rsid w:val="002E67B9"/>
    <w:rsid w:val="002E67E8"/>
    <w:rsid w:val="002E6AF9"/>
    <w:rsid w:val="002E6D91"/>
    <w:rsid w:val="002E6DB9"/>
    <w:rsid w:val="002E6DCA"/>
    <w:rsid w:val="002E6DE9"/>
    <w:rsid w:val="002E75B9"/>
    <w:rsid w:val="002E7842"/>
    <w:rsid w:val="002E78FD"/>
    <w:rsid w:val="002E7D1D"/>
    <w:rsid w:val="002E7E82"/>
    <w:rsid w:val="002F027C"/>
    <w:rsid w:val="002F02B4"/>
    <w:rsid w:val="002F038B"/>
    <w:rsid w:val="002F097B"/>
    <w:rsid w:val="002F1085"/>
    <w:rsid w:val="002F141A"/>
    <w:rsid w:val="002F15C5"/>
    <w:rsid w:val="002F15FF"/>
    <w:rsid w:val="002F18FF"/>
    <w:rsid w:val="002F1938"/>
    <w:rsid w:val="002F1E53"/>
    <w:rsid w:val="002F202D"/>
    <w:rsid w:val="002F21A8"/>
    <w:rsid w:val="002F23D6"/>
    <w:rsid w:val="002F2569"/>
    <w:rsid w:val="002F2A09"/>
    <w:rsid w:val="002F2D99"/>
    <w:rsid w:val="002F2E7A"/>
    <w:rsid w:val="002F3226"/>
    <w:rsid w:val="002F3B5B"/>
    <w:rsid w:val="002F3C1B"/>
    <w:rsid w:val="002F3D58"/>
    <w:rsid w:val="002F3DD5"/>
    <w:rsid w:val="002F401C"/>
    <w:rsid w:val="002F41E7"/>
    <w:rsid w:val="002F42DC"/>
    <w:rsid w:val="002F4690"/>
    <w:rsid w:val="002F4753"/>
    <w:rsid w:val="002F4B6C"/>
    <w:rsid w:val="002F4C52"/>
    <w:rsid w:val="002F4F5B"/>
    <w:rsid w:val="002F4FC6"/>
    <w:rsid w:val="002F5016"/>
    <w:rsid w:val="002F5122"/>
    <w:rsid w:val="002F5260"/>
    <w:rsid w:val="002F541E"/>
    <w:rsid w:val="002F595B"/>
    <w:rsid w:val="002F5B48"/>
    <w:rsid w:val="002F6665"/>
    <w:rsid w:val="002F6AEE"/>
    <w:rsid w:val="002F6BBB"/>
    <w:rsid w:val="002F6CBA"/>
    <w:rsid w:val="002F6FE8"/>
    <w:rsid w:val="002F7C9F"/>
    <w:rsid w:val="002F7E19"/>
    <w:rsid w:val="00300590"/>
    <w:rsid w:val="00300D8D"/>
    <w:rsid w:val="0030141D"/>
    <w:rsid w:val="00301472"/>
    <w:rsid w:val="003016F5"/>
    <w:rsid w:val="003019D3"/>
    <w:rsid w:val="00302D29"/>
    <w:rsid w:val="00302FF2"/>
    <w:rsid w:val="003031A0"/>
    <w:rsid w:val="0030453E"/>
    <w:rsid w:val="0030471C"/>
    <w:rsid w:val="003048C4"/>
    <w:rsid w:val="00304A6B"/>
    <w:rsid w:val="00305002"/>
    <w:rsid w:val="00305324"/>
    <w:rsid w:val="00305411"/>
    <w:rsid w:val="0030558B"/>
    <w:rsid w:val="00305C38"/>
    <w:rsid w:val="00305D96"/>
    <w:rsid w:val="00306014"/>
    <w:rsid w:val="00306020"/>
    <w:rsid w:val="00306232"/>
    <w:rsid w:val="00306312"/>
    <w:rsid w:val="00306527"/>
    <w:rsid w:val="00306EA1"/>
    <w:rsid w:val="00306ED4"/>
    <w:rsid w:val="00307096"/>
    <w:rsid w:val="003072A0"/>
    <w:rsid w:val="00307350"/>
    <w:rsid w:val="003073F7"/>
    <w:rsid w:val="003075AC"/>
    <w:rsid w:val="00307B56"/>
    <w:rsid w:val="00310450"/>
    <w:rsid w:val="00310507"/>
    <w:rsid w:val="0031067F"/>
    <w:rsid w:val="00310A24"/>
    <w:rsid w:val="00310D70"/>
    <w:rsid w:val="00311263"/>
    <w:rsid w:val="003113B5"/>
    <w:rsid w:val="003113EF"/>
    <w:rsid w:val="00311865"/>
    <w:rsid w:val="00311B72"/>
    <w:rsid w:val="00311EDD"/>
    <w:rsid w:val="00312993"/>
    <w:rsid w:val="00312CEE"/>
    <w:rsid w:val="00313297"/>
    <w:rsid w:val="00313749"/>
    <w:rsid w:val="00313BE8"/>
    <w:rsid w:val="00313FC1"/>
    <w:rsid w:val="00314018"/>
    <w:rsid w:val="003140EC"/>
    <w:rsid w:val="003146A2"/>
    <w:rsid w:val="00314DFF"/>
    <w:rsid w:val="00315016"/>
    <w:rsid w:val="003150A9"/>
    <w:rsid w:val="0031515E"/>
    <w:rsid w:val="0031556D"/>
    <w:rsid w:val="0031572B"/>
    <w:rsid w:val="00315D5A"/>
    <w:rsid w:val="0031616B"/>
    <w:rsid w:val="003163D8"/>
    <w:rsid w:val="0031653B"/>
    <w:rsid w:val="003165D7"/>
    <w:rsid w:val="0031662C"/>
    <w:rsid w:val="00316695"/>
    <w:rsid w:val="0031688E"/>
    <w:rsid w:val="00316937"/>
    <w:rsid w:val="0031693E"/>
    <w:rsid w:val="00316A94"/>
    <w:rsid w:val="003171ED"/>
    <w:rsid w:val="003171F7"/>
    <w:rsid w:val="0031727F"/>
    <w:rsid w:val="00317524"/>
    <w:rsid w:val="00317600"/>
    <w:rsid w:val="003200CD"/>
    <w:rsid w:val="00320289"/>
    <w:rsid w:val="0032029A"/>
    <w:rsid w:val="003204C7"/>
    <w:rsid w:val="00320676"/>
    <w:rsid w:val="00320897"/>
    <w:rsid w:val="00320986"/>
    <w:rsid w:val="003210C1"/>
    <w:rsid w:val="00321108"/>
    <w:rsid w:val="00321295"/>
    <w:rsid w:val="00321299"/>
    <w:rsid w:val="00321BA3"/>
    <w:rsid w:val="00322164"/>
    <w:rsid w:val="003221D2"/>
    <w:rsid w:val="00322A5E"/>
    <w:rsid w:val="00322BA6"/>
    <w:rsid w:val="00322D5B"/>
    <w:rsid w:val="003231CA"/>
    <w:rsid w:val="003234D0"/>
    <w:rsid w:val="003234FE"/>
    <w:rsid w:val="003237A0"/>
    <w:rsid w:val="0032403F"/>
    <w:rsid w:val="0032441E"/>
    <w:rsid w:val="003247AA"/>
    <w:rsid w:val="003249D1"/>
    <w:rsid w:val="00324D73"/>
    <w:rsid w:val="00325067"/>
    <w:rsid w:val="0032513E"/>
    <w:rsid w:val="00325170"/>
    <w:rsid w:val="00326697"/>
    <w:rsid w:val="00326808"/>
    <w:rsid w:val="00326986"/>
    <w:rsid w:val="003269CA"/>
    <w:rsid w:val="00326D71"/>
    <w:rsid w:val="00326D94"/>
    <w:rsid w:val="00326E1D"/>
    <w:rsid w:val="003271D4"/>
    <w:rsid w:val="00327257"/>
    <w:rsid w:val="00327D63"/>
    <w:rsid w:val="00327EBE"/>
    <w:rsid w:val="003300F3"/>
    <w:rsid w:val="00330247"/>
    <w:rsid w:val="003305B4"/>
    <w:rsid w:val="0033070B"/>
    <w:rsid w:val="003308E9"/>
    <w:rsid w:val="003311C7"/>
    <w:rsid w:val="00331289"/>
    <w:rsid w:val="00331583"/>
    <w:rsid w:val="00331A30"/>
    <w:rsid w:val="003321A9"/>
    <w:rsid w:val="003321CA"/>
    <w:rsid w:val="003321EA"/>
    <w:rsid w:val="0033229F"/>
    <w:rsid w:val="003326E4"/>
    <w:rsid w:val="0033283D"/>
    <w:rsid w:val="0033287D"/>
    <w:rsid w:val="00332A14"/>
    <w:rsid w:val="003338F9"/>
    <w:rsid w:val="0033398E"/>
    <w:rsid w:val="00333DB8"/>
    <w:rsid w:val="00333F57"/>
    <w:rsid w:val="003340DC"/>
    <w:rsid w:val="003344E6"/>
    <w:rsid w:val="00334A32"/>
    <w:rsid w:val="00334AA5"/>
    <w:rsid w:val="00334B8D"/>
    <w:rsid w:val="00334D3B"/>
    <w:rsid w:val="00334F0E"/>
    <w:rsid w:val="00334F99"/>
    <w:rsid w:val="00335A05"/>
    <w:rsid w:val="0033664B"/>
    <w:rsid w:val="00336A79"/>
    <w:rsid w:val="00337128"/>
    <w:rsid w:val="003376E3"/>
    <w:rsid w:val="00337813"/>
    <w:rsid w:val="00337A45"/>
    <w:rsid w:val="00337DE9"/>
    <w:rsid w:val="00337EAD"/>
    <w:rsid w:val="003401D3"/>
    <w:rsid w:val="00340671"/>
    <w:rsid w:val="0034069D"/>
    <w:rsid w:val="00340709"/>
    <w:rsid w:val="00340896"/>
    <w:rsid w:val="003408E0"/>
    <w:rsid w:val="00340B2A"/>
    <w:rsid w:val="00340DBF"/>
    <w:rsid w:val="00340F3B"/>
    <w:rsid w:val="003416CC"/>
    <w:rsid w:val="00341BED"/>
    <w:rsid w:val="00342165"/>
    <w:rsid w:val="00342E0D"/>
    <w:rsid w:val="00342F80"/>
    <w:rsid w:val="00343C3F"/>
    <w:rsid w:val="0034408A"/>
    <w:rsid w:val="003440BC"/>
    <w:rsid w:val="003444C0"/>
    <w:rsid w:val="0034465E"/>
    <w:rsid w:val="00344669"/>
    <w:rsid w:val="00344707"/>
    <w:rsid w:val="0034566C"/>
    <w:rsid w:val="00345810"/>
    <w:rsid w:val="00345A0F"/>
    <w:rsid w:val="00345C77"/>
    <w:rsid w:val="00345C84"/>
    <w:rsid w:val="00346019"/>
    <w:rsid w:val="0034633C"/>
    <w:rsid w:val="00346594"/>
    <w:rsid w:val="00346FD4"/>
    <w:rsid w:val="0034731E"/>
    <w:rsid w:val="00347DB1"/>
    <w:rsid w:val="00347F79"/>
    <w:rsid w:val="00350122"/>
    <w:rsid w:val="0035148C"/>
    <w:rsid w:val="00351523"/>
    <w:rsid w:val="0035188C"/>
    <w:rsid w:val="00352098"/>
    <w:rsid w:val="00352BD3"/>
    <w:rsid w:val="00352DFC"/>
    <w:rsid w:val="00353242"/>
    <w:rsid w:val="0035396F"/>
    <w:rsid w:val="0035461C"/>
    <w:rsid w:val="003549D6"/>
    <w:rsid w:val="00354FAA"/>
    <w:rsid w:val="003552CF"/>
    <w:rsid w:val="00355450"/>
    <w:rsid w:val="0035552F"/>
    <w:rsid w:val="00355532"/>
    <w:rsid w:val="00355CEA"/>
    <w:rsid w:val="00355D41"/>
    <w:rsid w:val="00355D43"/>
    <w:rsid w:val="00355E35"/>
    <w:rsid w:val="003565B3"/>
    <w:rsid w:val="003566C4"/>
    <w:rsid w:val="003568D4"/>
    <w:rsid w:val="0035699E"/>
    <w:rsid w:val="00356FA3"/>
    <w:rsid w:val="0035700C"/>
    <w:rsid w:val="003572B4"/>
    <w:rsid w:val="003577E0"/>
    <w:rsid w:val="003601E2"/>
    <w:rsid w:val="00360412"/>
    <w:rsid w:val="003607FD"/>
    <w:rsid w:val="00360AC8"/>
    <w:rsid w:val="00360D6E"/>
    <w:rsid w:val="00361360"/>
    <w:rsid w:val="00361BB1"/>
    <w:rsid w:val="0036222B"/>
    <w:rsid w:val="00362498"/>
    <w:rsid w:val="003629CE"/>
    <w:rsid w:val="00362C15"/>
    <w:rsid w:val="00363058"/>
    <w:rsid w:val="00363F60"/>
    <w:rsid w:val="0036403E"/>
    <w:rsid w:val="0036459A"/>
    <w:rsid w:val="003648E6"/>
    <w:rsid w:val="00364BFF"/>
    <w:rsid w:val="00364E9C"/>
    <w:rsid w:val="00365039"/>
    <w:rsid w:val="00365065"/>
    <w:rsid w:val="00365775"/>
    <w:rsid w:val="00365847"/>
    <w:rsid w:val="00366009"/>
    <w:rsid w:val="0036678D"/>
    <w:rsid w:val="0036691B"/>
    <w:rsid w:val="00366F49"/>
    <w:rsid w:val="00367391"/>
    <w:rsid w:val="00367636"/>
    <w:rsid w:val="003676CD"/>
    <w:rsid w:val="00367957"/>
    <w:rsid w:val="00370144"/>
    <w:rsid w:val="00370196"/>
    <w:rsid w:val="00370206"/>
    <w:rsid w:val="00370264"/>
    <w:rsid w:val="00370633"/>
    <w:rsid w:val="003709CB"/>
    <w:rsid w:val="00370A4A"/>
    <w:rsid w:val="00370B8B"/>
    <w:rsid w:val="00370D04"/>
    <w:rsid w:val="00370DBE"/>
    <w:rsid w:val="00370EFF"/>
    <w:rsid w:val="00371056"/>
    <w:rsid w:val="0037110A"/>
    <w:rsid w:val="00371236"/>
    <w:rsid w:val="003716F9"/>
    <w:rsid w:val="00371B52"/>
    <w:rsid w:val="00371D70"/>
    <w:rsid w:val="00371E76"/>
    <w:rsid w:val="00372127"/>
    <w:rsid w:val="00372166"/>
    <w:rsid w:val="00372708"/>
    <w:rsid w:val="00372D4C"/>
    <w:rsid w:val="00372DC0"/>
    <w:rsid w:val="00372F56"/>
    <w:rsid w:val="00372FD6"/>
    <w:rsid w:val="0037339D"/>
    <w:rsid w:val="00373898"/>
    <w:rsid w:val="00373A8F"/>
    <w:rsid w:val="00373D44"/>
    <w:rsid w:val="003741C3"/>
    <w:rsid w:val="00374718"/>
    <w:rsid w:val="0037475A"/>
    <w:rsid w:val="0037484C"/>
    <w:rsid w:val="00375C6F"/>
    <w:rsid w:val="003765F8"/>
    <w:rsid w:val="003765F9"/>
    <w:rsid w:val="00376889"/>
    <w:rsid w:val="0037708E"/>
    <w:rsid w:val="003770CE"/>
    <w:rsid w:val="00377CD4"/>
    <w:rsid w:val="00377CE3"/>
    <w:rsid w:val="00380517"/>
    <w:rsid w:val="003807D7"/>
    <w:rsid w:val="00380C93"/>
    <w:rsid w:val="00380CCE"/>
    <w:rsid w:val="003816D9"/>
    <w:rsid w:val="0038194F"/>
    <w:rsid w:val="00381D3C"/>
    <w:rsid w:val="00382094"/>
    <w:rsid w:val="0038272F"/>
    <w:rsid w:val="003832E1"/>
    <w:rsid w:val="003832FD"/>
    <w:rsid w:val="003837E7"/>
    <w:rsid w:val="00383914"/>
    <w:rsid w:val="00383DF6"/>
    <w:rsid w:val="00384C67"/>
    <w:rsid w:val="00385058"/>
    <w:rsid w:val="00385386"/>
    <w:rsid w:val="00385510"/>
    <w:rsid w:val="0038571F"/>
    <w:rsid w:val="00385D4A"/>
    <w:rsid w:val="00385DA7"/>
    <w:rsid w:val="00385DDB"/>
    <w:rsid w:val="003861E9"/>
    <w:rsid w:val="0038669D"/>
    <w:rsid w:val="00387379"/>
    <w:rsid w:val="003875E9"/>
    <w:rsid w:val="00387901"/>
    <w:rsid w:val="00387AF0"/>
    <w:rsid w:val="00387B0D"/>
    <w:rsid w:val="00387B40"/>
    <w:rsid w:val="00387B42"/>
    <w:rsid w:val="00387F2B"/>
    <w:rsid w:val="00390500"/>
    <w:rsid w:val="00390AA7"/>
    <w:rsid w:val="00390F56"/>
    <w:rsid w:val="00391641"/>
    <w:rsid w:val="003919F5"/>
    <w:rsid w:val="00391A67"/>
    <w:rsid w:val="00391D60"/>
    <w:rsid w:val="003927BF"/>
    <w:rsid w:val="00392F7B"/>
    <w:rsid w:val="003932BE"/>
    <w:rsid w:val="00393571"/>
    <w:rsid w:val="003937AE"/>
    <w:rsid w:val="0039398F"/>
    <w:rsid w:val="00393B85"/>
    <w:rsid w:val="00394271"/>
    <w:rsid w:val="003942C5"/>
    <w:rsid w:val="003942FD"/>
    <w:rsid w:val="00394BE7"/>
    <w:rsid w:val="00394C50"/>
    <w:rsid w:val="00395138"/>
    <w:rsid w:val="003951FE"/>
    <w:rsid w:val="0039585C"/>
    <w:rsid w:val="00395C6B"/>
    <w:rsid w:val="00396018"/>
    <w:rsid w:val="0039640E"/>
    <w:rsid w:val="003966A1"/>
    <w:rsid w:val="003968FB"/>
    <w:rsid w:val="00396ED5"/>
    <w:rsid w:val="00397335"/>
    <w:rsid w:val="0039745D"/>
    <w:rsid w:val="003A0580"/>
    <w:rsid w:val="003A058A"/>
    <w:rsid w:val="003A0BA9"/>
    <w:rsid w:val="003A11AB"/>
    <w:rsid w:val="003A1547"/>
    <w:rsid w:val="003A1595"/>
    <w:rsid w:val="003A1681"/>
    <w:rsid w:val="003A1D6C"/>
    <w:rsid w:val="003A2672"/>
    <w:rsid w:val="003A2B47"/>
    <w:rsid w:val="003A32CA"/>
    <w:rsid w:val="003A3BFC"/>
    <w:rsid w:val="003A3D29"/>
    <w:rsid w:val="003A3D8B"/>
    <w:rsid w:val="003A3E66"/>
    <w:rsid w:val="003A3F3D"/>
    <w:rsid w:val="003A42C6"/>
    <w:rsid w:val="003A450D"/>
    <w:rsid w:val="003A4792"/>
    <w:rsid w:val="003A5517"/>
    <w:rsid w:val="003A5598"/>
    <w:rsid w:val="003A6180"/>
    <w:rsid w:val="003A6376"/>
    <w:rsid w:val="003A692D"/>
    <w:rsid w:val="003A703B"/>
    <w:rsid w:val="003A71F9"/>
    <w:rsid w:val="003A73DF"/>
    <w:rsid w:val="003A748A"/>
    <w:rsid w:val="003A76AA"/>
    <w:rsid w:val="003A7BFC"/>
    <w:rsid w:val="003A7DF0"/>
    <w:rsid w:val="003B00FB"/>
    <w:rsid w:val="003B040A"/>
    <w:rsid w:val="003B0494"/>
    <w:rsid w:val="003B0749"/>
    <w:rsid w:val="003B0EF2"/>
    <w:rsid w:val="003B10D3"/>
    <w:rsid w:val="003B1260"/>
    <w:rsid w:val="003B1687"/>
    <w:rsid w:val="003B18DC"/>
    <w:rsid w:val="003B1C7C"/>
    <w:rsid w:val="003B2372"/>
    <w:rsid w:val="003B23B5"/>
    <w:rsid w:val="003B2500"/>
    <w:rsid w:val="003B2765"/>
    <w:rsid w:val="003B31AD"/>
    <w:rsid w:val="003B36E0"/>
    <w:rsid w:val="003B3D32"/>
    <w:rsid w:val="003B3DFD"/>
    <w:rsid w:val="003B47E2"/>
    <w:rsid w:val="003B4878"/>
    <w:rsid w:val="003B5004"/>
    <w:rsid w:val="003B51EE"/>
    <w:rsid w:val="003B53C8"/>
    <w:rsid w:val="003B5C9A"/>
    <w:rsid w:val="003B5F93"/>
    <w:rsid w:val="003B66AB"/>
    <w:rsid w:val="003B6F8C"/>
    <w:rsid w:val="003B7468"/>
    <w:rsid w:val="003B747C"/>
    <w:rsid w:val="003B7805"/>
    <w:rsid w:val="003B7BD5"/>
    <w:rsid w:val="003C0659"/>
    <w:rsid w:val="003C08F2"/>
    <w:rsid w:val="003C0B42"/>
    <w:rsid w:val="003C0DEB"/>
    <w:rsid w:val="003C0FAF"/>
    <w:rsid w:val="003C1BF4"/>
    <w:rsid w:val="003C1D1F"/>
    <w:rsid w:val="003C1FC0"/>
    <w:rsid w:val="003C282C"/>
    <w:rsid w:val="003C283C"/>
    <w:rsid w:val="003C29A8"/>
    <w:rsid w:val="003C2E39"/>
    <w:rsid w:val="003C2F11"/>
    <w:rsid w:val="003C3393"/>
    <w:rsid w:val="003C33A1"/>
    <w:rsid w:val="003C33FF"/>
    <w:rsid w:val="003C3407"/>
    <w:rsid w:val="003C3BC8"/>
    <w:rsid w:val="003C4932"/>
    <w:rsid w:val="003C494F"/>
    <w:rsid w:val="003C4DC6"/>
    <w:rsid w:val="003C51F1"/>
    <w:rsid w:val="003C52EB"/>
    <w:rsid w:val="003C5344"/>
    <w:rsid w:val="003C5829"/>
    <w:rsid w:val="003C5AA4"/>
    <w:rsid w:val="003C5BD9"/>
    <w:rsid w:val="003C5C80"/>
    <w:rsid w:val="003C5D92"/>
    <w:rsid w:val="003C5FAE"/>
    <w:rsid w:val="003C612C"/>
    <w:rsid w:val="003C6D8B"/>
    <w:rsid w:val="003C7DEC"/>
    <w:rsid w:val="003D0959"/>
    <w:rsid w:val="003D0FBE"/>
    <w:rsid w:val="003D1318"/>
    <w:rsid w:val="003D191F"/>
    <w:rsid w:val="003D19B6"/>
    <w:rsid w:val="003D1A73"/>
    <w:rsid w:val="003D1AEF"/>
    <w:rsid w:val="003D2013"/>
    <w:rsid w:val="003D23EA"/>
    <w:rsid w:val="003D2D3D"/>
    <w:rsid w:val="003D318A"/>
    <w:rsid w:val="003D35EF"/>
    <w:rsid w:val="003D3989"/>
    <w:rsid w:val="003D398F"/>
    <w:rsid w:val="003D3B19"/>
    <w:rsid w:val="003D4220"/>
    <w:rsid w:val="003D43C0"/>
    <w:rsid w:val="003D4637"/>
    <w:rsid w:val="003D471D"/>
    <w:rsid w:val="003D49D8"/>
    <w:rsid w:val="003D4F61"/>
    <w:rsid w:val="003D510D"/>
    <w:rsid w:val="003D553B"/>
    <w:rsid w:val="003D5802"/>
    <w:rsid w:val="003D59DE"/>
    <w:rsid w:val="003D5AA1"/>
    <w:rsid w:val="003D5D2C"/>
    <w:rsid w:val="003D5E0F"/>
    <w:rsid w:val="003D61DF"/>
    <w:rsid w:val="003D620F"/>
    <w:rsid w:val="003D63F8"/>
    <w:rsid w:val="003D65F7"/>
    <w:rsid w:val="003D6D34"/>
    <w:rsid w:val="003D6D68"/>
    <w:rsid w:val="003D6EA0"/>
    <w:rsid w:val="003D6FD3"/>
    <w:rsid w:val="003D7284"/>
    <w:rsid w:val="003D7483"/>
    <w:rsid w:val="003D7520"/>
    <w:rsid w:val="003D7C4E"/>
    <w:rsid w:val="003E03E9"/>
    <w:rsid w:val="003E03FF"/>
    <w:rsid w:val="003E0496"/>
    <w:rsid w:val="003E0687"/>
    <w:rsid w:val="003E07DB"/>
    <w:rsid w:val="003E0B10"/>
    <w:rsid w:val="003E0E35"/>
    <w:rsid w:val="003E0FDD"/>
    <w:rsid w:val="003E1151"/>
    <w:rsid w:val="003E160D"/>
    <w:rsid w:val="003E1AC0"/>
    <w:rsid w:val="003E215D"/>
    <w:rsid w:val="003E22F8"/>
    <w:rsid w:val="003E26CB"/>
    <w:rsid w:val="003E2837"/>
    <w:rsid w:val="003E2AB4"/>
    <w:rsid w:val="003E2F88"/>
    <w:rsid w:val="003E303B"/>
    <w:rsid w:val="003E343B"/>
    <w:rsid w:val="003E3678"/>
    <w:rsid w:val="003E3860"/>
    <w:rsid w:val="003E3BFD"/>
    <w:rsid w:val="003E3CCA"/>
    <w:rsid w:val="003E3F1F"/>
    <w:rsid w:val="003E4AA9"/>
    <w:rsid w:val="003E4AB2"/>
    <w:rsid w:val="003E4B1D"/>
    <w:rsid w:val="003E4B6C"/>
    <w:rsid w:val="003E4DCE"/>
    <w:rsid w:val="003E52AA"/>
    <w:rsid w:val="003E52EA"/>
    <w:rsid w:val="003E5991"/>
    <w:rsid w:val="003E5BD4"/>
    <w:rsid w:val="003E5CB5"/>
    <w:rsid w:val="003E5D25"/>
    <w:rsid w:val="003E60EF"/>
    <w:rsid w:val="003E6377"/>
    <w:rsid w:val="003E63FF"/>
    <w:rsid w:val="003E65C4"/>
    <w:rsid w:val="003E75DB"/>
    <w:rsid w:val="003E7D0C"/>
    <w:rsid w:val="003F0167"/>
    <w:rsid w:val="003F04BC"/>
    <w:rsid w:val="003F081C"/>
    <w:rsid w:val="003F0B4D"/>
    <w:rsid w:val="003F0C25"/>
    <w:rsid w:val="003F1031"/>
    <w:rsid w:val="003F28A2"/>
    <w:rsid w:val="003F2B5B"/>
    <w:rsid w:val="003F2E41"/>
    <w:rsid w:val="003F2E4F"/>
    <w:rsid w:val="003F30D3"/>
    <w:rsid w:val="003F324A"/>
    <w:rsid w:val="003F359F"/>
    <w:rsid w:val="003F35AF"/>
    <w:rsid w:val="003F389E"/>
    <w:rsid w:val="003F42AE"/>
    <w:rsid w:val="003F443F"/>
    <w:rsid w:val="003F450A"/>
    <w:rsid w:val="003F4ACB"/>
    <w:rsid w:val="003F4B55"/>
    <w:rsid w:val="003F4FC8"/>
    <w:rsid w:val="003F51B1"/>
    <w:rsid w:val="003F5260"/>
    <w:rsid w:val="003F5312"/>
    <w:rsid w:val="003F57D2"/>
    <w:rsid w:val="003F63D8"/>
    <w:rsid w:val="003F67AD"/>
    <w:rsid w:val="003F6965"/>
    <w:rsid w:val="003F6D46"/>
    <w:rsid w:val="003F6F90"/>
    <w:rsid w:val="003F7905"/>
    <w:rsid w:val="003F79F0"/>
    <w:rsid w:val="0040037E"/>
    <w:rsid w:val="00400427"/>
    <w:rsid w:val="00400B22"/>
    <w:rsid w:val="00400B79"/>
    <w:rsid w:val="0040147B"/>
    <w:rsid w:val="004018A4"/>
    <w:rsid w:val="00401C1B"/>
    <w:rsid w:val="004023B9"/>
    <w:rsid w:val="00402C2B"/>
    <w:rsid w:val="00402F9E"/>
    <w:rsid w:val="004030AA"/>
    <w:rsid w:val="004030DA"/>
    <w:rsid w:val="004033A3"/>
    <w:rsid w:val="00403591"/>
    <w:rsid w:val="00403C61"/>
    <w:rsid w:val="00403EC6"/>
    <w:rsid w:val="0040456F"/>
    <w:rsid w:val="00404B80"/>
    <w:rsid w:val="00405040"/>
    <w:rsid w:val="00405704"/>
    <w:rsid w:val="00405C27"/>
    <w:rsid w:val="0040628A"/>
    <w:rsid w:val="004068DB"/>
    <w:rsid w:val="00406F1D"/>
    <w:rsid w:val="00407A3E"/>
    <w:rsid w:val="00407E12"/>
    <w:rsid w:val="0041018F"/>
    <w:rsid w:val="0041038C"/>
    <w:rsid w:val="00410702"/>
    <w:rsid w:val="004108B7"/>
    <w:rsid w:val="00410CD8"/>
    <w:rsid w:val="00410D8B"/>
    <w:rsid w:val="00410E17"/>
    <w:rsid w:val="00411401"/>
    <w:rsid w:val="00411566"/>
    <w:rsid w:val="00411E14"/>
    <w:rsid w:val="004123C4"/>
    <w:rsid w:val="00412845"/>
    <w:rsid w:val="00412CF0"/>
    <w:rsid w:val="00412D55"/>
    <w:rsid w:val="00412E48"/>
    <w:rsid w:val="00413453"/>
    <w:rsid w:val="00413E33"/>
    <w:rsid w:val="00413FE8"/>
    <w:rsid w:val="0041460B"/>
    <w:rsid w:val="004149DB"/>
    <w:rsid w:val="00415E6A"/>
    <w:rsid w:val="00415FED"/>
    <w:rsid w:val="00416386"/>
    <w:rsid w:val="00416ABF"/>
    <w:rsid w:val="00416DB3"/>
    <w:rsid w:val="0041708C"/>
    <w:rsid w:val="00417239"/>
    <w:rsid w:val="004177CE"/>
    <w:rsid w:val="004178C5"/>
    <w:rsid w:val="00420333"/>
    <w:rsid w:val="0042044D"/>
    <w:rsid w:val="004204DC"/>
    <w:rsid w:val="00420F65"/>
    <w:rsid w:val="00421014"/>
    <w:rsid w:val="004210D2"/>
    <w:rsid w:val="004211FF"/>
    <w:rsid w:val="00421457"/>
    <w:rsid w:val="004216A1"/>
    <w:rsid w:val="00422EF0"/>
    <w:rsid w:val="0042312F"/>
    <w:rsid w:val="0042345D"/>
    <w:rsid w:val="004234B3"/>
    <w:rsid w:val="00423B69"/>
    <w:rsid w:val="00423D16"/>
    <w:rsid w:val="004240C8"/>
    <w:rsid w:val="00424B79"/>
    <w:rsid w:val="00425103"/>
    <w:rsid w:val="00425152"/>
    <w:rsid w:val="0042569C"/>
    <w:rsid w:val="004258B7"/>
    <w:rsid w:val="00425A18"/>
    <w:rsid w:val="00425C2B"/>
    <w:rsid w:val="004261BE"/>
    <w:rsid w:val="00426318"/>
    <w:rsid w:val="0042632B"/>
    <w:rsid w:val="004267EA"/>
    <w:rsid w:val="004271D3"/>
    <w:rsid w:val="00427401"/>
    <w:rsid w:val="004276B7"/>
    <w:rsid w:val="00427DF3"/>
    <w:rsid w:val="00430038"/>
    <w:rsid w:val="00430219"/>
    <w:rsid w:val="004303A8"/>
    <w:rsid w:val="00430545"/>
    <w:rsid w:val="00430595"/>
    <w:rsid w:val="00430B89"/>
    <w:rsid w:val="00430E6D"/>
    <w:rsid w:val="00431260"/>
    <w:rsid w:val="0043170E"/>
    <w:rsid w:val="004317D2"/>
    <w:rsid w:val="00431A6C"/>
    <w:rsid w:val="00432E46"/>
    <w:rsid w:val="00433B33"/>
    <w:rsid w:val="00433BA6"/>
    <w:rsid w:val="0043423B"/>
    <w:rsid w:val="00434698"/>
    <w:rsid w:val="00434760"/>
    <w:rsid w:val="00434A6B"/>
    <w:rsid w:val="00435027"/>
    <w:rsid w:val="004354F1"/>
    <w:rsid w:val="0043574D"/>
    <w:rsid w:val="00435BBC"/>
    <w:rsid w:val="00435D05"/>
    <w:rsid w:val="00435D86"/>
    <w:rsid w:val="00436180"/>
    <w:rsid w:val="0043647B"/>
    <w:rsid w:val="00436BA0"/>
    <w:rsid w:val="00436C7E"/>
    <w:rsid w:val="00436F87"/>
    <w:rsid w:val="00437057"/>
    <w:rsid w:val="00437525"/>
    <w:rsid w:val="004378EC"/>
    <w:rsid w:val="0044065F"/>
    <w:rsid w:val="0044081E"/>
    <w:rsid w:val="00441029"/>
    <w:rsid w:val="004411AC"/>
    <w:rsid w:val="004413C9"/>
    <w:rsid w:val="0044175F"/>
    <w:rsid w:val="00441B11"/>
    <w:rsid w:val="00441B6E"/>
    <w:rsid w:val="00441D9B"/>
    <w:rsid w:val="00441FD5"/>
    <w:rsid w:val="0044230E"/>
    <w:rsid w:val="004423CD"/>
    <w:rsid w:val="0044241A"/>
    <w:rsid w:val="00442421"/>
    <w:rsid w:val="00442993"/>
    <w:rsid w:val="00442C91"/>
    <w:rsid w:val="00442DF1"/>
    <w:rsid w:val="00442F0F"/>
    <w:rsid w:val="0044305E"/>
    <w:rsid w:val="004437D6"/>
    <w:rsid w:val="00443900"/>
    <w:rsid w:val="00443F5C"/>
    <w:rsid w:val="00444218"/>
    <w:rsid w:val="00444B41"/>
    <w:rsid w:val="00444D89"/>
    <w:rsid w:val="00445067"/>
    <w:rsid w:val="0044508D"/>
    <w:rsid w:val="00445166"/>
    <w:rsid w:val="004451D0"/>
    <w:rsid w:val="0044523B"/>
    <w:rsid w:val="00445A66"/>
    <w:rsid w:val="004467A9"/>
    <w:rsid w:val="00446995"/>
    <w:rsid w:val="00446BFB"/>
    <w:rsid w:val="00446DBA"/>
    <w:rsid w:val="00446DFD"/>
    <w:rsid w:val="0044789B"/>
    <w:rsid w:val="00447BD2"/>
    <w:rsid w:val="00450354"/>
    <w:rsid w:val="00450486"/>
    <w:rsid w:val="004505F2"/>
    <w:rsid w:val="00450AAF"/>
    <w:rsid w:val="00450B81"/>
    <w:rsid w:val="00450D19"/>
    <w:rsid w:val="00450D27"/>
    <w:rsid w:val="00450DBB"/>
    <w:rsid w:val="00450FB7"/>
    <w:rsid w:val="00450FE5"/>
    <w:rsid w:val="004512E1"/>
    <w:rsid w:val="004515F9"/>
    <w:rsid w:val="00452686"/>
    <w:rsid w:val="00452B02"/>
    <w:rsid w:val="00452B04"/>
    <w:rsid w:val="00452E8E"/>
    <w:rsid w:val="00452F4D"/>
    <w:rsid w:val="00452FA0"/>
    <w:rsid w:val="004531E4"/>
    <w:rsid w:val="00453D52"/>
    <w:rsid w:val="00453E03"/>
    <w:rsid w:val="0045415E"/>
    <w:rsid w:val="004543F7"/>
    <w:rsid w:val="00454602"/>
    <w:rsid w:val="004547D5"/>
    <w:rsid w:val="00454B38"/>
    <w:rsid w:val="00454CBC"/>
    <w:rsid w:val="00454DF8"/>
    <w:rsid w:val="00455088"/>
    <w:rsid w:val="0045512D"/>
    <w:rsid w:val="00455292"/>
    <w:rsid w:val="004553B6"/>
    <w:rsid w:val="00455419"/>
    <w:rsid w:val="00455AB1"/>
    <w:rsid w:val="00455DA3"/>
    <w:rsid w:val="00455E7E"/>
    <w:rsid w:val="0045655F"/>
    <w:rsid w:val="00456F71"/>
    <w:rsid w:val="00457077"/>
    <w:rsid w:val="0045721C"/>
    <w:rsid w:val="0045723C"/>
    <w:rsid w:val="00457261"/>
    <w:rsid w:val="00457BE1"/>
    <w:rsid w:val="00457DE2"/>
    <w:rsid w:val="00460037"/>
    <w:rsid w:val="00460512"/>
    <w:rsid w:val="004608B2"/>
    <w:rsid w:val="00460983"/>
    <w:rsid w:val="00460ABE"/>
    <w:rsid w:val="00460AE4"/>
    <w:rsid w:val="00461798"/>
    <w:rsid w:val="00461ED8"/>
    <w:rsid w:val="00462587"/>
    <w:rsid w:val="0046285A"/>
    <w:rsid w:val="00462950"/>
    <w:rsid w:val="004629A6"/>
    <w:rsid w:val="00462F0E"/>
    <w:rsid w:val="00463AC2"/>
    <w:rsid w:val="00463B70"/>
    <w:rsid w:val="00463BB7"/>
    <w:rsid w:val="004641D0"/>
    <w:rsid w:val="00464246"/>
    <w:rsid w:val="004644F3"/>
    <w:rsid w:val="0046466D"/>
    <w:rsid w:val="004646B2"/>
    <w:rsid w:val="004648D1"/>
    <w:rsid w:val="00464D81"/>
    <w:rsid w:val="00464D97"/>
    <w:rsid w:val="004655EE"/>
    <w:rsid w:val="0046644C"/>
    <w:rsid w:val="0046660A"/>
    <w:rsid w:val="004668DC"/>
    <w:rsid w:val="00466ABD"/>
    <w:rsid w:val="00467331"/>
    <w:rsid w:val="00467ED4"/>
    <w:rsid w:val="004702AA"/>
    <w:rsid w:val="00470CA5"/>
    <w:rsid w:val="00470E81"/>
    <w:rsid w:val="00471131"/>
    <w:rsid w:val="004716C0"/>
    <w:rsid w:val="00471887"/>
    <w:rsid w:val="00471A1D"/>
    <w:rsid w:val="0047224C"/>
    <w:rsid w:val="00472829"/>
    <w:rsid w:val="00472A00"/>
    <w:rsid w:val="00472F8B"/>
    <w:rsid w:val="004734CD"/>
    <w:rsid w:val="004734F2"/>
    <w:rsid w:val="0047386D"/>
    <w:rsid w:val="00473A6A"/>
    <w:rsid w:val="00473BAD"/>
    <w:rsid w:val="00473EF3"/>
    <w:rsid w:val="004747B0"/>
    <w:rsid w:val="00474B27"/>
    <w:rsid w:val="00474C99"/>
    <w:rsid w:val="004755B4"/>
    <w:rsid w:val="00475602"/>
    <w:rsid w:val="00475B2C"/>
    <w:rsid w:val="00476AA8"/>
    <w:rsid w:val="00476FCF"/>
    <w:rsid w:val="00477187"/>
    <w:rsid w:val="004771C3"/>
    <w:rsid w:val="004772A3"/>
    <w:rsid w:val="00477421"/>
    <w:rsid w:val="00477496"/>
    <w:rsid w:val="00477D0A"/>
    <w:rsid w:val="00477EE3"/>
    <w:rsid w:val="00480027"/>
    <w:rsid w:val="00480B86"/>
    <w:rsid w:val="00480C0E"/>
    <w:rsid w:val="00480D46"/>
    <w:rsid w:val="004817A7"/>
    <w:rsid w:val="00481877"/>
    <w:rsid w:val="00481C2E"/>
    <w:rsid w:val="004822BE"/>
    <w:rsid w:val="004825BB"/>
    <w:rsid w:val="00482768"/>
    <w:rsid w:val="00482C50"/>
    <w:rsid w:val="004830E7"/>
    <w:rsid w:val="00483657"/>
    <w:rsid w:val="00483ACB"/>
    <w:rsid w:val="00483F98"/>
    <w:rsid w:val="004840BB"/>
    <w:rsid w:val="004843AA"/>
    <w:rsid w:val="0048454D"/>
    <w:rsid w:val="0048483B"/>
    <w:rsid w:val="00484998"/>
    <w:rsid w:val="00484BD5"/>
    <w:rsid w:val="00484C11"/>
    <w:rsid w:val="00484E55"/>
    <w:rsid w:val="00485062"/>
    <w:rsid w:val="00485152"/>
    <w:rsid w:val="00485A55"/>
    <w:rsid w:val="004861D1"/>
    <w:rsid w:val="00486228"/>
    <w:rsid w:val="00486249"/>
    <w:rsid w:val="00486E16"/>
    <w:rsid w:val="00486F09"/>
    <w:rsid w:val="0048754F"/>
    <w:rsid w:val="00487CB8"/>
    <w:rsid w:val="00487F06"/>
    <w:rsid w:val="004900D9"/>
    <w:rsid w:val="0049048E"/>
    <w:rsid w:val="0049065D"/>
    <w:rsid w:val="00490839"/>
    <w:rsid w:val="0049089D"/>
    <w:rsid w:val="00490FFF"/>
    <w:rsid w:val="00491151"/>
    <w:rsid w:val="004914B1"/>
    <w:rsid w:val="004915C0"/>
    <w:rsid w:val="004918BC"/>
    <w:rsid w:val="00491C3E"/>
    <w:rsid w:val="00491C49"/>
    <w:rsid w:val="00491E0F"/>
    <w:rsid w:val="0049222C"/>
    <w:rsid w:val="004923ED"/>
    <w:rsid w:val="004923FD"/>
    <w:rsid w:val="00492505"/>
    <w:rsid w:val="00492673"/>
    <w:rsid w:val="00492CC5"/>
    <w:rsid w:val="00492CDF"/>
    <w:rsid w:val="00492DD5"/>
    <w:rsid w:val="00492E0C"/>
    <w:rsid w:val="004932C0"/>
    <w:rsid w:val="00493516"/>
    <w:rsid w:val="00493673"/>
    <w:rsid w:val="00493B43"/>
    <w:rsid w:val="00494472"/>
    <w:rsid w:val="00494581"/>
    <w:rsid w:val="004946F7"/>
    <w:rsid w:val="0049490E"/>
    <w:rsid w:val="00494AC0"/>
    <w:rsid w:val="00494B57"/>
    <w:rsid w:val="00494BDC"/>
    <w:rsid w:val="004950BC"/>
    <w:rsid w:val="004957D8"/>
    <w:rsid w:val="004961D6"/>
    <w:rsid w:val="004964D5"/>
    <w:rsid w:val="00496983"/>
    <w:rsid w:val="004973A2"/>
    <w:rsid w:val="004975C8"/>
    <w:rsid w:val="00497713"/>
    <w:rsid w:val="00497779"/>
    <w:rsid w:val="00497820"/>
    <w:rsid w:val="0049796E"/>
    <w:rsid w:val="00497D67"/>
    <w:rsid w:val="004A00B3"/>
    <w:rsid w:val="004A0488"/>
    <w:rsid w:val="004A048D"/>
    <w:rsid w:val="004A0649"/>
    <w:rsid w:val="004A0F2C"/>
    <w:rsid w:val="004A0F55"/>
    <w:rsid w:val="004A1044"/>
    <w:rsid w:val="004A1838"/>
    <w:rsid w:val="004A1883"/>
    <w:rsid w:val="004A1C2A"/>
    <w:rsid w:val="004A1F5F"/>
    <w:rsid w:val="004A20DB"/>
    <w:rsid w:val="004A21DB"/>
    <w:rsid w:val="004A231C"/>
    <w:rsid w:val="004A245F"/>
    <w:rsid w:val="004A247C"/>
    <w:rsid w:val="004A28EB"/>
    <w:rsid w:val="004A2926"/>
    <w:rsid w:val="004A2930"/>
    <w:rsid w:val="004A2A94"/>
    <w:rsid w:val="004A2D83"/>
    <w:rsid w:val="004A2DAB"/>
    <w:rsid w:val="004A306E"/>
    <w:rsid w:val="004A3B2F"/>
    <w:rsid w:val="004A3E99"/>
    <w:rsid w:val="004A43BF"/>
    <w:rsid w:val="004A44CD"/>
    <w:rsid w:val="004A4A0A"/>
    <w:rsid w:val="004A4FC4"/>
    <w:rsid w:val="004A549F"/>
    <w:rsid w:val="004A623B"/>
    <w:rsid w:val="004A6457"/>
    <w:rsid w:val="004A69A9"/>
    <w:rsid w:val="004A6C90"/>
    <w:rsid w:val="004A6D87"/>
    <w:rsid w:val="004A6E6D"/>
    <w:rsid w:val="004A70F9"/>
    <w:rsid w:val="004A7C5A"/>
    <w:rsid w:val="004A7C9B"/>
    <w:rsid w:val="004A7D15"/>
    <w:rsid w:val="004A7EF3"/>
    <w:rsid w:val="004B016A"/>
    <w:rsid w:val="004B08B6"/>
    <w:rsid w:val="004B0F52"/>
    <w:rsid w:val="004B0FBF"/>
    <w:rsid w:val="004B15E0"/>
    <w:rsid w:val="004B1851"/>
    <w:rsid w:val="004B1CF6"/>
    <w:rsid w:val="004B2462"/>
    <w:rsid w:val="004B24EF"/>
    <w:rsid w:val="004B2594"/>
    <w:rsid w:val="004B2AB0"/>
    <w:rsid w:val="004B2DC4"/>
    <w:rsid w:val="004B30FF"/>
    <w:rsid w:val="004B3260"/>
    <w:rsid w:val="004B3525"/>
    <w:rsid w:val="004B3ACE"/>
    <w:rsid w:val="004B3F42"/>
    <w:rsid w:val="004B3F4E"/>
    <w:rsid w:val="004B4404"/>
    <w:rsid w:val="004B4ACA"/>
    <w:rsid w:val="004B5ADB"/>
    <w:rsid w:val="004B650F"/>
    <w:rsid w:val="004B6892"/>
    <w:rsid w:val="004B6A10"/>
    <w:rsid w:val="004B6B60"/>
    <w:rsid w:val="004B6E5F"/>
    <w:rsid w:val="004B7082"/>
    <w:rsid w:val="004B7716"/>
    <w:rsid w:val="004B77AB"/>
    <w:rsid w:val="004B7852"/>
    <w:rsid w:val="004B7B59"/>
    <w:rsid w:val="004B7E22"/>
    <w:rsid w:val="004C06AF"/>
    <w:rsid w:val="004C0DFB"/>
    <w:rsid w:val="004C0F25"/>
    <w:rsid w:val="004C103A"/>
    <w:rsid w:val="004C1454"/>
    <w:rsid w:val="004C1C27"/>
    <w:rsid w:val="004C2369"/>
    <w:rsid w:val="004C242B"/>
    <w:rsid w:val="004C246F"/>
    <w:rsid w:val="004C2593"/>
    <w:rsid w:val="004C26AA"/>
    <w:rsid w:val="004C28DE"/>
    <w:rsid w:val="004C2ED0"/>
    <w:rsid w:val="004C3111"/>
    <w:rsid w:val="004C31F3"/>
    <w:rsid w:val="004C3354"/>
    <w:rsid w:val="004C3673"/>
    <w:rsid w:val="004C3936"/>
    <w:rsid w:val="004C3DC4"/>
    <w:rsid w:val="004C3F8C"/>
    <w:rsid w:val="004C4572"/>
    <w:rsid w:val="004C4746"/>
    <w:rsid w:val="004C4786"/>
    <w:rsid w:val="004C4FDC"/>
    <w:rsid w:val="004C559F"/>
    <w:rsid w:val="004C6469"/>
    <w:rsid w:val="004C663D"/>
    <w:rsid w:val="004C66CC"/>
    <w:rsid w:val="004C6CEB"/>
    <w:rsid w:val="004C70A5"/>
    <w:rsid w:val="004C73A2"/>
    <w:rsid w:val="004C76BD"/>
    <w:rsid w:val="004D00CD"/>
    <w:rsid w:val="004D029B"/>
    <w:rsid w:val="004D031B"/>
    <w:rsid w:val="004D040F"/>
    <w:rsid w:val="004D06D2"/>
    <w:rsid w:val="004D08DF"/>
    <w:rsid w:val="004D09B6"/>
    <w:rsid w:val="004D0BED"/>
    <w:rsid w:val="004D0CA5"/>
    <w:rsid w:val="004D0DBC"/>
    <w:rsid w:val="004D101C"/>
    <w:rsid w:val="004D1231"/>
    <w:rsid w:val="004D13FC"/>
    <w:rsid w:val="004D1477"/>
    <w:rsid w:val="004D17B6"/>
    <w:rsid w:val="004D1EDD"/>
    <w:rsid w:val="004D201E"/>
    <w:rsid w:val="004D20F0"/>
    <w:rsid w:val="004D2280"/>
    <w:rsid w:val="004D2550"/>
    <w:rsid w:val="004D2836"/>
    <w:rsid w:val="004D2FB6"/>
    <w:rsid w:val="004D38B5"/>
    <w:rsid w:val="004D38E3"/>
    <w:rsid w:val="004D3B18"/>
    <w:rsid w:val="004D3B88"/>
    <w:rsid w:val="004D3CE1"/>
    <w:rsid w:val="004D4BE3"/>
    <w:rsid w:val="004D4C4D"/>
    <w:rsid w:val="004D5293"/>
    <w:rsid w:val="004D5322"/>
    <w:rsid w:val="004D55B0"/>
    <w:rsid w:val="004D5961"/>
    <w:rsid w:val="004D5E22"/>
    <w:rsid w:val="004D5EF1"/>
    <w:rsid w:val="004D64BF"/>
    <w:rsid w:val="004D753C"/>
    <w:rsid w:val="004D769C"/>
    <w:rsid w:val="004D76E0"/>
    <w:rsid w:val="004D7867"/>
    <w:rsid w:val="004D7B44"/>
    <w:rsid w:val="004D7B9D"/>
    <w:rsid w:val="004E0499"/>
    <w:rsid w:val="004E091C"/>
    <w:rsid w:val="004E0BD4"/>
    <w:rsid w:val="004E0CD7"/>
    <w:rsid w:val="004E159D"/>
    <w:rsid w:val="004E1739"/>
    <w:rsid w:val="004E2054"/>
    <w:rsid w:val="004E2079"/>
    <w:rsid w:val="004E2299"/>
    <w:rsid w:val="004E246E"/>
    <w:rsid w:val="004E2674"/>
    <w:rsid w:val="004E2863"/>
    <w:rsid w:val="004E29ED"/>
    <w:rsid w:val="004E2AB7"/>
    <w:rsid w:val="004E2BBD"/>
    <w:rsid w:val="004E32B0"/>
    <w:rsid w:val="004E34D1"/>
    <w:rsid w:val="004E35DD"/>
    <w:rsid w:val="004E384C"/>
    <w:rsid w:val="004E3953"/>
    <w:rsid w:val="004E3982"/>
    <w:rsid w:val="004E3EDF"/>
    <w:rsid w:val="004E45FF"/>
    <w:rsid w:val="004E46BD"/>
    <w:rsid w:val="004E502A"/>
    <w:rsid w:val="004E5265"/>
    <w:rsid w:val="004E5989"/>
    <w:rsid w:val="004E5BAF"/>
    <w:rsid w:val="004E60C9"/>
    <w:rsid w:val="004E62F7"/>
    <w:rsid w:val="004E680F"/>
    <w:rsid w:val="004E6965"/>
    <w:rsid w:val="004E6FD5"/>
    <w:rsid w:val="004E717D"/>
    <w:rsid w:val="004E71B3"/>
    <w:rsid w:val="004E72F4"/>
    <w:rsid w:val="004E7856"/>
    <w:rsid w:val="004E7E57"/>
    <w:rsid w:val="004F013D"/>
    <w:rsid w:val="004F015B"/>
    <w:rsid w:val="004F0B62"/>
    <w:rsid w:val="004F1238"/>
    <w:rsid w:val="004F1B98"/>
    <w:rsid w:val="004F1E6C"/>
    <w:rsid w:val="004F204E"/>
    <w:rsid w:val="004F3DF6"/>
    <w:rsid w:val="004F3F3C"/>
    <w:rsid w:val="004F4123"/>
    <w:rsid w:val="004F4255"/>
    <w:rsid w:val="004F4B04"/>
    <w:rsid w:val="004F50A0"/>
    <w:rsid w:val="004F544D"/>
    <w:rsid w:val="004F55B8"/>
    <w:rsid w:val="004F5763"/>
    <w:rsid w:val="004F5A73"/>
    <w:rsid w:val="004F5C0C"/>
    <w:rsid w:val="004F5E04"/>
    <w:rsid w:val="004F679B"/>
    <w:rsid w:val="004F6B20"/>
    <w:rsid w:val="004F6F35"/>
    <w:rsid w:val="004F769F"/>
    <w:rsid w:val="004F7BE3"/>
    <w:rsid w:val="004F7E1D"/>
    <w:rsid w:val="00500204"/>
    <w:rsid w:val="005004D3"/>
    <w:rsid w:val="005008FA"/>
    <w:rsid w:val="00500B51"/>
    <w:rsid w:val="00500E95"/>
    <w:rsid w:val="00501075"/>
    <w:rsid w:val="0050109E"/>
    <w:rsid w:val="00501390"/>
    <w:rsid w:val="005016F0"/>
    <w:rsid w:val="005017DD"/>
    <w:rsid w:val="00501A94"/>
    <w:rsid w:val="005023B6"/>
    <w:rsid w:val="00502420"/>
    <w:rsid w:val="0050257E"/>
    <w:rsid w:val="005027C8"/>
    <w:rsid w:val="00502B1B"/>
    <w:rsid w:val="00502C27"/>
    <w:rsid w:val="00503085"/>
    <w:rsid w:val="0050326A"/>
    <w:rsid w:val="00503B23"/>
    <w:rsid w:val="00503B55"/>
    <w:rsid w:val="005045D2"/>
    <w:rsid w:val="00504721"/>
    <w:rsid w:val="00504741"/>
    <w:rsid w:val="0050476A"/>
    <w:rsid w:val="00504ED1"/>
    <w:rsid w:val="00505294"/>
    <w:rsid w:val="005059C0"/>
    <w:rsid w:val="00505C32"/>
    <w:rsid w:val="00505D9E"/>
    <w:rsid w:val="00505DC2"/>
    <w:rsid w:val="0050639B"/>
    <w:rsid w:val="00506793"/>
    <w:rsid w:val="00506CF2"/>
    <w:rsid w:val="00506EA7"/>
    <w:rsid w:val="00506F13"/>
    <w:rsid w:val="00507181"/>
    <w:rsid w:val="005074DB"/>
    <w:rsid w:val="005075F5"/>
    <w:rsid w:val="00507818"/>
    <w:rsid w:val="005078F8"/>
    <w:rsid w:val="00507B9D"/>
    <w:rsid w:val="00507BFA"/>
    <w:rsid w:val="00507E0B"/>
    <w:rsid w:val="00510147"/>
    <w:rsid w:val="00510489"/>
    <w:rsid w:val="00510FDD"/>
    <w:rsid w:val="0051141D"/>
    <w:rsid w:val="005114C9"/>
    <w:rsid w:val="00511581"/>
    <w:rsid w:val="00511A2B"/>
    <w:rsid w:val="00511C38"/>
    <w:rsid w:val="00512209"/>
    <w:rsid w:val="00512247"/>
    <w:rsid w:val="005125B0"/>
    <w:rsid w:val="0051269B"/>
    <w:rsid w:val="005126E3"/>
    <w:rsid w:val="00512A66"/>
    <w:rsid w:val="00513137"/>
    <w:rsid w:val="00513658"/>
    <w:rsid w:val="0051474F"/>
    <w:rsid w:val="005147D9"/>
    <w:rsid w:val="00514B45"/>
    <w:rsid w:val="00515047"/>
    <w:rsid w:val="0051525A"/>
    <w:rsid w:val="00515351"/>
    <w:rsid w:val="005153B7"/>
    <w:rsid w:val="005156A0"/>
    <w:rsid w:val="00515BE1"/>
    <w:rsid w:val="005166DC"/>
    <w:rsid w:val="0051678D"/>
    <w:rsid w:val="005168E3"/>
    <w:rsid w:val="00516A13"/>
    <w:rsid w:val="00516B0F"/>
    <w:rsid w:val="0051738B"/>
    <w:rsid w:val="00517423"/>
    <w:rsid w:val="0051761D"/>
    <w:rsid w:val="00517BD4"/>
    <w:rsid w:val="00520945"/>
    <w:rsid w:val="00520A10"/>
    <w:rsid w:val="00520A77"/>
    <w:rsid w:val="00520E77"/>
    <w:rsid w:val="00520FE7"/>
    <w:rsid w:val="00521552"/>
    <w:rsid w:val="00521769"/>
    <w:rsid w:val="00521A0A"/>
    <w:rsid w:val="00521CDD"/>
    <w:rsid w:val="00521D4E"/>
    <w:rsid w:val="00522828"/>
    <w:rsid w:val="00522881"/>
    <w:rsid w:val="00522929"/>
    <w:rsid w:val="00522B10"/>
    <w:rsid w:val="00523011"/>
    <w:rsid w:val="005230B1"/>
    <w:rsid w:val="00523E41"/>
    <w:rsid w:val="005240FA"/>
    <w:rsid w:val="00524457"/>
    <w:rsid w:val="005244BE"/>
    <w:rsid w:val="005244C4"/>
    <w:rsid w:val="005246AF"/>
    <w:rsid w:val="005246D9"/>
    <w:rsid w:val="00524B02"/>
    <w:rsid w:val="00524B44"/>
    <w:rsid w:val="00524E9F"/>
    <w:rsid w:val="00524F10"/>
    <w:rsid w:val="00525100"/>
    <w:rsid w:val="00525442"/>
    <w:rsid w:val="00525530"/>
    <w:rsid w:val="00525D9A"/>
    <w:rsid w:val="005263AA"/>
    <w:rsid w:val="0052641A"/>
    <w:rsid w:val="005265F0"/>
    <w:rsid w:val="005269D6"/>
    <w:rsid w:val="00526E96"/>
    <w:rsid w:val="005271B5"/>
    <w:rsid w:val="00527A59"/>
    <w:rsid w:val="00531334"/>
    <w:rsid w:val="0053159D"/>
    <w:rsid w:val="00531C3D"/>
    <w:rsid w:val="0053200F"/>
    <w:rsid w:val="005327D3"/>
    <w:rsid w:val="00532A29"/>
    <w:rsid w:val="00532D3D"/>
    <w:rsid w:val="005331C5"/>
    <w:rsid w:val="00533251"/>
    <w:rsid w:val="00533338"/>
    <w:rsid w:val="00533ED0"/>
    <w:rsid w:val="00534028"/>
    <w:rsid w:val="005340E8"/>
    <w:rsid w:val="00534413"/>
    <w:rsid w:val="00534752"/>
    <w:rsid w:val="005357C0"/>
    <w:rsid w:val="00535E03"/>
    <w:rsid w:val="00536903"/>
    <w:rsid w:val="00536A93"/>
    <w:rsid w:val="00536C0C"/>
    <w:rsid w:val="00537835"/>
    <w:rsid w:val="00537906"/>
    <w:rsid w:val="005379A9"/>
    <w:rsid w:val="00540169"/>
    <w:rsid w:val="0054031F"/>
    <w:rsid w:val="0054054A"/>
    <w:rsid w:val="005405EC"/>
    <w:rsid w:val="00540D5E"/>
    <w:rsid w:val="0054106C"/>
    <w:rsid w:val="0054112C"/>
    <w:rsid w:val="00541B6B"/>
    <w:rsid w:val="00541CA7"/>
    <w:rsid w:val="0054235C"/>
    <w:rsid w:val="0054261A"/>
    <w:rsid w:val="00543D1F"/>
    <w:rsid w:val="00543D50"/>
    <w:rsid w:val="00543DB0"/>
    <w:rsid w:val="00543E24"/>
    <w:rsid w:val="00544222"/>
    <w:rsid w:val="00544584"/>
    <w:rsid w:val="00544B2A"/>
    <w:rsid w:val="00544D04"/>
    <w:rsid w:val="00544EEC"/>
    <w:rsid w:val="00545507"/>
    <w:rsid w:val="00545527"/>
    <w:rsid w:val="00545542"/>
    <w:rsid w:val="005455DF"/>
    <w:rsid w:val="00545763"/>
    <w:rsid w:val="005459E6"/>
    <w:rsid w:val="00546860"/>
    <w:rsid w:val="005468D3"/>
    <w:rsid w:val="0054692A"/>
    <w:rsid w:val="0054775A"/>
    <w:rsid w:val="00547935"/>
    <w:rsid w:val="00547A41"/>
    <w:rsid w:val="00547BF0"/>
    <w:rsid w:val="00547EC0"/>
    <w:rsid w:val="00550474"/>
    <w:rsid w:val="005505D9"/>
    <w:rsid w:val="00550650"/>
    <w:rsid w:val="005506C0"/>
    <w:rsid w:val="005508F1"/>
    <w:rsid w:val="005510A4"/>
    <w:rsid w:val="005511BA"/>
    <w:rsid w:val="005514FE"/>
    <w:rsid w:val="005517B8"/>
    <w:rsid w:val="00551E44"/>
    <w:rsid w:val="00551E45"/>
    <w:rsid w:val="00551EE7"/>
    <w:rsid w:val="00552512"/>
    <w:rsid w:val="00552576"/>
    <w:rsid w:val="005528CB"/>
    <w:rsid w:val="00552B84"/>
    <w:rsid w:val="00552E29"/>
    <w:rsid w:val="00552F8A"/>
    <w:rsid w:val="00553374"/>
    <w:rsid w:val="00553389"/>
    <w:rsid w:val="005533E9"/>
    <w:rsid w:val="0055355C"/>
    <w:rsid w:val="005546D3"/>
    <w:rsid w:val="00554F69"/>
    <w:rsid w:val="00555031"/>
    <w:rsid w:val="00555489"/>
    <w:rsid w:val="00555859"/>
    <w:rsid w:val="00555D82"/>
    <w:rsid w:val="005564A5"/>
    <w:rsid w:val="0055651F"/>
    <w:rsid w:val="005567AC"/>
    <w:rsid w:val="005568B2"/>
    <w:rsid w:val="005568FA"/>
    <w:rsid w:val="00556D7D"/>
    <w:rsid w:val="00556E5C"/>
    <w:rsid w:val="00556EA5"/>
    <w:rsid w:val="00556F25"/>
    <w:rsid w:val="0056049A"/>
    <w:rsid w:val="00560D2F"/>
    <w:rsid w:val="005612B3"/>
    <w:rsid w:val="0056130C"/>
    <w:rsid w:val="00561310"/>
    <w:rsid w:val="00561338"/>
    <w:rsid w:val="00561E81"/>
    <w:rsid w:val="00561FFA"/>
    <w:rsid w:val="005626D8"/>
    <w:rsid w:val="005629C1"/>
    <w:rsid w:val="00563344"/>
    <w:rsid w:val="00563ADA"/>
    <w:rsid w:val="00563B98"/>
    <w:rsid w:val="00563B9B"/>
    <w:rsid w:val="00563BF9"/>
    <w:rsid w:val="005640EC"/>
    <w:rsid w:val="0056437F"/>
    <w:rsid w:val="005654A6"/>
    <w:rsid w:val="005658FA"/>
    <w:rsid w:val="00565C92"/>
    <w:rsid w:val="00565D63"/>
    <w:rsid w:val="0056657C"/>
    <w:rsid w:val="005665F5"/>
    <w:rsid w:val="0056694B"/>
    <w:rsid w:val="00566A2F"/>
    <w:rsid w:val="00566F14"/>
    <w:rsid w:val="005670A4"/>
    <w:rsid w:val="0056781B"/>
    <w:rsid w:val="005679BC"/>
    <w:rsid w:val="00567CFB"/>
    <w:rsid w:val="00567D5A"/>
    <w:rsid w:val="00567DB5"/>
    <w:rsid w:val="00567E16"/>
    <w:rsid w:val="0057014C"/>
    <w:rsid w:val="00570177"/>
    <w:rsid w:val="00570428"/>
    <w:rsid w:val="00570555"/>
    <w:rsid w:val="00570818"/>
    <w:rsid w:val="00570AA5"/>
    <w:rsid w:val="00570C1E"/>
    <w:rsid w:val="00570D08"/>
    <w:rsid w:val="00570FAE"/>
    <w:rsid w:val="00571BC1"/>
    <w:rsid w:val="00571CD9"/>
    <w:rsid w:val="00572786"/>
    <w:rsid w:val="00572BF5"/>
    <w:rsid w:val="00572C95"/>
    <w:rsid w:val="00572E1D"/>
    <w:rsid w:val="00572EB5"/>
    <w:rsid w:val="0057370F"/>
    <w:rsid w:val="00573723"/>
    <w:rsid w:val="005738CB"/>
    <w:rsid w:val="00573A41"/>
    <w:rsid w:val="00573ADC"/>
    <w:rsid w:val="00573D9F"/>
    <w:rsid w:val="00573F9A"/>
    <w:rsid w:val="00574008"/>
    <w:rsid w:val="00574726"/>
    <w:rsid w:val="00574CFE"/>
    <w:rsid w:val="00575203"/>
    <w:rsid w:val="00575672"/>
    <w:rsid w:val="005759A2"/>
    <w:rsid w:val="00575C96"/>
    <w:rsid w:val="00575CC3"/>
    <w:rsid w:val="00575D16"/>
    <w:rsid w:val="005762D9"/>
    <w:rsid w:val="0057656D"/>
    <w:rsid w:val="0057658C"/>
    <w:rsid w:val="00576DEE"/>
    <w:rsid w:val="00576FF0"/>
    <w:rsid w:val="005775B9"/>
    <w:rsid w:val="005778FC"/>
    <w:rsid w:val="00577918"/>
    <w:rsid w:val="00577A06"/>
    <w:rsid w:val="0058014C"/>
    <w:rsid w:val="00580255"/>
    <w:rsid w:val="005802D5"/>
    <w:rsid w:val="0058034F"/>
    <w:rsid w:val="0058069D"/>
    <w:rsid w:val="00580721"/>
    <w:rsid w:val="005809B7"/>
    <w:rsid w:val="00580B5E"/>
    <w:rsid w:val="00580BEC"/>
    <w:rsid w:val="00580E6B"/>
    <w:rsid w:val="00580F64"/>
    <w:rsid w:val="00580F9E"/>
    <w:rsid w:val="00581002"/>
    <w:rsid w:val="0058119D"/>
    <w:rsid w:val="0058151B"/>
    <w:rsid w:val="005817F5"/>
    <w:rsid w:val="00581936"/>
    <w:rsid w:val="0058197A"/>
    <w:rsid w:val="00581AAA"/>
    <w:rsid w:val="00581FD6"/>
    <w:rsid w:val="00582192"/>
    <w:rsid w:val="0058229C"/>
    <w:rsid w:val="00582656"/>
    <w:rsid w:val="005827F6"/>
    <w:rsid w:val="00582A47"/>
    <w:rsid w:val="0058303C"/>
    <w:rsid w:val="005834CC"/>
    <w:rsid w:val="00584027"/>
    <w:rsid w:val="0058469F"/>
    <w:rsid w:val="00584A6D"/>
    <w:rsid w:val="00584E73"/>
    <w:rsid w:val="005851B3"/>
    <w:rsid w:val="005851E5"/>
    <w:rsid w:val="00585BF7"/>
    <w:rsid w:val="00585D3D"/>
    <w:rsid w:val="00585DCC"/>
    <w:rsid w:val="005865DD"/>
    <w:rsid w:val="005867D6"/>
    <w:rsid w:val="0058683C"/>
    <w:rsid w:val="00586A51"/>
    <w:rsid w:val="00586A52"/>
    <w:rsid w:val="00586AB2"/>
    <w:rsid w:val="00587469"/>
    <w:rsid w:val="00587DC1"/>
    <w:rsid w:val="0059005C"/>
    <w:rsid w:val="0059034D"/>
    <w:rsid w:val="00590820"/>
    <w:rsid w:val="00590F95"/>
    <w:rsid w:val="00591435"/>
    <w:rsid w:val="0059179B"/>
    <w:rsid w:val="00591985"/>
    <w:rsid w:val="00592069"/>
    <w:rsid w:val="005921FC"/>
    <w:rsid w:val="00592294"/>
    <w:rsid w:val="00592376"/>
    <w:rsid w:val="00592AD2"/>
    <w:rsid w:val="00592B8E"/>
    <w:rsid w:val="00592E1A"/>
    <w:rsid w:val="00592EE9"/>
    <w:rsid w:val="005930C7"/>
    <w:rsid w:val="005930F2"/>
    <w:rsid w:val="00593467"/>
    <w:rsid w:val="00593760"/>
    <w:rsid w:val="00593A5B"/>
    <w:rsid w:val="00593D8B"/>
    <w:rsid w:val="00593D8C"/>
    <w:rsid w:val="00593E7F"/>
    <w:rsid w:val="005943E6"/>
    <w:rsid w:val="0059471C"/>
    <w:rsid w:val="005949B7"/>
    <w:rsid w:val="00594B57"/>
    <w:rsid w:val="00594C6A"/>
    <w:rsid w:val="005952E9"/>
    <w:rsid w:val="00595522"/>
    <w:rsid w:val="00595C18"/>
    <w:rsid w:val="0059649D"/>
    <w:rsid w:val="005966C2"/>
    <w:rsid w:val="0059693B"/>
    <w:rsid w:val="00596CE1"/>
    <w:rsid w:val="00596D64"/>
    <w:rsid w:val="00596F13"/>
    <w:rsid w:val="0059719B"/>
    <w:rsid w:val="005971F7"/>
    <w:rsid w:val="005979C4"/>
    <w:rsid w:val="00597AC8"/>
    <w:rsid w:val="005A0120"/>
    <w:rsid w:val="005A0235"/>
    <w:rsid w:val="005A0AB1"/>
    <w:rsid w:val="005A1C5F"/>
    <w:rsid w:val="005A1D49"/>
    <w:rsid w:val="005A2643"/>
    <w:rsid w:val="005A271C"/>
    <w:rsid w:val="005A2DAD"/>
    <w:rsid w:val="005A318B"/>
    <w:rsid w:val="005A32A3"/>
    <w:rsid w:val="005A3B0D"/>
    <w:rsid w:val="005A404A"/>
    <w:rsid w:val="005A43EC"/>
    <w:rsid w:val="005A4423"/>
    <w:rsid w:val="005A45DE"/>
    <w:rsid w:val="005A49F6"/>
    <w:rsid w:val="005A4F44"/>
    <w:rsid w:val="005A56B5"/>
    <w:rsid w:val="005A5904"/>
    <w:rsid w:val="005A5B94"/>
    <w:rsid w:val="005A5CFC"/>
    <w:rsid w:val="005A5F00"/>
    <w:rsid w:val="005A620E"/>
    <w:rsid w:val="005A6210"/>
    <w:rsid w:val="005A6462"/>
    <w:rsid w:val="005A65A2"/>
    <w:rsid w:val="005A6907"/>
    <w:rsid w:val="005A6A58"/>
    <w:rsid w:val="005A7026"/>
    <w:rsid w:val="005A74AC"/>
    <w:rsid w:val="005A7652"/>
    <w:rsid w:val="005B00A6"/>
    <w:rsid w:val="005B02BD"/>
    <w:rsid w:val="005B08AD"/>
    <w:rsid w:val="005B09AE"/>
    <w:rsid w:val="005B0CB2"/>
    <w:rsid w:val="005B0FA5"/>
    <w:rsid w:val="005B12B3"/>
    <w:rsid w:val="005B12EE"/>
    <w:rsid w:val="005B138F"/>
    <w:rsid w:val="005B1C38"/>
    <w:rsid w:val="005B2468"/>
    <w:rsid w:val="005B338F"/>
    <w:rsid w:val="005B41A8"/>
    <w:rsid w:val="005B4253"/>
    <w:rsid w:val="005B47E2"/>
    <w:rsid w:val="005B486B"/>
    <w:rsid w:val="005B4C47"/>
    <w:rsid w:val="005B508D"/>
    <w:rsid w:val="005B5295"/>
    <w:rsid w:val="005B5834"/>
    <w:rsid w:val="005B6093"/>
    <w:rsid w:val="005B66A4"/>
    <w:rsid w:val="005B6B3F"/>
    <w:rsid w:val="005B6D4F"/>
    <w:rsid w:val="005B7181"/>
    <w:rsid w:val="005B71A9"/>
    <w:rsid w:val="005B7347"/>
    <w:rsid w:val="005B7435"/>
    <w:rsid w:val="005B77DF"/>
    <w:rsid w:val="005B77F3"/>
    <w:rsid w:val="005C00C0"/>
    <w:rsid w:val="005C0313"/>
    <w:rsid w:val="005C035B"/>
    <w:rsid w:val="005C053C"/>
    <w:rsid w:val="005C0D6F"/>
    <w:rsid w:val="005C13C4"/>
    <w:rsid w:val="005C1A65"/>
    <w:rsid w:val="005C1AAD"/>
    <w:rsid w:val="005C1C9F"/>
    <w:rsid w:val="005C2B50"/>
    <w:rsid w:val="005C2D48"/>
    <w:rsid w:val="005C2F89"/>
    <w:rsid w:val="005C3365"/>
    <w:rsid w:val="005C3894"/>
    <w:rsid w:val="005C3A3D"/>
    <w:rsid w:val="005C403D"/>
    <w:rsid w:val="005C40CF"/>
    <w:rsid w:val="005C425E"/>
    <w:rsid w:val="005C4915"/>
    <w:rsid w:val="005C4AEF"/>
    <w:rsid w:val="005C4F24"/>
    <w:rsid w:val="005C5147"/>
    <w:rsid w:val="005C57F8"/>
    <w:rsid w:val="005C58FA"/>
    <w:rsid w:val="005C5931"/>
    <w:rsid w:val="005C6165"/>
    <w:rsid w:val="005C63D4"/>
    <w:rsid w:val="005C68A7"/>
    <w:rsid w:val="005C6F2A"/>
    <w:rsid w:val="005C6F5D"/>
    <w:rsid w:val="005C70F8"/>
    <w:rsid w:val="005C7D30"/>
    <w:rsid w:val="005D00EC"/>
    <w:rsid w:val="005D016A"/>
    <w:rsid w:val="005D06D0"/>
    <w:rsid w:val="005D0900"/>
    <w:rsid w:val="005D0B3F"/>
    <w:rsid w:val="005D12DD"/>
    <w:rsid w:val="005D134B"/>
    <w:rsid w:val="005D1434"/>
    <w:rsid w:val="005D14E0"/>
    <w:rsid w:val="005D1E07"/>
    <w:rsid w:val="005D1F7B"/>
    <w:rsid w:val="005D2064"/>
    <w:rsid w:val="005D2422"/>
    <w:rsid w:val="005D2729"/>
    <w:rsid w:val="005D2AF9"/>
    <w:rsid w:val="005D2F75"/>
    <w:rsid w:val="005D3897"/>
    <w:rsid w:val="005D38B7"/>
    <w:rsid w:val="005D3C50"/>
    <w:rsid w:val="005D452D"/>
    <w:rsid w:val="005D47C1"/>
    <w:rsid w:val="005D4F9C"/>
    <w:rsid w:val="005D539E"/>
    <w:rsid w:val="005D55A3"/>
    <w:rsid w:val="005D59F0"/>
    <w:rsid w:val="005D5CBC"/>
    <w:rsid w:val="005D5DAD"/>
    <w:rsid w:val="005D68D4"/>
    <w:rsid w:val="005D6D0E"/>
    <w:rsid w:val="005D7880"/>
    <w:rsid w:val="005D7911"/>
    <w:rsid w:val="005D7BB4"/>
    <w:rsid w:val="005D7BC4"/>
    <w:rsid w:val="005D7E15"/>
    <w:rsid w:val="005D7E7D"/>
    <w:rsid w:val="005E005A"/>
    <w:rsid w:val="005E0415"/>
    <w:rsid w:val="005E05D1"/>
    <w:rsid w:val="005E0810"/>
    <w:rsid w:val="005E11F1"/>
    <w:rsid w:val="005E132B"/>
    <w:rsid w:val="005E1DA7"/>
    <w:rsid w:val="005E22EB"/>
    <w:rsid w:val="005E23EF"/>
    <w:rsid w:val="005E2644"/>
    <w:rsid w:val="005E267F"/>
    <w:rsid w:val="005E2B05"/>
    <w:rsid w:val="005E2CE1"/>
    <w:rsid w:val="005E307C"/>
    <w:rsid w:val="005E30AD"/>
    <w:rsid w:val="005E3347"/>
    <w:rsid w:val="005E36DA"/>
    <w:rsid w:val="005E3730"/>
    <w:rsid w:val="005E37C1"/>
    <w:rsid w:val="005E3B86"/>
    <w:rsid w:val="005E51C2"/>
    <w:rsid w:val="005E59EE"/>
    <w:rsid w:val="005E5A2D"/>
    <w:rsid w:val="005E5DF6"/>
    <w:rsid w:val="005E622E"/>
    <w:rsid w:val="005E6694"/>
    <w:rsid w:val="005E672F"/>
    <w:rsid w:val="005E724D"/>
    <w:rsid w:val="005E7E43"/>
    <w:rsid w:val="005E7FD7"/>
    <w:rsid w:val="005F0046"/>
    <w:rsid w:val="005F02B9"/>
    <w:rsid w:val="005F0845"/>
    <w:rsid w:val="005F095C"/>
    <w:rsid w:val="005F0960"/>
    <w:rsid w:val="005F0D3C"/>
    <w:rsid w:val="005F1649"/>
    <w:rsid w:val="005F1A47"/>
    <w:rsid w:val="005F1FCA"/>
    <w:rsid w:val="005F2007"/>
    <w:rsid w:val="005F27DF"/>
    <w:rsid w:val="005F291F"/>
    <w:rsid w:val="005F2DFA"/>
    <w:rsid w:val="005F31C3"/>
    <w:rsid w:val="005F326C"/>
    <w:rsid w:val="005F32F9"/>
    <w:rsid w:val="005F3850"/>
    <w:rsid w:val="005F3D9D"/>
    <w:rsid w:val="005F485F"/>
    <w:rsid w:val="005F4882"/>
    <w:rsid w:val="005F4F18"/>
    <w:rsid w:val="005F50D8"/>
    <w:rsid w:val="005F5519"/>
    <w:rsid w:val="005F5DE7"/>
    <w:rsid w:val="005F5E3A"/>
    <w:rsid w:val="005F5E8C"/>
    <w:rsid w:val="005F6057"/>
    <w:rsid w:val="005F6177"/>
    <w:rsid w:val="005F63C6"/>
    <w:rsid w:val="005F662F"/>
    <w:rsid w:val="005F754F"/>
    <w:rsid w:val="005F7979"/>
    <w:rsid w:val="005F7A87"/>
    <w:rsid w:val="00600909"/>
    <w:rsid w:val="00600FB0"/>
    <w:rsid w:val="00601837"/>
    <w:rsid w:val="00601BC1"/>
    <w:rsid w:val="00601DDF"/>
    <w:rsid w:val="00601F15"/>
    <w:rsid w:val="006022D2"/>
    <w:rsid w:val="00602650"/>
    <w:rsid w:val="00602718"/>
    <w:rsid w:val="00602782"/>
    <w:rsid w:val="00602C76"/>
    <w:rsid w:val="00603058"/>
    <w:rsid w:val="006033B9"/>
    <w:rsid w:val="00603646"/>
    <w:rsid w:val="00604C95"/>
    <w:rsid w:val="00605030"/>
    <w:rsid w:val="00605356"/>
    <w:rsid w:val="006058E3"/>
    <w:rsid w:val="00606317"/>
    <w:rsid w:val="00606A4D"/>
    <w:rsid w:val="00606D0C"/>
    <w:rsid w:val="00606E4A"/>
    <w:rsid w:val="00606E99"/>
    <w:rsid w:val="0060736D"/>
    <w:rsid w:val="006077BE"/>
    <w:rsid w:val="006079F9"/>
    <w:rsid w:val="00607B43"/>
    <w:rsid w:val="00607F7C"/>
    <w:rsid w:val="006100A4"/>
    <w:rsid w:val="00610254"/>
    <w:rsid w:val="00610397"/>
    <w:rsid w:val="00610A3E"/>
    <w:rsid w:val="0061104C"/>
    <w:rsid w:val="0061118D"/>
    <w:rsid w:val="00611451"/>
    <w:rsid w:val="006114D7"/>
    <w:rsid w:val="00611572"/>
    <w:rsid w:val="0061167D"/>
    <w:rsid w:val="00611A29"/>
    <w:rsid w:val="00611F4D"/>
    <w:rsid w:val="00612410"/>
    <w:rsid w:val="0061242F"/>
    <w:rsid w:val="006125C7"/>
    <w:rsid w:val="006125E2"/>
    <w:rsid w:val="00612663"/>
    <w:rsid w:val="00612AB0"/>
    <w:rsid w:val="00613263"/>
    <w:rsid w:val="00613429"/>
    <w:rsid w:val="006136A9"/>
    <w:rsid w:val="00613B21"/>
    <w:rsid w:val="00613BD8"/>
    <w:rsid w:val="006140CF"/>
    <w:rsid w:val="00614BCE"/>
    <w:rsid w:val="00614C6B"/>
    <w:rsid w:val="00614C83"/>
    <w:rsid w:val="00614DE5"/>
    <w:rsid w:val="006150D5"/>
    <w:rsid w:val="006150DF"/>
    <w:rsid w:val="00615223"/>
    <w:rsid w:val="00615B10"/>
    <w:rsid w:val="00616EF3"/>
    <w:rsid w:val="00617D1A"/>
    <w:rsid w:val="00620320"/>
    <w:rsid w:val="00620380"/>
    <w:rsid w:val="006203F4"/>
    <w:rsid w:val="0062063A"/>
    <w:rsid w:val="0062071F"/>
    <w:rsid w:val="00620DD9"/>
    <w:rsid w:val="00620E62"/>
    <w:rsid w:val="006211C1"/>
    <w:rsid w:val="00621A1C"/>
    <w:rsid w:val="00621E7A"/>
    <w:rsid w:val="00622BAC"/>
    <w:rsid w:val="00623854"/>
    <w:rsid w:val="00623B3B"/>
    <w:rsid w:val="00623B9B"/>
    <w:rsid w:val="0062405E"/>
    <w:rsid w:val="0062412D"/>
    <w:rsid w:val="0062428D"/>
    <w:rsid w:val="00624448"/>
    <w:rsid w:val="00624676"/>
    <w:rsid w:val="0062474A"/>
    <w:rsid w:val="00624EB0"/>
    <w:rsid w:val="00625548"/>
    <w:rsid w:val="00625ABE"/>
    <w:rsid w:val="00625C1E"/>
    <w:rsid w:val="00625F8E"/>
    <w:rsid w:val="006266B4"/>
    <w:rsid w:val="00626BA2"/>
    <w:rsid w:val="00626F7F"/>
    <w:rsid w:val="00627815"/>
    <w:rsid w:val="0062789E"/>
    <w:rsid w:val="00627C79"/>
    <w:rsid w:val="00627D99"/>
    <w:rsid w:val="00630449"/>
    <w:rsid w:val="006306F1"/>
    <w:rsid w:val="00630E0A"/>
    <w:rsid w:val="00630E47"/>
    <w:rsid w:val="00631899"/>
    <w:rsid w:val="00632008"/>
    <w:rsid w:val="006324FE"/>
    <w:rsid w:val="00633782"/>
    <w:rsid w:val="00633BF6"/>
    <w:rsid w:val="00633E3F"/>
    <w:rsid w:val="00633E7E"/>
    <w:rsid w:val="00634475"/>
    <w:rsid w:val="00634900"/>
    <w:rsid w:val="00635172"/>
    <w:rsid w:val="00635266"/>
    <w:rsid w:val="006354B2"/>
    <w:rsid w:val="00635613"/>
    <w:rsid w:val="006356B8"/>
    <w:rsid w:val="006357DC"/>
    <w:rsid w:val="0063586F"/>
    <w:rsid w:val="006359F7"/>
    <w:rsid w:val="00635ECF"/>
    <w:rsid w:val="00636818"/>
    <w:rsid w:val="00637480"/>
    <w:rsid w:val="00637D19"/>
    <w:rsid w:val="00640101"/>
    <w:rsid w:val="0064058E"/>
    <w:rsid w:val="0064069A"/>
    <w:rsid w:val="00640919"/>
    <w:rsid w:val="00640B0C"/>
    <w:rsid w:val="00641085"/>
    <w:rsid w:val="0064166C"/>
    <w:rsid w:val="00641942"/>
    <w:rsid w:val="00641CC1"/>
    <w:rsid w:val="00642069"/>
    <w:rsid w:val="0064213A"/>
    <w:rsid w:val="0064220E"/>
    <w:rsid w:val="0064235C"/>
    <w:rsid w:val="006423C4"/>
    <w:rsid w:val="00642A0F"/>
    <w:rsid w:val="00642E97"/>
    <w:rsid w:val="00643131"/>
    <w:rsid w:val="00643AE8"/>
    <w:rsid w:val="00643C77"/>
    <w:rsid w:val="00644116"/>
    <w:rsid w:val="006446F1"/>
    <w:rsid w:val="00644B1F"/>
    <w:rsid w:val="006452BB"/>
    <w:rsid w:val="00645529"/>
    <w:rsid w:val="00645B64"/>
    <w:rsid w:val="00646BA1"/>
    <w:rsid w:val="00647136"/>
    <w:rsid w:val="0064723A"/>
    <w:rsid w:val="0064751A"/>
    <w:rsid w:val="006478D0"/>
    <w:rsid w:val="00647CE4"/>
    <w:rsid w:val="00647D5D"/>
    <w:rsid w:val="0065003A"/>
    <w:rsid w:val="00650242"/>
    <w:rsid w:val="00650283"/>
    <w:rsid w:val="006503B9"/>
    <w:rsid w:val="00650856"/>
    <w:rsid w:val="006509F7"/>
    <w:rsid w:val="00650A48"/>
    <w:rsid w:val="00650B2C"/>
    <w:rsid w:val="0065106C"/>
    <w:rsid w:val="006511D9"/>
    <w:rsid w:val="00651379"/>
    <w:rsid w:val="00651B75"/>
    <w:rsid w:val="00651CB6"/>
    <w:rsid w:val="0065293D"/>
    <w:rsid w:val="00653110"/>
    <w:rsid w:val="00653176"/>
    <w:rsid w:val="006531C5"/>
    <w:rsid w:val="006534B5"/>
    <w:rsid w:val="006535ED"/>
    <w:rsid w:val="0065389F"/>
    <w:rsid w:val="00653BBD"/>
    <w:rsid w:val="00653BCC"/>
    <w:rsid w:val="00653F6E"/>
    <w:rsid w:val="006540AB"/>
    <w:rsid w:val="006545FD"/>
    <w:rsid w:val="0065466D"/>
    <w:rsid w:val="0065473C"/>
    <w:rsid w:val="00654872"/>
    <w:rsid w:val="00654B23"/>
    <w:rsid w:val="00654D3A"/>
    <w:rsid w:val="00655170"/>
    <w:rsid w:val="00655260"/>
    <w:rsid w:val="0065531E"/>
    <w:rsid w:val="006556A9"/>
    <w:rsid w:val="006557AF"/>
    <w:rsid w:val="00655987"/>
    <w:rsid w:val="006559B7"/>
    <w:rsid w:val="006560A5"/>
    <w:rsid w:val="006563C2"/>
    <w:rsid w:val="0065668A"/>
    <w:rsid w:val="00656953"/>
    <w:rsid w:val="0065696C"/>
    <w:rsid w:val="00656B72"/>
    <w:rsid w:val="00656D50"/>
    <w:rsid w:val="0065735F"/>
    <w:rsid w:val="0065750A"/>
    <w:rsid w:val="00660A81"/>
    <w:rsid w:val="00660EB0"/>
    <w:rsid w:val="006610B3"/>
    <w:rsid w:val="0066123D"/>
    <w:rsid w:val="006612BE"/>
    <w:rsid w:val="006620A8"/>
    <w:rsid w:val="00662145"/>
    <w:rsid w:val="00662323"/>
    <w:rsid w:val="006627CE"/>
    <w:rsid w:val="006629B0"/>
    <w:rsid w:val="00662A09"/>
    <w:rsid w:val="00662A20"/>
    <w:rsid w:val="00662FF2"/>
    <w:rsid w:val="006636F7"/>
    <w:rsid w:val="006638B1"/>
    <w:rsid w:val="00663F60"/>
    <w:rsid w:val="0066412F"/>
    <w:rsid w:val="00664153"/>
    <w:rsid w:val="0066436C"/>
    <w:rsid w:val="006643C0"/>
    <w:rsid w:val="006644AB"/>
    <w:rsid w:val="006647D3"/>
    <w:rsid w:val="00664A29"/>
    <w:rsid w:val="00664F42"/>
    <w:rsid w:val="00665295"/>
    <w:rsid w:val="00665A98"/>
    <w:rsid w:val="00665B6F"/>
    <w:rsid w:val="0066615C"/>
    <w:rsid w:val="006662D2"/>
    <w:rsid w:val="00666301"/>
    <w:rsid w:val="00666534"/>
    <w:rsid w:val="006668F0"/>
    <w:rsid w:val="00666AD5"/>
    <w:rsid w:val="00666CC5"/>
    <w:rsid w:val="006673F4"/>
    <w:rsid w:val="006675BB"/>
    <w:rsid w:val="0067005C"/>
    <w:rsid w:val="006707D9"/>
    <w:rsid w:val="00670B11"/>
    <w:rsid w:val="00671276"/>
    <w:rsid w:val="0067143D"/>
    <w:rsid w:val="0067188B"/>
    <w:rsid w:val="006718CF"/>
    <w:rsid w:val="00671964"/>
    <w:rsid w:val="00672007"/>
    <w:rsid w:val="00672487"/>
    <w:rsid w:val="006733B5"/>
    <w:rsid w:val="00673555"/>
    <w:rsid w:val="0067362D"/>
    <w:rsid w:val="00673F49"/>
    <w:rsid w:val="0067444A"/>
    <w:rsid w:val="006747C7"/>
    <w:rsid w:val="00674BDD"/>
    <w:rsid w:val="00674C46"/>
    <w:rsid w:val="00675095"/>
    <w:rsid w:val="00675AD6"/>
    <w:rsid w:val="00675BCA"/>
    <w:rsid w:val="00675BF1"/>
    <w:rsid w:val="00675C53"/>
    <w:rsid w:val="00675C87"/>
    <w:rsid w:val="00675E19"/>
    <w:rsid w:val="00676031"/>
    <w:rsid w:val="00676B14"/>
    <w:rsid w:val="00677755"/>
    <w:rsid w:val="00677DA3"/>
    <w:rsid w:val="00677F74"/>
    <w:rsid w:val="006801CD"/>
    <w:rsid w:val="0068069D"/>
    <w:rsid w:val="00680751"/>
    <w:rsid w:val="00680752"/>
    <w:rsid w:val="00680CF3"/>
    <w:rsid w:val="00680D90"/>
    <w:rsid w:val="00680F67"/>
    <w:rsid w:val="00680FB1"/>
    <w:rsid w:val="00681024"/>
    <w:rsid w:val="006815D2"/>
    <w:rsid w:val="0068185E"/>
    <w:rsid w:val="00682315"/>
    <w:rsid w:val="0068299F"/>
    <w:rsid w:val="00682BF9"/>
    <w:rsid w:val="00682E69"/>
    <w:rsid w:val="006833AD"/>
    <w:rsid w:val="00683476"/>
    <w:rsid w:val="006834BB"/>
    <w:rsid w:val="00683ADA"/>
    <w:rsid w:val="00683F9F"/>
    <w:rsid w:val="00685225"/>
    <w:rsid w:val="0068575A"/>
    <w:rsid w:val="00685998"/>
    <w:rsid w:val="00685B4D"/>
    <w:rsid w:val="006864C1"/>
    <w:rsid w:val="0068776E"/>
    <w:rsid w:val="0068797A"/>
    <w:rsid w:val="00687BF5"/>
    <w:rsid w:val="00690279"/>
    <w:rsid w:val="00690925"/>
    <w:rsid w:val="00690A9B"/>
    <w:rsid w:val="00690D32"/>
    <w:rsid w:val="0069177C"/>
    <w:rsid w:val="0069187F"/>
    <w:rsid w:val="00691AD3"/>
    <w:rsid w:val="00691CF6"/>
    <w:rsid w:val="00691EBE"/>
    <w:rsid w:val="006920C0"/>
    <w:rsid w:val="0069268F"/>
    <w:rsid w:val="00692A42"/>
    <w:rsid w:val="00692A67"/>
    <w:rsid w:val="00692E17"/>
    <w:rsid w:val="006934BD"/>
    <w:rsid w:val="00693DD0"/>
    <w:rsid w:val="00693E5D"/>
    <w:rsid w:val="006940CB"/>
    <w:rsid w:val="0069473D"/>
    <w:rsid w:val="0069493C"/>
    <w:rsid w:val="00694A82"/>
    <w:rsid w:val="00694DBD"/>
    <w:rsid w:val="00694DE2"/>
    <w:rsid w:val="00695451"/>
    <w:rsid w:val="006957EB"/>
    <w:rsid w:val="00695865"/>
    <w:rsid w:val="00695B4C"/>
    <w:rsid w:val="00695CD0"/>
    <w:rsid w:val="00696013"/>
    <w:rsid w:val="00696059"/>
    <w:rsid w:val="00696848"/>
    <w:rsid w:val="00696893"/>
    <w:rsid w:val="00696E79"/>
    <w:rsid w:val="00697212"/>
    <w:rsid w:val="0069769C"/>
    <w:rsid w:val="006979D3"/>
    <w:rsid w:val="006979FF"/>
    <w:rsid w:val="00697E53"/>
    <w:rsid w:val="006A01BF"/>
    <w:rsid w:val="006A03F1"/>
    <w:rsid w:val="006A06AA"/>
    <w:rsid w:val="006A0E12"/>
    <w:rsid w:val="006A0EA8"/>
    <w:rsid w:val="006A11AD"/>
    <w:rsid w:val="006A122E"/>
    <w:rsid w:val="006A1363"/>
    <w:rsid w:val="006A14BB"/>
    <w:rsid w:val="006A14D2"/>
    <w:rsid w:val="006A1FFE"/>
    <w:rsid w:val="006A269C"/>
    <w:rsid w:val="006A2D89"/>
    <w:rsid w:val="006A31E1"/>
    <w:rsid w:val="006A3242"/>
    <w:rsid w:val="006A3699"/>
    <w:rsid w:val="006A39FA"/>
    <w:rsid w:val="006A491A"/>
    <w:rsid w:val="006A4B0E"/>
    <w:rsid w:val="006A4D87"/>
    <w:rsid w:val="006A52B2"/>
    <w:rsid w:val="006A54FC"/>
    <w:rsid w:val="006A56AD"/>
    <w:rsid w:val="006A5813"/>
    <w:rsid w:val="006A5B2D"/>
    <w:rsid w:val="006A5F5A"/>
    <w:rsid w:val="006A60E8"/>
    <w:rsid w:val="006A61E0"/>
    <w:rsid w:val="006A6267"/>
    <w:rsid w:val="006A6387"/>
    <w:rsid w:val="006A641D"/>
    <w:rsid w:val="006A6475"/>
    <w:rsid w:val="006A78F8"/>
    <w:rsid w:val="006A7AC6"/>
    <w:rsid w:val="006A7FB0"/>
    <w:rsid w:val="006B0B98"/>
    <w:rsid w:val="006B1145"/>
    <w:rsid w:val="006B1198"/>
    <w:rsid w:val="006B1206"/>
    <w:rsid w:val="006B12F1"/>
    <w:rsid w:val="006B1867"/>
    <w:rsid w:val="006B1CA2"/>
    <w:rsid w:val="006B2369"/>
    <w:rsid w:val="006B2653"/>
    <w:rsid w:val="006B2CD1"/>
    <w:rsid w:val="006B33EB"/>
    <w:rsid w:val="006B3521"/>
    <w:rsid w:val="006B3CCE"/>
    <w:rsid w:val="006B3E44"/>
    <w:rsid w:val="006B45F9"/>
    <w:rsid w:val="006B4807"/>
    <w:rsid w:val="006B5A54"/>
    <w:rsid w:val="006B5ADC"/>
    <w:rsid w:val="006B6511"/>
    <w:rsid w:val="006B6539"/>
    <w:rsid w:val="006B6A1A"/>
    <w:rsid w:val="006B6A7F"/>
    <w:rsid w:val="006B6AE8"/>
    <w:rsid w:val="006B6B1B"/>
    <w:rsid w:val="006B6BE0"/>
    <w:rsid w:val="006B6CA4"/>
    <w:rsid w:val="006B700B"/>
    <w:rsid w:val="006B7519"/>
    <w:rsid w:val="006B7605"/>
    <w:rsid w:val="006B7937"/>
    <w:rsid w:val="006B79E6"/>
    <w:rsid w:val="006B7B75"/>
    <w:rsid w:val="006B7E2B"/>
    <w:rsid w:val="006C013F"/>
    <w:rsid w:val="006C0277"/>
    <w:rsid w:val="006C04BD"/>
    <w:rsid w:val="006C07A2"/>
    <w:rsid w:val="006C0B15"/>
    <w:rsid w:val="006C0E3D"/>
    <w:rsid w:val="006C10B2"/>
    <w:rsid w:val="006C19B6"/>
    <w:rsid w:val="006C20F1"/>
    <w:rsid w:val="006C2562"/>
    <w:rsid w:val="006C2859"/>
    <w:rsid w:val="006C2B87"/>
    <w:rsid w:val="006C2FD1"/>
    <w:rsid w:val="006C33CD"/>
    <w:rsid w:val="006C345E"/>
    <w:rsid w:val="006C3B04"/>
    <w:rsid w:val="006C3B89"/>
    <w:rsid w:val="006C3BB2"/>
    <w:rsid w:val="006C423F"/>
    <w:rsid w:val="006C477B"/>
    <w:rsid w:val="006C4854"/>
    <w:rsid w:val="006C4ED6"/>
    <w:rsid w:val="006C4F3B"/>
    <w:rsid w:val="006C5028"/>
    <w:rsid w:val="006C50C7"/>
    <w:rsid w:val="006C5A93"/>
    <w:rsid w:val="006C5CA6"/>
    <w:rsid w:val="006C636E"/>
    <w:rsid w:val="006C6945"/>
    <w:rsid w:val="006C6C5A"/>
    <w:rsid w:val="006C745C"/>
    <w:rsid w:val="006C7777"/>
    <w:rsid w:val="006C7837"/>
    <w:rsid w:val="006C7857"/>
    <w:rsid w:val="006C789E"/>
    <w:rsid w:val="006D0234"/>
    <w:rsid w:val="006D08CA"/>
    <w:rsid w:val="006D09E4"/>
    <w:rsid w:val="006D0D90"/>
    <w:rsid w:val="006D0FE4"/>
    <w:rsid w:val="006D105F"/>
    <w:rsid w:val="006D10FB"/>
    <w:rsid w:val="006D11EA"/>
    <w:rsid w:val="006D16B4"/>
    <w:rsid w:val="006D18C4"/>
    <w:rsid w:val="006D252A"/>
    <w:rsid w:val="006D2970"/>
    <w:rsid w:val="006D2AA0"/>
    <w:rsid w:val="006D2E87"/>
    <w:rsid w:val="006D33D9"/>
    <w:rsid w:val="006D342C"/>
    <w:rsid w:val="006D377E"/>
    <w:rsid w:val="006D3DD7"/>
    <w:rsid w:val="006D3FE8"/>
    <w:rsid w:val="006D4123"/>
    <w:rsid w:val="006D4CFC"/>
    <w:rsid w:val="006D533C"/>
    <w:rsid w:val="006D5359"/>
    <w:rsid w:val="006D662C"/>
    <w:rsid w:val="006D6788"/>
    <w:rsid w:val="006D698B"/>
    <w:rsid w:val="006D6ABC"/>
    <w:rsid w:val="006D7528"/>
    <w:rsid w:val="006E0030"/>
    <w:rsid w:val="006E0925"/>
    <w:rsid w:val="006E0966"/>
    <w:rsid w:val="006E0C08"/>
    <w:rsid w:val="006E0E2F"/>
    <w:rsid w:val="006E14DB"/>
    <w:rsid w:val="006E1517"/>
    <w:rsid w:val="006E16AD"/>
    <w:rsid w:val="006E188A"/>
    <w:rsid w:val="006E1AA8"/>
    <w:rsid w:val="006E1B8E"/>
    <w:rsid w:val="006E1D79"/>
    <w:rsid w:val="006E1E61"/>
    <w:rsid w:val="006E23D5"/>
    <w:rsid w:val="006E292D"/>
    <w:rsid w:val="006E2FD4"/>
    <w:rsid w:val="006E34DA"/>
    <w:rsid w:val="006E35A5"/>
    <w:rsid w:val="006E38D4"/>
    <w:rsid w:val="006E3D92"/>
    <w:rsid w:val="006E40DB"/>
    <w:rsid w:val="006E42A7"/>
    <w:rsid w:val="006E439F"/>
    <w:rsid w:val="006E4885"/>
    <w:rsid w:val="006E4899"/>
    <w:rsid w:val="006E4A68"/>
    <w:rsid w:val="006E4B34"/>
    <w:rsid w:val="006E4B89"/>
    <w:rsid w:val="006E5164"/>
    <w:rsid w:val="006E524B"/>
    <w:rsid w:val="006E6048"/>
    <w:rsid w:val="006E6762"/>
    <w:rsid w:val="006E786D"/>
    <w:rsid w:val="006E7CD8"/>
    <w:rsid w:val="006E7F0A"/>
    <w:rsid w:val="006F0039"/>
    <w:rsid w:val="006F003D"/>
    <w:rsid w:val="006F0CFF"/>
    <w:rsid w:val="006F11B5"/>
    <w:rsid w:val="006F11CD"/>
    <w:rsid w:val="006F1358"/>
    <w:rsid w:val="006F1E4D"/>
    <w:rsid w:val="006F2190"/>
    <w:rsid w:val="006F2383"/>
    <w:rsid w:val="006F26EC"/>
    <w:rsid w:val="006F3748"/>
    <w:rsid w:val="006F3AA8"/>
    <w:rsid w:val="006F3E12"/>
    <w:rsid w:val="006F4355"/>
    <w:rsid w:val="006F49B5"/>
    <w:rsid w:val="006F4FE7"/>
    <w:rsid w:val="006F50BB"/>
    <w:rsid w:val="006F5575"/>
    <w:rsid w:val="006F5C5D"/>
    <w:rsid w:val="006F6055"/>
    <w:rsid w:val="006F64D4"/>
    <w:rsid w:val="006F67A7"/>
    <w:rsid w:val="006F6E0D"/>
    <w:rsid w:val="006F7342"/>
    <w:rsid w:val="006F7484"/>
    <w:rsid w:val="006F78A2"/>
    <w:rsid w:val="006F7FD6"/>
    <w:rsid w:val="00700287"/>
    <w:rsid w:val="00700C09"/>
    <w:rsid w:val="00700D32"/>
    <w:rsid w:val="00701307"/>
    <w:rsid w:val="007021B2"/>
    <w:rsid w:val="00702497"/>
    <w:rsid w:val="00702D32"/>
    <w:rsid w:val="00702E46"/>
    <w:rsid w:val="0070305D"/>
    <w:rsid w:val="00703198"/>
    <w:rsid w:val="00703328"/>
    <w:rsid w:val="00703C9B"/>
    <w:rsid w:val="00704171"/>
    <w:rsid w:val="00704356"/>
    <w:rsid w:val="0070438A"/>
    <w:rsid w:val="0070448A"/>
    <w:rsid w:val="00704512"/>
    <w:rsid w:val="00704787"/>
    <w:rsid w:val="00704AF0"/>
    <w:rsid w:val="00704B57"/>
    <w:rsid w:val="00704D00"/>
    <w:rsid w:val="00705191"/>
    <w:rsid w:val="00705941"/>
    <w:rsid w:val="00705E44"/>
    <w:rsid w:val="007063B2"/>
    <w:rsid w:val="007068AC"/>
    <w:rsid w:val="0070692F"/>
    <w:rsid w:val="0070718F"/>
    <w:rsid w:val="00707229"/>
    <w:rsid w:val="007074F4"/>
    <w:rsid w:val="00707502"/>
    <w:rsid w:val="00707A7D"/>
    <w:rsid w:val="007102BB"/>
    <w:rsid w:val="00710AFA"/>
    <w:rsid w:val="00710CD0"/>
    <w:rsid w:val="00710D1D"/>
    <w:rsid w:val="00710D51"/>
    <w:rsid w:val="007115BC"/>
    <w:rsid w:val="00711665"/>
    <w:rsid w:val="00711782"/>
    <w:rsid w:val="007118CF"/>
    <w:rsid w:val="00711FC4"/>
    <w:rsid w:val="00711FE1"/>
    <w:rsid w:val="007124F1"/>
    <w:rsid w:val="007125D3"/>
    <w:rsid w:val="007129E6"/>
    <w:rsid w:val="00713454"/>
    <w:rsid w:val="007135CA"/>
    <w:rsid w:val="00714867"/>
    <w:rsid w:val="00714B1B"/>
    <w:rsid w:val="00715495"/>
    <w:rsid w:val="00716179"/>
    <w:rsid w:val="00716AEC"/>
    <w:rsid w:val="00716CFB"/>
    <w:rsid w:val="00716E55"/>
    <w:rsid w:val="007170FD"/>
    <w:rsid w:val="007175CD"/>
    <w:rsid w:val="00717841"/>
    <w:rsid w:val="007178A0"/>
    <w:rsid w:val="00717916"/>
    <w:rsid w:val="00717BB2"/>
    <w:rsid w:val="00720C0B"/>
    <w:rsid w:val="00720D44"/>
    <w:rsid w:val="00721463"/>
    <w:rsid w:val="00721879"/>
    <w:rsid w:val="00721D79"/>
    <w:rsid w:val="00722268"/>
    <w:rsid w:val="007226DF"/>
    <w:rsid w:val="00722C09"/>
    <w:rsid w:val="00722C98"/>
    <w:rsid w:val="00722D51"/>
    <w:rsid w:val="00722FEC"/>
    <w:rsid w:val="007231CE"/>
    <w:rsid w:val="00723357"/>
    <w:rsid w:val="00723398"/>
    <w:rsid w:val="00723697"/>
    <w:rsid w:val="00723AF1"/>
    <w:rsid w:val="00723D8A"/>
    <w:rsid w:val="00724246"/>
    <w:rsid w:val="007248C4"/>
    <w:rsid w:val="00724C28"/>
    <w:rsid w:val="00724F9B"/>
    <w:rsid w:val="00725057"/>
    <w:rsid w:val="00725058"/>
    <w:rsid w:val="00725429"/>
    <w:rsid w:val="007255AD"/>
    <w:rsid w:val="00725E61"/>
    <w:rsid w:val="00725F8A"/>
    <w:rsid w:val="00725FB5"/>
    <w:rsid w:val="00726388"/>
    <w:rsid w:val="007266B6"/>
    <w:rsid w:val="00726816"/>
    <w:rsid w:val="00727721"/>
    <w:rsid w:val="00727B33"/>
    <w:rsid w:val="00727B57"/>
    <w:rsid w:val="007307F4"/>
    <w:rsid w:val="00730A29"/>
    <w:rsid w:val="00730C41"/>
    <w:rsid w:val="00730EA6"/>
    <w:rsid w:val="00730EEE"/>
    <w:rsid w:val="007310A3"/>
    <w:rsid w:val="007312A2"/>
    <w:rsid w:val="00731344"/>
    <w:rsid w:val="00731AA2"/>
    <w:rsid w:val="00731E23"/>
    <w:rsid w:val="0073249F"/>
    <w:rsid w:val="007324F1"/>
    <w:rsid w:val="0073254B"/>
    <w:rsid w:val="00732A9B"/>
    <w:rsid w:val="00732BD1"/>
    <w:rsid w:val="00733325"/>
    <w:rsid w:val="007334DE"/>
    <w:rsid w:val="007336DF"/>
    <w:rsid w:val="007337F1"/>
    <w:rsid w:val="00733978"/>
    <w:rsid w:val="00733EDB"/>
    <w:rsid w:val="007342ED"/>
    <w:rsid w:val="00734D30"/>
    <w:rsid w:val="00734F13"/>
    <w:rsid w:val="0073507F"/>
    <w:rsid w:val="00735173"/>
    <w:rsid w:val="007352AA"/>
    <w:rsid w:val="0073536F"/>
    <w:rsid w:val="007355F7"/>
    <w:rsid w:val="00735A4C"/>
    <w:rsid w:val="00735A6D"/>
    <w:rsid w:val="00735FC2"/>
    <w:rsid w:val="00736017"/>
    <w:rsid w:val="00736366"/>
    <w:rsid w:val="00736819"/>
    <w:rsid w:val="00736DE9"/>
    <w:rsid w:val="007370DE"/>
    <w:rsid w:val="007374D9"/>
    <w:rsid w:val="0073757A"/>
    <w:rsid w:val="0073767F"/>
    <w:rsid w:val="00737AEE"/>
    <w:rsid w:val="00737CD0"/>
    <w:rsid w:val="0074036A"/>
    <w:rsid w:val="007404CD"/>
    <w:rsid w:val="00740561"/>
    <w:rsid w:val="00740CC9"/>
    <w:rsid w:val="0074141C"/>
    <w:rsid w:val="00741482"/>
    <w:rsid w:val="00741908"/>
    <w:rsid w:val="00741964"/>
    <w:rsid w:val="0074200C"/>
    <w:rsid w:val="00742940"/>
    <w:rsid w:val="00743032"/>
    <w:rsid w:val="0074358B"/>
    <w:rsid w:val="00743A4D"/>
    <w:rsid w:val="00743B09"/>
    <w:rsid w:val="00743B3B"/>
    <w:rsid w:val="00744C7C"/>
    <w:rsid w:val="00744C82"/>
    <w:rsid w:val="00745029"/>
    <w:rsid w:val="00745E9B"/>
    <w:rsid w:val="007460C1"/>
    <w:rsid w:val="007461CF"/>
    <w:rsid w:val="007471E4"/>
    <w:rsid w:val="0074761F"/>
    <w:rsid w:val="00750511"/>
    <w:rsid w:val="007507B7"/>
    <w:rsid w:val="00750A98"/>
    <w:rsid w:val="00751A50"/>
    <w:rsid w:val="00751B1C"/>
    <w:rsid w:val="00751CB1"/>
    <w:rsid w:val="00751F9C"/>
    <w:rsid w:val="007522B0"/>
    <w:rsid w:val="00752304"/>
    <w:rsid w:val="007527D8"/>
    <w:rsid w:val="00752A25"/>
    <w:rsid w:val="00753A0F"/>
    <w:rsid w:val="00753A3A"/>
    <w:rsid w:val="00753F1C"/>
    <w:rsid w:val="0075422A"/>
    <w:rsid w:val="00754452"/>
    <w:rsid w:val="007549A4"/>
    <w:rsid w:val="00754DFC"/>
    <w:rsid w:val="00754ED9"/>
    <w:rsid w:val="00754F0B"/>
    <w:rsid w:val="00755044"/>
    <w:rsid w:val="00755179"/>
    <w:rsid w:val="007556C3"/>
    <w:rsid w:val="0075581E"/>
    <w:rsid w:val="00755BE9"/>
    <w:rsid w:val="00755CA5"/>
    <w:rsid w:val="0075629F"/>
    <w:rsid w:val="00756596"/>
    <w:rsid w:val="007565AE"/>
    <w:rsid w:val="00756774"/>
    <w:rsid w:val="00756A32"/>
    <w:rsid w:val="00756E60"/>
    <w:rsid w:val="0075749F"/>
    <w:rsid w:val="007576DE"/>
    <w:rsid w:val="007577BD"/>
    <w:rsid w:val="0075792E"/>
    <w:rsid w:val="00757DC8"/>
    <w:rsid w:val="0076033C"/>
    <w:rsid w:val="0076065D"/>
    <w:rsid w:val="007606A9"/>
    <w:rsid w:val="0076076E"/>
    <w:rsid w:val="00760EF9"/>
    <w:rsid w:val="00761108"/>
    <w:rsid w:val="007619CD"/>
    <w:rsid w:val="007619DD"/>
    <w:rsid w:val="00761A04"/>
    <w:rsid w:val="007622E6"/>
    <w:rsid w:val="007625EE"/>
    <w:rsid w:val="0076270F"/>
    <w:rsid w:val="007627F6"/>
    <w:rsid w:val="00762A26"/>
    <w:rsid w:val="00762FD6"/>
    <w:rsid w:val="00763B21"/>
    <w:rsid w:val="00763C84"/>
    <w:rsid w:val="00763E32"/>
    <w:rsid w:val="0076489A"/>
    <w:rsid w:val="00764B62"/>
    <w:rsid w:val="00764EC8"/>
    <w:rsid w:val="007650CF"/>
    <w:rsid w:val="007655CD"/>
    <w:rsid w:val="00765804"/>
    <w:rsid w:val="00765B4F"/>
    <w:rsid w:val="00766380"/>
    <w:rsid w:val="0076639A"/>
    <w:rsid w:val="00766778"/>
    <w:rsid w:val="0076696B"/>
    <w:rsid w:val="00766B36"/>
    <w:rsid w:val="00767269"/>
    <w:rsid w:val="00767524"/>
    <w:rsid w:val="00767A93"/>
    <w:rsid w:val="00767D56"/>
    <w:rsid w:val="00767EB4"/>
    <w:rsid w:val="00767FFA"/>
    <w:rsid w:val="0077088A"/>
    <w:rsid w:val="00770894"/>
    <w:rsid w:val="00770F01"/>
    <w:rsid w:val="00771AD5"/>
    <w:rsid w:val="00771E81"/>
    <w:rsid w:val="00771FA6"/>
    <w:rsid w:val="00772384"/>
    <w:rsid w:val="007723F3"/>
    <w:rsid w:val="00772679"/>
    <w:rsid w:val="007730BA"/>
    <w:rsid w:val="007730C3"/>
    <w:rsid w:val="00773484"/>
    <w:rsid w:val="00773A17"/>
    <w:rsid w:val="00773AA5"/>
    <w:rsid w:val="00773D2F"/>
    <w:rsid w:val="007740E4"/>
    <w:rsid w:val="0077413C"/>
    <w:rsid w:val="007743C7"/>
    <w:rsid w:val="00774733"/>
    <w:rsid w:val="00774F39"/>
    <w:rsid w:val="00775476"/>
    <w:rsid w:val="0077666E"/>
    <w:rsid w:val="00776D2B"/>
    <w:rsid w:val="00777119"/>
    <w:rsid w:val="007775DB"/>
    <w:rsid w:val="0077785E"/>
    <w:rsid w:val="00777ECD"/>
    <w:rsid w:val="0078040E"/>
    <w:rsid w:val="00780527"/>
    <w:rsid w:val="00780971"/>
    <w:rsid w:val="00780A42"/>
    <w:rsid w:val="00780B26"/>
    <w:rsid w:val="00780C47"/>
    <w:rsid w:val="0078104F"/>
    <w:rsid w:val="00781281"/>
    <w:rsid w:val="00781F31"/>
    <w:rsid w:val="007827DA"/>
    <w:rsid w:val="007828D6"/>
    <w:rsid w:val="0078295F"/>
    <w:rsid w:val="0078313D"/>
    <w:rsid w:val="00783219"/>
    <w:rsid w:val="0078333F"/>
    <w:rsid w:val="0078344C"/>
    <w:rsid w:val="007835D4"/>
    <w:rsid w:val="0078421C"/>
    <w:rsid w:val="007842DA"/>
    <w:rsid w:val="00784631"/>
    <w:rsid w:val="007848B7"/>
    <w:rsid w:val="00784A08"/>
    <w:rsid w:val="00785011"/>
    <w:rsid w:val="0078533E"/>
    <w:rsid w:val="0078534F"/>
    <w:rsid w:val="0078552C"/>
    <w:rsid w:val="00785B82"/>
    <w:rsid w:val="00785BE9"/>
    <w:rsid w:val="00785E2B"/>
    <w:rsid w:val="00785E78"/>
    <w:rsid w:val="00785E7C"/>
    <w:rsid w:val="00786C38"/>
    <w:rsid w:val="00786D85"/>
    <w:rsid w:val="00787051"/>
    <w:rsid w:val="007875C5"/>
    <w:rsid w:val="00787925"/>
    <w:rsid w:val="00787E35"/>
    <w:rsid w:val="0079099D"/>
    <w:rsid w:val="007909E3"/>
    <w:rsid w:val="00790DBE"/>
    <w:rsid w:val="0079101F"/>
    <w:rsid w:val="007916EA"/>
    <w:rsid w:val="00791C86"/>
    <w:rsid w:val="00791CDC"/>
    <w:rsid w:val="00792058"/>
    <w:rsid w:val="00792253"/>
    <w:rsid w:val="00792879"/>
    <w:rsid w:val="00792D5D"/>
    <w:rsid w:val="00792E4F"/>
    <w:rsid w:val="0079312F"/>
    <w:rsid w:val="007936F8"/>
    <w:rsid w:val="007938A2"/>
    <w:rsid w:val="007938F0"/>
    <w:rsid w:val="007939A3"/>
    <w:rsid w:val="00793E37"/>
    <w:rsid w:val="00793E5D"/>
    <w:rsid w:val="00794123"/>
    <w:rsid w:val="007945F9"/>
    <w:rsid w:val="00794975"/>
    <w:rsid w:val="00794C79"/>
    <w:rsid w:val="00794D2A"/>
    <w:rsid w:val="007951CF"/>
    <w:rsid w:val="00795C96"/>
    <w:rsid w:val="00796607"/>
    <w:rsid w:val="0079684C"/>
    <w:rsid w:val="00797046"/>
    <w:rsid w:val="007971B6"/>
    <w:rsid w:val="00797551"/>
    <w:rsid w:val="00797A8B"/>
    <w:rsid w:val="00797E7E"/>
    <w:rsid w:val="007A0457"/>
    <w:rsid w:val="007A078E"/>
    <w:rsid w:val="007A096E"/>
    <w:rsid w:val="007A0D49"/>
    <w:rsid w:val="007A0EB9"/>
    <w:rsid w:val="007A142C"/>
    <w:rsid w:val="007A1563"/>
    <w:rsid w:val="007A173C"/>
    <w:rsid w:val="007A1752"/>
    <w:rsid w:val="007A1F73"/>
    <w:rsid w:val="007A21DA"/>
    <w:rsid w:val="007A2265"/>
    <w:rsid w:val="007A282E"/>
    <w:rsid w:val="007A2C36"/>
    <w:rsid w:val="007A328B"/>
    <w:rsid w:val="007A36D8"/>
    <w:rsid w:val="007A38AF"/>
    <w:rsid w:val="007A395E"/>
    <w:rsid w:val="007A3AF6"/>
    <w:rsid w:val="007A3CBB"/>
    <w:rsid w:val="007A3E98"/>
    <w:rsid w:val="007A4110"/>
    <w:rsid w:val="007A4349"/>
    <w:rsid w:val="007A4775"/>
    <w:rsid w:val="007A47D8"/>
    <w:rsid w:val="007A49E7"/>
    <w:rsid w:val="007A4A00"/>
    <w:rsid w:val="007A4D37"/>
    <w:rsid w:val="007A4FDB"/>
    <w:rsid w:val="007A5457"/>
    <w:rsid w:val="007A55FE"/>
    <w:rsid w:val="007A5730"/>
    <w:rsid w:val="007A58EB"/>
    <w:rsid w:val="007A6730"/>
    <w:rsid w:val="007A6D14"/>
    <w:rsid w:val="007A6D47"/>
    <w:rsid w:val="007A705C"/>
    <w:rsid w:val="007A7450"/>
    <w:rsid w:val="007A7B75"/>
    <w:rsid w:val="007B013C"/>
    <w:rsid w:val="007B0267"/>
    <w:rsid w:val="007B060B"/>
    <w:rsid w:val="007B0792"/>
    <w:rsid w:val="007B0874"/>
    <w:rsid w:val="007B0BC5"/>
    <w:rsid w:val="007B123A"/>
    <w:rsid w:val="007B1C41"/>
    <w:rsid w:val="007B22EE"/>
    <w:rsid w:val="007B2C5F"/>
    <w:rsid w:val="007B2FC1"/>
    <w:rsid w:val="007B3205"/>
    <w:rsid w:val="007B34D4"/>
    <w:rsid w:val="007B3594"/>
    <w:rsid w:val="007B3773"/>
    <w:rsid w:val="007B3B1E"/>
    <w:rsid w:val="007B3E82"/>
    <w:rsid w:val="007B3F0D"/>
    <w:rsid w:val="007B3F2E"/>
    <w:rsid w:val="007B3F48"/>
    <w:rsid w:val="007B417C"/>
    <w:rsid w:val="007B4AC3"/>
    <w:rsid w:val="007B520F"/>
    <w:rsid w:val="007B5ACE"/>
    <w:rsid w:val="007B61F5"/>
    <w:rsid w:val="007B66DE"/>
    <w:rsid w:val="007B6CF5"/>
    <w:rsid w:val="007B6E36"/>
    <w:rsid w:val="007B6FCC"/>
    <w:rsid w:val="007B74AB"/>
    <w:rsid w:val="007B7E11"/>
    <w:rsid w:val="007B7F32"/>
    <w:rsid w:val="007C052F"/>
    <w:rsid w:val="007C098D"/>
    <w:rsid w:val="007C0D09"/>
    <w:rsid w:val="007C0FB5"/>
    <w:rsid w:val="007C14B0"/>
    <w:rsid w:val="007C14CB"/>
    <w:rsid w:val="007C1C77"/>
    <w:rsid w:val="007C26A8"/>
    <w:rsid w:val="007C27AE"/>
    <w:rsid w:val="007C2FDE"/>
    <w:rsid w:val="007C348E"/>
    <w:rsid w:val="007C3A42"/>
    <w:rsid w:val="007C4764"/>
    <w:rsid w:val="007C4825"/>
    <w:rsid w:val="007C4E81"/>
    <w:rsid w:val="007C50E0"/>
    <w:rsid w:val="007C577C"/>
    <w:rsid w:val="007C583F"/>
    <w:rsid w:val="007C59CE"/>
    <w:rsid w:val="007C5DCD"/>
    <w:rsid w:val="007C60F7"/>
    <w:rsid w:val="007C630E"/>
    <w:rsid w:val="007C6559"/>
    <w:rsid w:val="007C6E4F"/>
    <w:rsid w:val="007C7298"/>
    <w:rsid w:val="007C7530"/>
    <w:rsid w:val="007C790F"/>
    <w:rsid w:val="007C7CCC"/>
    <w:rsid w:val="007D0094"/>
    <w:rsid w:val="007D0825"/>
    <w:rsid w:val="007D09E3"/>
    <w:rsid w:val="007D0D3C"/>
    <w:rsid w:val="007D1911"/>
    <w:rsid w:val="007D2151"/>
    <w:rsid w:val="007D267A"/>
    <w:rsid w:val="007D273D"/>
    <w:rsid w:val="007D2954"/>
    <w:rsid w:val="007D2DF6"/>
    <w:rsid w:val="007D2E0D"/>
    <w:rsid w:val="007D3001"/>
    <w:rsid w:val="007D3893"/>
    <w:rsid w:val="007D3D58"/>
    <w:rsid w:val="007D3E69"/>
    <w:rsid w:val="007D4B44"/>
    <w:rsid w:val="007D4F3E"/>
    <w:rsid w:val="007D52A9"/>
    <w:rsid w:val="007D5FA1"/>
    <w:rsid w:val="007D6463"/>
    <w:rsid w:val="007D759E"/>
    <w:rsid w:val="007D75CC"/>
    <w:rsid w:val="007D7647"/>
    <w:rsid w:val="007D774A"/>
    <w:rsid w:val="007D7953"/>
    <w:rsid w:val="007D7F84"/>
    <w:rsid w:val="007E0A93"/>
    <w:rsid w:val="007E0F50"/>
    <w:rsid w:val="007E12AB"/>
    <w:rsid w:val="007E133E"/>
    <w:rsid w:val="007E134B"/>
    <w:rsid w:val="007E1600"/>
    <w:rsid w:val="007E1D75"/>
    <w:rsid w:val="007E24DD"/>
    <w:rsid w:val="007E3633"/>
    <w:rsid w:val="007E3655"/>
    <w:rsid w:val="007E3829"/>
    <w:rsid w:val="007E38BC"/>
    <w:rsid w:val="007E3B0B"/>
    <w:rsid w:val="007E3B3F"/>
    <w:rsid w:val="007E418B"/>
    <w:rsid w:val="007E4927"/>
    <w:rsid w:val="007E4929"/>
    <w:rsid w:val="007E49D0"/>
    <w:rsid w:val="007E4B57"/>
    <w:rsid w:val="007E4BB0"/>
    <w:rsid w:val="007E5127"/>
    <w:rsid w:val="007E552F"/>
    <w:rsid w:val="007E5846"/>
    <w:rsid w:val="007E5A43"/>
    <w:rsid w:val="007E5F7A"/>
    <w:rsid w:val="007E60CC"/>
    <w:rsid w:val="007E6374"/>
    <w:rsid w:val="007E67CF"/>
    <w:rsid w:val="007E67D4"/>
    <w:rsid w:val="007E7043"/>
    <w:rsid w:val="007E7150"/>
    <w:rsid w:val="007E7B71"/>
    <w:rsid w:val="007F0300"/>
    <w:rsid w:val="007F0413"/>
    <w:rsid w:val="007F0725"/>
    <w:rsid w:val="007F0C72"/>
    <w:rsid w:val="007F0D93"/>
    <w:rsid w:val="007F2071"/>
    <w:rsid w:val="007F23CF"/>
    <w:rsid w:val="007F27F2"/>
    <w:rsid w:val="007F2891"/>
    <w:rsid w:val="007F296A"/>
    <w:rsid w:val="007F2BD0"/>
    <w:rsid w:val="007F3407"/>
    <w:rsid w:val="007F3469"/>
    <w:rsid w:val="007F3538"/>
    <w:rsid w:val="007F3A63"/>
    <w:rsid w:val="007F3D67"/>
    <w:rsid w:val="007F40C5"/>
    <w:rsid w:val="007F452C"/>
    <w:rsid w:val="007F468E"/>
    <w:rsid w:val="007F491D"/>
    <w:rsid w:val="007F4D95"/>
    <w:rsid w:val="007F51B1"/>
    <w:rsid w:val="007F538B"/>
    <w:rsid w:val="007F5443"/>
    <w:rsid w:val="007F5672"/>
    <w:rsid w:val="007F5B34"/>
    <w:rsid w:val="007F5F64"/>
    <w:rsid w:val="007F69CD"/>
    <w:rsid w:val="007F6C08"/>
    <w:rsid w:val="007F6C37"/>
    <w:rsid w:val="007F6CAA"/>
    <w:rsid w:val="007F6D61"/>
    <w:rsid w:val="007F6E2E"/>
    <w:rsid w:val="007F6FFF"/>
    <w:rsid w:val="007F70BD"/>
    <w:rsid w:val="007F74AA"/>
    <w:rsid w:val="007F7A50"/>
    <w:rsid w:val="007F7CD9"/>
    <w:rsid w:val="007F7CFB"/>
    <w:rsid w:val="007F7F79"/>
    <w:rsid w:val="00800016"/>
    <w:rsid w:val="00800C1F"/>
    <w:rsid w:val="008013C2"/>
    <w:rsid w:val="00801413"/>
    <w:rsid w:val="00801ABE"/>
    <w:rsid w:val="00801C3F"/>
    <w:rsid w:val="00801F6E"/>
    <w:rsid w:val="00802DF2"/>
    <w:rsid w:val="00803021"/>
    <w:rsid w:val="008031BB"/>
    <w:rsid w:val="0080352C"/>
    <w:rsid w:val="00803717"/>
    <w:rsid w:val="00803B4D"/>
    <w:rsid w:val="00803CAE"/>
    <w:rsid w:val="00804A43"/>
    <w:rsid w:val="00804C1A"/>
    <w:rsid w:val="0080510C"/>
    <w:rsid w:val="00805167"/>
    <w:rsid w:val="00805C3D"/>
    <w:rsid w:val="00805C63"/>
    <w:rsid w:val="00805D02"/>
    <w:rsid w:val="008060AC"/>
    <w:rsid w:val="008065CD"/>
    <w:rsid w:val="008065D3"/>
    <w:rsid w:val="00806BB5"/>
    <w:rsid w:val="00806CEE"/>
    <w:rsid w:val="00806DC8"/>
    <w:rsid w:val="0080704C"/>
    <w:rsid w:val="008073D2"/>
    <w:rsid w:val="008077CE"/>
    <w:rsid w:val="00807924"/>
    <w:rsid w:val="00807926"/>
    <w:rsid w:val="00807B6F"/>
    <w:rsid w:val="00807E76"/>
    <w:rsid w:val="00807F01"/>
    <w:rsid w:val="00810541"/>
    <w:rsid w:val="008105F5"/>
    <w:rsid w:val="00810E53"/>
    <w:rsid w:val="00811371"/>
    <w:rsid w:val="00811489"/>
    <w:rsid w:val="00811F32"/>
    <w:rsid w:val="00812008"/>
    <w:rsid w:val="008124E7"/>
    <w:rsid w:val="008125F1"/>
    <w:rsid w:val="00813044"/>
    <w:rsid w:val="00813193"/>
    <w:rsid w:val="0081347C"/>
    <w:rsid w:val="008135B1"/>
    <w:rsid w:val="00813D40"/>
    <w:rsid w:val="00813FD2"/>
    <w:rsid w:val="00814167"/>
    <w:rsid w:val="00814196"/>
    <w:rsid w:val="008149FB"/>
    <w:rsid w:val="00814D4E"/>
    <w:rsid w:val="0081575A"/>
    <w:rsid w:val="008158D8"/>
    <w:rsid w:val="00815984"/>
    <w:rsid w:val="00815B0A"/>
    <w:rsid w:val="008163F8"/>
    <w:rsid w:val="008169D6"/>
    <w:rsid w:val="00816ECA"/>
    <w:rsid w:val="00817B80"/>
    <w:rsid w:val="0082040B"/>
    <w:rsid w:val="008205F9"/>
    <w:rsid w:val="008216E7"/>
    <w:rsid w:val="0082173D"/>
    <w:rsid w:val="00821925"/>
    <w:rsid w:val="00821F11"/>
    <w:rsid w:val="00822046"/>
    <w:rsid w:val="008220D3"/>
    <w:rsid w:val="008224D9"/>
    <w:rsid w:val="00822768"/>
    <w:rsid w:val="00822962"/>
    <w:rsid w:val="00822AD8"/>
    <w:rsid w:val="00822D4C"/>
    <w:rsid w:val="00822E32"/>
    <w:rsid w:val="00822FDD"/>
    <w:rsid w:val="008239DB"/>
    <w:rsid w:val="00823CEA"/>
    <w:rsid w:val="00824410"/>
    <w:rsid w:val="00824803"/>
    <w:rsid w:val="00825149"/>
    <w:rsid w:val="00825244"/>
    <w:rsid w:val="008254E1"/>
    <w:rsid w:val="0082566C"/>
    <w:rsid w:val="00825891"/>
    <w:rsid w:val="00825A75"/>
    <w:rsid w:val="00825C29"/>
    <w:rsid w:val="00825C6C"/>
    <w:rsid w:val="0082609C"/>
    <w:rsid w:val="0082613F"/>
    <w:rsid w:val="00826151"/>
    <w:rsid w:val="00826567"/>
    <w:rsid w:val="0082678E"/>
    <w:rsid w:val="00827231"/>
    <w:rsid w:val="0082749A"/>
    <w:rsid w:val="00827760"/>
    <w:rsid w:val="008278BE"/>
    <w:rsid w:val="00827E02"/>
    <w:rsid w:val="00827E9F"/>
    <w:rsid w:val="00830307"/>
    <w:rsid w:val="00830350"/>
    <w:rsid w:val="0083051A"/>
    <w:rsid w:val="00831040"/>
    <w:rsid w:val="00831666"/>
    <w:rsid w:val="0083188E"/>
    <w:rsid w:val="00831F13"/>
    <w:rsid w:val="00832277"/>
    <w:rsid w:val="008329B3"/>
    <w:rsid w:val="00832E39"/>
    <w:rsid w:val="00833457"/>
    <w:rsid w:val="00833509"/>
    <w:rsid w:val="00833976"/>
    <w:rsid w:val="008339CA"/>
    <w:rsid w:val="00833FE2"/>
    <w:rsid w:val="00834223"/>
    <w:rsid w:val="00834241"/>
    <w:rsid w:val="008344D3"/>
    <w:rsid w:val="0083475A"/>
    <w:rsid w:val="0083497C"/>
    <w:rsid w:val="008350E9"/>
    <w:rsid w:val="008354BF"/>
    <w:rsid w:val="00836A4F"/>
    <w:rsid w:val="00836D05"/>
    <w:rsid w:val="00836D66"/>
    <w:rsid w:val="00837728"/>
    <w:rsid w:val="0083794C"/>
    <w:rsid w:val="00837E2E"/>
    <w:rsid w:val="00837F61"/>
    <w:rsid w:val="0084082E"/>
    <w:rsid w:val="00840A41"/>
    <w:rsid w:val="00841157"/>
    <w:rsid w:val="00841704"/>
    <w:rsid w:val="00841F53"/>
    <w:rsid w:val="00842AA0"/>
    <w:rsid w:val="00842CC5"/>
    <w:rsid w:val="00842F32"/>
    <w:rsid w:val="00842FEB"/>
    <w:rsid w:val="008432E1"/>
    <w:rsid w:val="00843491"/>
    <w:rsid w:val="00843A9D"/>
    <w:rsid w:val="00843BBF"/>
    <w:rsid w:val="00843E84"/>
    <w:rsid w:val="00843EAC"/>
    <w:rsid w:val="00844514"/>
    <w:rsid w:val="0084453D"/>
    <w:rsid w:val="008448B5"/>
    <w:rsid w:val="00844BC0"/>
    <w:rsid w:val="008454C4"/>
    <w:rsid w:val="00845571"/>
    <w:rsid w:val="00845B1F"/>
    <w:rsid w:val="00846713"/>
    <w:rsid w:val="0084679F"/>
    <w:rsid w:val="0084697D"/>
    <w:rsid w:val="00846B98"/>
    <w:rsid w:val="00846CB1"/>
    <w:rsid w:val="00846E33"/>
    <w:rsid w:val="00846F54"/>
    <w:rsid w:val="008472FF"/>
    <w:rsid w:val="00847B42"/>
    <w:rsid w:val="00847D6C"/>
    <w:rsid w:val="008501E3"/>
    <w:rsid w:val="0085022C"/>
    <w:rsid w:val="00850788"/>
    <w:rsid w:val="00850807"/>
    <w:rsid w:val="00850903"/>
    <w:rsid w:val="0085090F"/>
    <w:rsid w:val="008509D2"/>
    <w:rsid w:val="008509D5"/>
    <w:rsid w:val="00850B82"/>
    <w:rsid w:val="00850F9A"/>
    <w:rsid w:val="00851374"/>
    <w:rsid w:val="008513CC"/>
    <w:rsid w:val="00851503"/>
    <w:rsid w:val="00851680"/>
    <w:rsid w:val="00851A3F"/>
    <w:rsid w:val="00851C81"/>
    <w:rsid w:val="008527A0"/>
    <w:rsid w:val="008531BB"/>
    <w:rsid w:val="00853467"/>
    <w:rsid w:val="00853490"/>
    <w:rsid w:val="00853700"/>
    <w:rsid w:val="00853843"/>
    <w:rsid w:val="00853B32"/>
    <w:rsid w:val="00853D46"/>
    <w:rsid w:val="00853EF5"/>
    <w:rsid w:val="00853F1D"/>
    <w:rsid w:val="0085448F"/>
    <w:rsid w:val="008546D0"/>
    <w:rsid w:val="00854971"/>
    <w:rsid w:val="00854A98"/>
    <w:rsid w:val="00854DC4"/>
    <w:rsid w:val="00854F2B"/>
    <w:rsid w:val="00855603"/>
    <w:rsid w:val="00855CC1"/>
    <w:rsid w:val="00855CD1"/>
    <w:rsid w:val="00855F08"/>
    <w:rsid w:val="00855F0A"/>
    <w:rsid w:val="00856164"/>
    <w:rsid w:val="008561CF"/>
    <w:rsid w:val="00856A07"/>
    <w:rsid w:val="00856BD9"/>
    <w:rsid w:val="00856C9F"/>
    <w:rsid w:val="00856D8A"/>
    <w:rsid w:val="0085714C"/>
    <w:rsid w:val="008571E4"/>
    <w:rsid w:val="00860499"/>
    <w:rsid w:val="008604DC"/>
    <w:rsid w:val="00860C33"/>
    <w:rsid w:val="0086158D"/>
    <w:rsid w:val="00861875"/>
    <w:rsid w:val="008619BC"/>
    <w:rsid w:val="00861A30"/>
    <w:rsid w:val="00861A79"/>
    <w:rsid w:val="00862343"/>
    <w:rsid w:val="00862ABC"/>
    <w:rsid w:val="00862FAC"/>
    <w:rsid w:val="0086349F"/>
    <w:rsid w:val="00863537"/>
    <w:rsid w:val="00863648"/>
    <w:rsid w:val="00863BD2"/>
    <w:rsid w:val="00863E08"/>
    <w:rsid w:val="0086408A"/>
    <w:rsid w:val="008641DA"/>
    <w:rsid w:val="0086446F"/>
    <w:rsid w:val="00864737"/>
    <w:rsid w:val="00864838"/>
    <w:rsid w:val="00864866"/>
    <w:rsid w:val="008649DD"/>
    <w:rsid w:val="00864ACE"/>
    <w:rsid w:val="00864AE0"/>
    <w:rsid w:val="00864D83"/>
    <w:rsid w:val="0086588B"/>
    <w:rsid w:val="00865BE6"/>
    <w:rsid w:val="008660DA"/>
    <w:rsid w:val="008666AC"/>
    <w:rsid w:val="00866A31"/>
    <w:rsid w:val="00867004"/>
    <w:rsid w:val="008673A5"/>
    <w:rsid w:val="00870167"/>
    <w:rsid w:val="008707F7"/>
    <w:rsid w:val="008716EE"/>
    <w:rsid w:val="00871E76"/>
    <w:rsid w:val="00871EF5"/>
    <w:rsid w:val="008721D9"/>
    <w:rsid w:val="00872881"/>
    <w:rsid w:val="008729D5"/>
    <w:rsid w:val="00872C68"/>
    <w:rsid w:val="00872DB9"/>
    <w:rsid w:val="008746E8"/>
    <w:rsid w:val="00874963"/>
    <w:rsid w:val="00874BA7"/>
    <w:rsid w:val="00874D9C"/>
    <w:rsid w:val="008757A2"/>
    <w:rsid w:val="00875FEB"/>
    <w:rsid w:val="0087605E"/>
    <w:rsid w:val="008764A0"/>
    <w:rsid w:val="00876598"/>
    <w:rsid w:val="00876F11"/>
    <w:rsid w:val="00877642"/>
    <w:rsid w:val="00881157"/>
    <w:rsid w:val="008811E6"/>
    <w:rsid w:val="008814F4"/>
    <w:rsid w:val="008831B1"/>
    <w:rsid w:val="0088343B"/>
    <w:rsid w:val="008839DB"/>
    <w:rsid w:val="00883AB0"/>
    <w:rsid w:val="00883AB3"/>
    <w:rsid w:val="00883CC4"/>
    <w:rsid w:val="00883D42"/>
    <w:rsid w:val="008842E4"/>
    <w:rsid w:val="0088461B"/>
    <w:rsid w:val="00884668"/>
    <w:rsid w:val="0088468B"/>
    <w:rsid w:val="00884A08"/>
    <w:rsid w:val="00884A8B"/>
    <w:rsid w:val="00884A94"/>
    <w:rsid w:val="00884C61"/>
    <w:rsid w:val="008853D3"/>
    <w:rsid w:val="008858D1"/>
    <w:rsid w:val="008859C6"/>
    <w:rsid w:val="00885BBD"/>
    <w:rsid w:val="00885E7D"/>
    <w:rsid w:val="0088667A"/>
    <w:rsid w:val="0088669E"/>
    <w:rsid w:val="00886A33"/>
    <w:rsid w:val="00886B87"/>
    <w:rsid w:val="00886BCB"/>
    <w:rsid w:val="00886DF5"/>
    <w:rsid w:val="008871AA"/>
    <w:rsid w:val="008872A6"/>
    <w:rsid w:val="0088748E"/>
    <w:rsid w:val="0088760D"/>
    <w:rsid w:val="00887C24"/>
    <w:rsid w:val="00887E98"/>
    <w:rsid w:val="00890048"/>
    <w:rsid w:val="008901DC"/>
    <w:rsid w:val="00890627"/>
    <w:rsid w:val="00890DEC"/>
    <w:rsid w:val="00891008"/>
    <w:rsid w:val="00891047"/>
    <w:rsid w:val="00891712"/>
    <w:rsid w:val="008917A6"/>
    <w:rsid w:val="008918D5"/>
    <w:rsid w:val="00891AB9"/>
    <w:rsid w:val="00891C48"/>
    <w:rsid w:val="00891E7E"/>
    <w:rsid w:val="00891F40"/>
    <w:rsid w:val="008926C1"/>
    <w:rsid w:val="00892B52"/>
    <w:rsid w:val="00893344"/>
    <w:rsid w:val="008937C4"/>
    <w:rsid w:val="00893B78"/>
    <w:rsid w:val="00893C18"/>
    <w:rsid w:val="00893C7B"/>
    <w:rsid w:val="00893EA8"/>
    <w:rsid w:val="00893EED"/>
    <w:rsid w:val="00894060"/>
    <w:rsid w:val="00894069"/>
    <w:rsid w:val="00894429"/>
    <w:rsid w:val="0089457E"/>
    <w:rsid w:val="00894D3A"/>
    <w:rsid w:val="00895C10"/>
    <w:rsid w:val="00895C5A"/>
    <w:rsid w:val="00895C5B"/>
    <w:rsid w:val="00895D60"/>
    <w:rsid w:val="00895D8E"/>
    <w:rsid w:val="008964FE"/>
    <w:rsid w:val="00896577"/>
    <w:rsid w:val="00896A64"/>
    <w:rsid w:val="0089705C"/>
    <w:rsid w:val="0089745C"/>
    <w:rsid w:val="0089769C"/>
    <w:rsid w:val="00897E32"/>
    <w:rsid w:val="008A031F"/>
    <w:rsid w:val="008A0609"/>
    <w:rsid w:val="008A0865"/>
    <w:rsid w:val="008A088F"/>
    <w:rsid w:val="008A0AD2"/>
    <w:rsid w:val="008A0F16"/>
    <w:rsid w:val="008A0FE3"/>
    <w:rsid w:val="008A173F"/>
    <w:rsid w:val="008A1946"/>
    <w:rsid w:val="008A19A2"/>
    <w:rsid w:val="008A24BB"/>
    <w:rsid w:val="008A2FA5"/>
    <w:rsid w:val="008A300D"/>
    <w:rsid w:val="008A372A"/>
    <w:rsid w:val="008A392B"/>
    <w:rsid w:val="008A40D5"/>
    <w:rsid w:val="008A411D"/>
    <w:rsid w:val="008A4133"/>
    <w:rsid w:val="008A4804"/>
    <w:rsid w:val="008A4D69"/>
    <w:rsid w:val="008A4EC0"/>
    <w:rsid w:val="008A4F79"/>
    <w:rsid w:val="008A508D"/>
    <w:rsid w:val="008A5711"/>
    <w:rsid w:val="008A5A0D"/>
    <w:rsid w:val="008A5D5A"/>
    <w:rsid w:val="008A5E0F"/>
    <w:rsid w:val="008A6327"/>
    <w:rsid w:val="008A6768"/>
    <w:rsid w:val="008A6774"/>
    <w:rsid w:val="008A6A3F"/>
    <w:rsid w:val="008A6D70"/>
    <w:rsid w:val="008A74AA"/>
    <w:rsid w:val="008A7978"/>
    <w:rsid w:val="008A7C8F"/>
    <w:rsid w:val="008A7E6F"/>
    <w:rsid w:val="008A7E81"/>
    <w:rsid w:val="008B03B9"/>
    <w:rsid w:val="008B08BF"/>
    <w:rsid w:val="008B08E0"/>
    <w:rsid w:val="008B0A42"/>
    <w:rsid w:val="008B0B24"/>
    <w:rsid w:val="008B0B43"/>
    <w:rsid w:val="008B0E54"/>
    <w:rsid w:val="008B0E7D"/>
    <w:rsid w:val="008B1073"/>
    <w:rsid w:val="008B116D"/>
    <w:rsid w:val="008B123A"/>
    <w:rsid w:val="008B16D3"/>
    <w:rsid w:val="008B17FE"/>
    <w:rsid w:val="008B1840"/>
    <w:rsid w:val="008B1964"/>
    <w:rsid w:val="008B1AB6"/>
    <w:rsid w:val="008B1F1C"/>
    <w:rsid w:val="008B2287"/>
    <w:rsid w:val="008B231A"/>
    <w:rsid w:val="008B2456"/>
    <w:rsid w:val="008B2852"/>
    <w:rsid w:val="008B29C9"/>
    <w:rsid w:val="008B2A29"/>
    <w:rsid w:val="008B309D"/>
    <w:rsid w:val="008B37ED"/>
    <w:rsid w:val="008B4E74"/>
    <w:rsid w:val="008B4F68"/>
    <w:rsid w:val="008B50A0"/>
    <w:rsid w:val="008B52BF"/>
    <w:rsid w:val="008B532F"/>
    <w:rsid w:val="008B54BF"/>
    <w:rsid w:val="008B5762"/>
    <w:rsid w:val="008B5C2A"/>
    <w:rsid w:val="008B61E9"/>
    <w:rsid w:val="008B62E5"/>
    <w:rsid w:val="008B6637"/>
    <w:rsid w:val="008B6AA1"/>
    <w:rsid w:val="008B7005"/>
    <w:rsid w:val="008B7597"/>
    <w:rsid w:val="008B7D1A"/>
    <w:rsid w:val="008B7E5D"/>
    <w:rsid w:val="008C009A"/>
    <w:rsid w:val="008C066F"/>
    <w:rsid w:val="008C088C"/>
    <w:rsid w:val="008C0A18"/>
    <w:rsid w:val="008C0C8B"/>
    <w:rsid w:val="008C0C93"/>
    <w:rsid w:val="008C1493"/>
    <w:rsid w:val="008C187A"/>
    <w:rsid w:val="008C1E4C"/>
    <w:rsid w:val="008C225C"/>
    <w:rsid w:val="008C241B"/>
    <w:rsid w:val="008C24AF"/>
    <w:rsid w:val="008C29A8"/>
    <w:rsid w:val="008C2A29"/>
    <w:rsid w:val="008C2B9B"/>
    <w:rsid w:val="008C2D4B"/>
    <w:rsid w:val="008C336C"/>
    <w:rsid w:val="008C336F"/>
    <w:rsid w:val="008C39B6"/>
    <w:rsid w:val="008C4388"/>
    <w:rsid w:val="008C451D"/>
    <w:rsid w:val="008C499D"/>
    <w:rsid w:val="008C6056"/>
    <w:rsid w:val="008C6820"/>
    <w:rsid w:val="008C6874"/>
    <w:rsid w:val="008C6DFC"/>
    <w:rsid w:val="008C6E13"/>
    <w:rsid w:val="008C76D6"/>
    <w:rsid w:val="008C782D"/>
    <w:rsid w:val="008C786B"/>
    <w:rsid w:val="008C78B0"/>
    <w:rsid w:val="008C7C56"/>
    <w:rsid w:val="008C7F34"/>
    <w:rsid w:val="008D0448"/>
    <w:rsid w:val="008D054B"/>
    <w:rsid w:val="008D065A"/>
    <w:rsid w:val="008D0BD5"/>
    <w:rsid w:val="008D0C09"/>
    <w:rsid w:val="008D1262"/>
    <w:rsid w:val="008D12B6"/>
    <w:rsid w:val="008D161D"/>
    <w:rsid w:val="008D1650"/>
    <w:rsid w:val="008D169F"/>
    <w:rsid w:val="008D1732"/>
    <w:rsid w:val="008D1B1F"/>
    <w:rsid w:val="008D222F"/>
    <w:rsid w:val="008D2A07"/>
    <w:rsid w:val="008D2BF7"/>
    <w:rsid w:val="008D3210"/>
    <w:rsid w:val="008D323B"/>
    <w:rsid w:val="008D335B"/>
    <w:rsid w:val="008D3D40"/>
    <w:rsid w:val="008D4B62"/>
    <w:rsid w:val="008D4D55"/>
    <w:rsid w:val="008D5078"/>
    <w:rsid w:val="008D526D"/>
    <w:rsid w:val="008D55FE"/>
    <w:rsid w:val="008D5867"/>
    <w:rsid w:val="008D5985"/>
    <w:rsid w:val="008D6029"/>
    <w:rsid w:val="008D6092"/>
    <w:rsid w:val="008D6F91"/>
    <w:rsid w:val="008D7624"/>
    <w:rsid w:val="008D776A"/>
    <w:rsid w:val="008D7917"/>
    <w:rsid w:val="008D7A10"/>
    <w:rsid w:val="008D7BF4"/>
    <w:rsid w:val="008E0550"/>
    <w:rsid w:val="008E06F4"/>
    <w:rsid w:val="008E0EA1"/>
    <w:rsid w:val="008E102D"/>
    <w:rsid w:val="008E1170"/>
    <w:rsid w:val="008E15C8"/>
    <w:rsid w:val="008E165C"/>
    <w:rsid w:val="008E16D0"/>
    <w:rsid w:val="008E16E7"/>
    <w:rsid w:val="008E1A64"/>
    <w:rsid w:val="008E2290"/>
    <w:rsid w:val="008E2C32"/>
    <w:rsid w:val="008E2C62"/>
    <w:rsid w:val="008E33B7"/>
    <w:rsid w:val="008E367C"/>
    <w:rsid w:val="008E3973"/>
    <w:rsid w:val="008E39BC"/>
    <w:rsid w:val="008E3E9F"/>
    <w:rsid w:val="008E3FBD"/>
    <w:rsid w:val="008E41CE"/>
    <w:rsid w:val="008E4370"/>
    <w:rsid w:val="008E4593"/>
    <w:rsid w:val="008E5198"/>
    <w:rsid w:val="008E5BB1"/>
    <w:rsid w:val="008E5BBD"/>
    <w:rsid w:val="008E662F"/>
    <w:rsid w:val="008E67CE"/>
    <w:rsid w:val="008E7186"/>
    <w:rsid w:val="008E72D1"/>
    <w:rsid w:val="008E72E0"/>
    <w:rsid w:val="008E7D24"/>
    <w:rsid w:val="008E7F0F"/>
    <w:rsid w:val="008F0141"/>
    <w:rsid w:val="008F07D5"/>
    <w:rsid w:val="008F0BE3"/>
    <w:rsid w:val="008F0D45"/>
    <w:rsid w:val="008F0E54"/>
    <w:rsid w:val="008F0F5B"/>
    <w:rsid w:val="008F101F"/>
    <w:rsid w:val="008F1BA4"/>
    <w:rsid w:val="008F1EDF"/>
    <w:rsid w:val="008F1FC5"/>
    <w:rsid w:val="008F2513"/>
    <w:rsid w:val="008F3001"/>
    <w:rsid w:val="008F35DF"/>
    <w:rsid w:val="008F3638"/>
    <w:rsid w:val="008F3981"/>
    <w:rsid w:val="008F3AB7"/>
    <w:rsid w:val="008F3CC6"/>
    <w:rsid w:val="008F40B4"/>
    <w:rsid w:val="008F40E5"/>
    <w:rsid w:val="008F4AB4"/>
    <w:rsid w:val="008F4AE5"/>
    <w:rsid w:val="008F4AF9"/>
    <w:rsid w:val="008F4DB2"/>
    <w:rsid w:val="008F4E06"/>
    <w:rsid w:val="008F4EA8"/>
    <w:rsid w:val="008F4FB9"/>
    <w:rsid w:val="008F5282"/>
    <w:rsid w:val="008F5AC4"/>
    <w:rsid w:val="008F5ECC"/>
    <w:rsid w:val="008F5F11"/>
    <w:rsid w:val="008F639C"/>
    <w:rsid w:val="008F641B"/>
    <w:rsid w:val="008F65AB"/>
    <w:rsid w:val="008F6797"/>
    <w:rsid w:val="008F6B89"/>
    <w:rsid w:val="008F6BCA"/>
    <w:rsid w:val="008F72CF"/>
    <w:rsid w:val="008F7400"/>
    <w:rsid w:val="008F7615"/>
    <w:rsid w:val="008F796C"/>
    <w:rsid w:val="00900EC5"/>
    <w:rsid w:val="0090112B"/>
    <w:rsid w:val="00901446"/>
    <w:rsid w:val="00901B14"/>
    <w:rsid w:val="0090297F"/>
    <w:rsid w:val="00903B3E"/>
    <w:rsid w:val="00903D6C"/>
    <w:rsid w:val="00903DE0"/>
    <w:rsid w:val="00904900"/>
    <w:rsid w:val="00904A63"/>
    <w:rsid w:val="00904AF6"/>
    <w:rsid w:val="00904D47"/>
    <w:rsid w:val="00905168"/>
    <w:rsid w:val="00905275"/>
    <w:rsid w:val="009055ED"/>
    <w:rsid w:val="00905C66"/>
    <w:rsid w:val="00905CD3"/>
    <w:rsid w:val="00905F6E"/>
    <w:rsid w:val="009067DA"/>
    <w:rsid w:val="00906940"/>
    <w:rsid w:val="0090699B"/>
    <w:rsid w:val="00906D43"/>
    <w:rsid w:val="00906EFC"/>
    <w:rsid w:val="00906FFF"/>
    <w:rsid w:val="00907194"/>
    <w:rsid w:val="009072DA"/>
    <w:rsid w:val="009074F3"/>
    <w:rsid w:val="00907FFB"/>
    <w:rsid w:val="009106AF"/>
    <w:rsid w:val="00911448"/>
    <w:rsid w:val="009118E2"/>
    <w:rsid w:val="00911C43"/>
    <w:rsid w:val="00912ACA"/>
    <w:rsid w:val="009130CF"/>
    <w:rsid w:val="00913345"/>
    <w:rsid w:val="00913D6A"/>
    <w:rsid w:val="00913E3E"/>
    <w:rsid w:val="00913F03"/>
    <w:rsid w:val="00914502"/>
    <w:rsid w:val="009150AF"/>
    <w:rsid w:val="009151A1"/>
    <w:rsid w:val="0091534B"/>
    <w:rsid w:val="0091543F"/>
    <w:rsid w:val="00915686"/>
    <w:rsid w:val="009156E7"/>
    <w:rsid w:val="00915DC1"/>
    <w:rsid w:val="0091651D"/>
    <w:rsid w:val="00916D5F"/>
    <w:rsid w:val="00916F6B"/>
    <w:rsid w:val="00917070"/>
    <w:rsid w:val="009174EC"/>
    <w:rsid w:val="00917571"/>
    <w:rsid w:val="0091774A"/>
    <w:rsid w:val="00917DCF"/>
    <w:rsid w:val="00917DE7"/>
    <w:rsid w:val="0092011C"/>
    <w:rsid w:val="009204E8"/>
    <w:rsid w:val="00920560"/>
    <w:rsid w:val="009207ED"/>
    <w:rsid w:val="00920B25"/>
    <w:rsid w:val="00920D0A"/>
    <w:rsid w:val="00920EB1"/>
    <w:rsid w:val="00920EB2"/>
    <w:rsid w:val="009213AA"/>
    <w:rsid w:val="00921567"/>
    <w:rsid w:val="0092170B"/>
    <w:rsid w:val="0092193F"/>
    <w:rsid w:val="00921B78"/>
    <w:rsid w:val="0092221C"/>
    <w:rsid w:val="009225CB"/>
    <w:rsid w:val="00922625"/>
    <w:rsid w:val="009228F8"/>
    <w:rsid w:val="0092293B"/>
    <w:rsid w:val="00922A62"/>
    <w:rsid w:val="0092360B"/>
    <w:rsid w:val="00923940"/>
    <w:rsid w:val="00923FC9"/>
    <w:rsid w:val="00924103"/>
    <w:rsid w:val="0092468A"/>
    <w:rsid w:val="00924C45"/>
    <w:rsid w:val="0092516A"/>
    <w:rsid w:val="00926042"/>
    <w:rsid w:val="00926536"/>
    <w:rsid w:val="00927A6A"/>
    <w:rsid w:val="00927A9F"/>
    <w:rsid w:val="00927AF5"/>
    <w:rsid w:val="00927C2D"/>
    <w:rsid w:val="00931269"/>
    <w:rsid w:val="00931D2D"/>
    <w:rsid w:val="00932740"/>
    <w:rsid w:val="00932864"/>
    <w:rsid w:val="00932BF0"/>
    <w:rsid w:val="00932DDF"/>
    <w:rsid w:val="00932F98"/>
    <w:rsid w:val="0093310F"/>
    <w:rsid w:val="0093333F"/>
    <w:rsid w:val="009335D5"/>
    <w:rsid w:val="00933EF6"/>
    <w:rsid w:val="00934502"/>
    <w:rsid w:val="0093471A"/>
    <w:rsid w:val="00934B07"/>
    <w:rsid w:val="009353FD"/>
    <w:rsid w:val="00935436"/>
    <w:rsid w:val="00935AD5"/>
    <w:rsid w:val="00935B39"/>
    <w:rsid w:val="00936015"/>
    <w:rsid w:val="009361F4"/>
    <w:rsid w:val="0093661E"/>
    <w:rsid w:val="0093686C"/>
    <w:rsid w:val="00936C45"/>
    <w:rsid w:val="00937035"/>
    <w:rsid w:val="0093753E"/>
    <w:rsid w:val="00937705"/>
    <w:rsid w:val="00937718"/>
    <w:rsid w:val="00940157"/>
    <w:rsid w:val="00940161"/>
    <w:rsid w:val="009404AF"/>
    <w:rsid w:val="00940539"/>
    <w:rsid w:val="0094066D"/>
    <w:rsid w:val="00940A58"/>
    <w:rsid w:val="00940D33"/>
    <w:rsid w:val="009415CB"/>
    <w:rsid w:val="009419C5"/>
    <w:rsid w:val="00941D41"/>
    <w:rsid w:val="00942085"/>
    <w:rsid w:val="0094219A"/>
    <w:rsid w:val="00942476"/>
    <w:rsid w:val="009425F8"/>
    <w:rsid w:val="00942655"/>
    <w:rsid w:val="0094278C"/>
    <w:rsid w:val="0094299D"/>
    <w:rsid w:val="00942C0D"/>
    <w:rsid w:val="00942F3D"/>
    <w:rsid w:val="00943135"/>
    <w:rsid w:val="009431EB"/>
    <w:rsid w:val="009434BB"/>
    <w:rsid w:val="009435E5"/>
    <w:rsid w:val="00943B5F"/>
    <w:rsid w:val="00943CCF"/>
    <w:rsid w:val="00943D2D"/>
    <w:rsid w:val="00943DCE"/>
    <w:rsid w:val="0094403B"/>
    <w:rsid w:val="00944057"/>
    <w:rsid w:val="0094420E"/>
    <w:rsid w:val="0094433A"/>
    <w:rsid w:val="0094450B"/>
    <w:rsid w:val="00944887"/>
    <w:rsid w:val="00944B26"/>
    <w:rsid w:val="00944C24"/>
    <w:rsid w:val="00944F57"/>
    <w:rsid w:val="009452C2"/>
    <w:rsid w:val="00945320"/>
    <w:rsid w:val="0094565D"/>
    <w:rsid w:val="009465B4"/>
    <w:rsid w:val="00946E12"/>
    <w:rsid w:val="00946E95"/>
    <w:rsid w:val="009470C1"/>
    <w:rsid w:val="0094710C"/>
    <w:rsid w:val="0094712D"/>
    <w:rsid w:val="00947434"/>
    <w:rsid w:val="00947693"/>
    <w:rsid w:val="00947949"/>
    <w:rsid w:val="00947AC3"/>
    <w:rsid w:val="0095049B"/>
    <w:rsid w:val="00950523"/>
    <w:rsid w:val="00950EE9"/>
    <w:rsid w:val="0095107A"/>
    <w:rsid w:val="00951121"/>
    <w:rsid w:val="009517B3"/>
    <w:rsid w:val="00951A51"/>
    <w:rsid w:val="00951FE1"/>
    <w:rsid w:val="009521DB"/>
    <w:rsid w:val="00952C26"/>
    <w:rsid w:val="00952E64"/>
    <w:rsid w:val="00952F75"/>
    <w:rsid w:val="00953057"/>
    <w:rsid w:val="00953176"/>
    <w:rsid w:val="0095320E"/>
    <w:rsid w:val="00953357"/>
    <w:rsid w:val="00953574"/>
    <w:rsid w:val="009538CE"/>
    <w:rsid w:val="0095395D"/>
    <w:rsid w:val="00953C72"/>
    <w:rsid w:val="00953CC1"/>
    <w:rsid w:val="00953E1C"/>
    <w:rsid w:val="0095467D"/>
    <w:rsid w:val="009549F7"/>
    <w:rsid w:val="00954B97"/>
    <w:rsid w:val="00954BB2"/>
    <w:rsid w:val="00954C48"/>
    <w:rsid w:val="00954CC2"/>
    <w:rsid w:val="00955068"/>
    <w:rsid w:val="00955D51"/>
    <w:rsid w:val="0095675E"/>
    <w:rsid w:val="009567D8"/>
    <w:rsid w:val="0095695D"/>
    <w:rsid w:val="00956B27"/>
    <w:rsid w:val="009573A9"/>
    <w:rsid w:val="00957546"/>
    <w:rsid w:val="0095772F"/>
    <w:rsid w:val="00957757"/>
    <w:rsid w:val="009579D2"/>
    <w:rsid w:val="00957CDD"/>
    <w:rsid w:val="009601AC"/>
    <w:rsid w:val="00960A70"/>
    <w:rsid w:val="00961019"/>
    <w:rsid w:val="0096130C"/>
    <w:rsid w:val="00961352"/>
    <w:rsid w:val="00961589"/>
    <w:rsid w:val="00961748"/>
    <w:rsid w:val="0096187F"/>
    <w:rsid w:val="00961988"/>
    <w:rsid w:val="00961D1E"/>
    <w:rsid w:val="00962313"/>
    <w:rsid w:val="009623A1"/>
    <w:rsid w:val="0096275B"/>
    <w:rsid w:val="009627A6"/>
    <w:rsid w:val="00962827"/>
    <w:rsid w:val="009628ED"/>
    <w:rsid w:val="00962B84"/>
    <w:rsid w:val="00962F83"/>
    <w:rsid w:val="009633A5"/>
    <w:rsid w:val="0096383B"/>
    <w:rsid w:val="00963BBC"/>
    <w:rsid w:val="00963BDE"/>
    <w:rsid w:val="00964240"/>
    <w:rsid w:val="00965243"/>
    <w:rsid w:val="0096531A"/>
    <w:rsid w:val="0096583F"/>
    <w:rsid w:val="00965C99"/>
    <w:rsid w:val="00965D0C"/>
    <w:rsid w:val="00966078"/>
    <w:rsid w:val="00966459"/>
    <w:rsid w:val="00966499"/>
    <w:rsid w:val="009670D4"/>
    <w:rsid w:val="00967273"/>
    <w:rsid w:val="00967AA3"/>
    <w:rsid w:val="00967C78"/>
    <w:rsid w:val="00970AC4"/>
    <w:rsid w:val="00970B04"/>
    <w:rsid w:val="00970B0B"/>
    <w:rsid w:val="00970BC4"/>
    <w:rsid w:val="009710F9"/>
    <w:rsid w:val="0097132A"/>
    <w:rsid w:val="00971C2C"/>
    <w:rsid w:val="009720F1"/>
    <w:rsid w:val="00972B4F"/>
    <w:rsid w:val="00972DB8"/>
    <w:rsid w:val="00973021"/>
    <w:rsid w:val="0097329F"/>
    <w:rsid w:val="0097344F"/>
    <w:rsid w:val="00973D6E"/>
    <w:rsid w:val="00973F7F"/>
    <w:rsid w:val="009743E1"/>
    <w:rsid w:val="009748D2"/>
    <w:rsid w:val="00974B98"/>
    <w:rsid w:val="009754F4"/>
    <w:rsid w:val="00975874"/>
    <w:rsid w:val="0097674B"/>
    <w:rsid w:val="00976DD1"/>
    <w:rsid w:val="00977B97"/>
    <w:rsid w:val="00977CE2"/>
    <w:rsid w:val="00977E8B"/>
    <w:rsid w:val="00977EAC"/>
    <w:rsid w:val="00980F29"/>
    <w:rsid w:val="009817F6"/>
    <w:rsid w:val="009818D9"/>
    <w:rsid w:val="009818FE"/>
    <w:rsid w:val="00981BC9"/>
    <w:rsid w:val="00981C97"/>
    <w:rsid w:val="00981CF8"/>
    <w:rsid w:val="00981F3E"/>
    <w:rsid w:val="0098217B"/>
    <w:rsid w:val="00982508"/>
    <w:rsid w:val="00982A55"/>
    <w:rsid w:val="009836CC"/>
    <w:rsid w:val="00983947"/>
    <w:rsid w:val="00983BB9"/>
    <w:rsid w:val="00983BE0"/>
    <w:rsid w:val="00983D5D"/>
    <w:rsid w:val="00983E5D"/>
    <w:rsid w:val="00984E81"/>
    <w:rsid w:val="0098527F"/>
    <w:rsid w:val="00985459"/>
    <w:rsid w:val="009858BD"/>
    <w:rsid w:val="0098597A"/>
    <w:rsid w:val="00985C6E"/>
    <w:rsid w:val="00985E43"/>
    <w:rsid w:val="0098618C"/>
    <w:rsid w:val="00986A49"/>
    <w:rsid w:val="00986D90"/>
    <w:rsid w:val="00986E6C"/>
    <w:rsid w:val="00987121"/>
    <w:rsid w:val="00987201"/>
    <w:rsid w:val="0098744C"/>
    <w:rsid w:val="00987A31"/>
    <w:rsid w:val="009902E7"/>
    <w:rsid w:val="009907A9"/>
    <w:rsid w:val="009909B9"/>
    <w:rsid w:val="009909C5"/>
    <w:rsid w:val="00990C41"/>
    <w:rsid w:val="00991134"/>
    <w:rsid w:val="00991390"/>
    <w:rsid w:val="00991488"/>
    <w:rsid w:val="00991849"/>
    <w:rsid w:val="00991A44"/>
    <w:rsid w:val="009920E1"/>
    <w:rsid w:val="009921DE"/>
    <w:rsid w:val="00992C83"/>
    <w:rsid w:val="00992F73"/>
    <w:rsid w:val="00993140"/>
    <w:rsid w:val="00993261"/>
    <w:rsid w:val="009932A2"/>
    <w:rsid w:val="009936DE"/>
    <w:rsid w:val="00993A4C"/>
    <w:rsid w:val="00993ED8"/>
    <w:rsid w:val="009945D2"/>
    <w:rsid w:val="00994B15"/>
    <w:rsid w:val="009951AE"/>
    <w:rsid w:val="00995569"/>
    <w:rsid w:val="00995673"/>
    <w:rsid w:val="009959DF"/>
    <w:rsid w:val="009959EE"/>
    <w:rsid w:val="00995C05"/>
    <w:rsid w:val="00995D49"/>
    <w:rsid w:val="009961DA"/>
    <w:rsid w:val="009967A4"/>
    <w:rsid w:val="009967E2"/>
    <w:rsid w:val="009967EC"/>
    <w:rsid w:val="00996B88"/>
    <w:rsid w:val="00996DCC"/>
    <w:rsid w:val="0099765E"/>
    <w:rsid w:val="009977ED"/>
    <w:rsid w:val="00997C9A"/>
    <w:rsid w:val="009A0244"/>
    <w:rsid w:val="009A02E8"/>
    <w:rsid w:val="009A087B"/>
    <w:rsid w:val="009A0C20"/>
    <w:rsid w:val="009A0DCC"/>
    <w:rsid w:val="009A0FB4"/>
    <w:rsid w:val="009A1599"/>
    <w:rsid w:val="009A170D"/>
    <w:rsid w:val="009A1D9C"/>
    <w:rsid w:val="009A2255"/>
    <w:rsid w:val="009A2830"/>
    <w:rsid w:val="009A2BFD"/>
    <w:rsid w:val="009A2D3D"/>
    <w:rsid w:val="009A2FD9"/>
    <w:rsid w:val="009A304C"/>
    <w:rsid w:val="009A3379"/>
    <w:rsid w:val="009A3D3C"/>
    <w:rsid w:val="009A40C8"/>
    <w:rsid w:val="009A4795"/>
    <w:rsid w:val="009A497C"/>
    <w:rsid w:val="009A49AE"/>
    <w:rsid w:val="009A4DB7"/>
    <w:rsid w:val="009A4E7B"/>
    <w:rsid w:val="009A5ADB"/>
    <w:rsid w:val="009A5E0C"/>
    <w:rsid w:val="009A6C68"/>
    <w:rsid w:val="009A787D"/>
    <w:rsid w:val="009A7CFD"/>
    <w:rsid w:val="009B0156"/>
    <w:rsid w:val="009B0253"/>
    <w:rsid w:val="009B0288"/>
    <w:rsid w:val="009B0DEC"/>
    <w:rsid w:val="009B103D"/>
    <w:rsid w:val="009B1E70"/>
    <w:rsid w:val="009B1F55"/>
    <w:rsid w:val="009B2025"/>
    <w:rsid w:val="009B22D1"/>
    <w:rsid w:val="009B29C2"/>
    <w:rsid w:val="009B2B91"/>
    <w:rsid w:val="009B2C14"/>
    <w:rsid w:val="009B2D67"/>
    <w:rsid w:val="009B2FDB"/>
    <w:rsid w:val="009B3055"/>
    <w:rsid w:val="009B4429"/>
    <w:rsid w:val="009B4DC3"/>
    <w:rsid w:val="009B51C8"/>
    <w:rsid w:val="009B54EA"/>
    <w:rsid w:val="009B5A47"/>
    <w:rsid w:val="009B5D15"/>
    <w:rsid w:val="009B5D59"/>
    <w:rsid w:val="009B63EF"/>
    <w:rsid w:val="009B64C9"/>
    <w:rsid w:val="009B6831"/>
    <w:rsid w:val="009B6B95"/>
    <w:rsid w:val="009B6D10"/>
    <w:rsid w:val="009B6DA9"/>
    <w:rsid w:val="009B6DDE"/>
    <w:rsid w:val="009B6F09"/>
    <w:rsid w:val="009B74B0"/>
    <w:rsid w:val="009B7A2B"/>
    <w:rsid w:val="009C0036"/>
    <w:rsid w:val="009C0325"/>
    <w:rsid w:val="009C054B"/>
    <w:rsid w:val="009C06F3"/>
    <w:rsid w:val="009C0AA3"/>
    <w:rsid w:val="009C0DF0"/>
    <w:rsid w:val="009C1031"/>
    <w:rsid w:val="009C185E"/>
    <w:rsid w:val="009C18CC"/>
    <w:rsid w:val="009C1B95"/>
    <w:rsid w:val="009C1C25"/>
    <w:rsid w:val="009C24E7"/>
    <w:rsid w:val="009C2E53"/>
    <w:rsid w:val="009C2F7A"/>
    <w:rsid w:val="009C2FFF"/>
    <w:rsid w:val="009C32C8"/>
    <w:rsid w:val="009C338E"/>
    <w:rsid w:val="009C35ED"/>
    <w:rsid w:val="009C3797"/>
    <w:rsid w:val="009C3AC0"/>
    <w:rsid w:val="009C3DE3"/>
    <w:rsid w:val="009C40E4"/>
    <w:rsid w:val="009C44D3"/>
    <w:rsid w:val="009C4FE8"/>
    <w:rsid w:val="009C5377"/>
    <w:rsid w:val="009C588B"/>
    <w:rsid w:val="009C5E47"/>
    <w:rsid w:val="009C5FB7"/>
    <w:rsid w:val="009C63EA"/>
    <w:rsid w:val="009C6D44"/>
    <w:rsid w:val="009C706A"/>
    <w:rsid w:val="009C7425"/>
    <w:rsid w:val="009C7A03"/>
    <w:rsid w:val="009C7BEC"/>
    <w:rsid w:val="009C7E7A"/>
    <w:rsid w:val="009D021A"/>
    <w:rsid w:val="009D0AD4"/>
    <w:rsid w:val="009D13A5"/>
    <w:rsid w:val="009D13F6"/>
    <w:rsid w:val="009D1703"/>
    <w:rsid w:val="009D19E9"/>
    <w:rsid w:val="009D1BE5"/>
    <w:rsid w:val="009D1E4D"/>
    <w:rsid w:val="009D21F6"/>
    <w:rsid w:val="009D245A"/>
    <w:rsid w:val="009D2735"/>
    <w:rsid w:val="009D2BC6"/>
    <w:rsid w:val="009D2FA3"/>
    <w:rsid w:val="009D310D"/>
    <w:rsid w:val="009D3D18"/>
    <w:rsid w:val="009D3FC1"/>
    <w:rsid w:val="009D4229"/>
    <w:rsid w:val="009D4DDB"/>
    <w:rsid w:val="009D4E8B"/>
    <w:rsid w:val="009D544F"/>
    <w:rsid w:val="009D56FF"/>
    <w:rsid w:val="009D5AE8"/>
    <w:rsid w:val="009D5C30"/>
    <w:rsid w:val="009D5C67"/>
    <w:rsid w:val="009D5FC8"/>
    <w:rsid w:val="009D6135"/>
    <w:rsid w:val="009D6A00"/>
    <w:rsid w:val="009D6A84"/>
    <w:rsid w:val="009D6F2B"/>
    <w:rsid w:val="009D767B"/>
    <w:rsid w:val="009E03CF"/>
    <w:rsid w:val="009E09C8"/>
    <w:rsid w:val="009E0EEE"/>
    <w:rsid w:val="009E1E86"/>
    <w:rsid w:val="009E1F4F"/>
    <w:rsid w:val="009E2741"/>
    <w:rsid w:val="009E285C"/>
    <w:rsid w:val="009E2963"/>
    <w:rsid w:val="009E2991"/>
    <w:rsid w:val="009E2D18"/>
    <w:rsid w:val="009E35D2"/>
    <w:rsid w:val="009E36FB"/>
    <w:rsid w:val="009E372D"/>
    <w:rsid w:val="009E373B"/>
    <w:rsid w:val="009E3F7D"/>
    <w:rsid w:val="009E3F89"/>
    <w:rsid w:val="009E40F3"/>
    <w:rsid w:val="009E4BDE"/>
    <w:rsid w:val="009E56B9"/>
    <w:rsid w:val="009E5797"/>
    <w:rsid w:val="009E5972"/>
    <w:rsid w:val="009E5B4E"/>
    <w:rsid w:val="009E646B"/>
    <w:rsid w:val="009E6A08"/>
    <w:rsid w:val="009E6B3D"/>
    <w:rsid w:val="009E6C3F"/>
    <w:rsid w:val="009E7086"/>
    <w:rsid w:val="009E7101"/>
    <w:rsid w:val="009E7EE6"/>
    <w:rsid w:val="009F0202"/>
    <w:rsid w:val="009F0C03"/>
    <w:rsid w:val="009F0C0D"/>
    <w:rsid w:val="009F1409"/>
    <w:rsid w:val="009F180A"/>
    <w:rsid w:val="009F1E92"/>
    <w:rsid w:val="009F29E8"/>
    <w:rsid w:val="009F2B5C"/>
    <w:rsid w:val="009F2D40"/>
    <w:rsid w:val="009F2E03"/>
    <w:rsid w:val="009F2FE3"/>
    <w:rsid w:val="009F30F2"/>
    <w:rsid w:val="009F3221"/>
    <w:rsid w:val="009F3429"/>
    <w:rsid w:val="009F36B6"/>
    <w:rsid w:val="009F3CD0"/>
    <w:rsid w:val="009F3FCD"/>
    <w:rsid w:val="009F401B"/>
    <w:rsid w:val="009F40FE"/>
    <w:rsid w:val="009F4743"/>
    <w:rsid w:val="009F531C"/>
    <w:rsid w:val="009F576C"/>
    <w:rsid w:val="009F5867"/>
    <w:rsid w:val="009F66A3"/>
    <w:rsid w:val="009F7787"/>
    <w:rsid w:val="009F78C3"/>
    <w:rsid w:val="009F7CA2"/>
    <w:rsid w:val="009F7CE6"/>
    <w:rsid w:val="00A003D9"/>
    <w:rsid w:val="00A00B9D"/>
    <w:rsid w:val="00A01026"/>
    <w:rsid w:val="00A01268"/>
    <w:rsid w:val="00A012D8"/>
    <w:rsid w:val="00A01502"/>
    <w:rsid w:val="00A015BD"/>
    <w:rsid w:val="00A0210D"/>
    <w:rsid w:val="00A02137"/>
    <w:rsid w:val="00A026E2"/>
    <w:rsid w:val="00A02723"/>
    <w:rsid w:val="00A0335C"/>
    <w:rsid w:val="00A0358F"/>
    <w:rsid w:val="00A0383D"/>
    <w:rsid w:val="00A04C1F"/>
    <w:rsid w:val="00A05044"/>
    <w:rsid w:val="00A0534D"/>
    <w:rsid w:val="00A05BA4"/>
    <w:rsid w:val="00A05F1C"/>
    <w:rsid w:val="00A06777"/>
    <w:rsid w:val="00A06B56"/>
    <w:rsid w:val="00A0742F"/>
    <w:rsid w:val="00A077BD"/>
    <w:rsid w:val="00A07A6A"/>
    <w:rsid w:val="00A10EEC"/>
    <w:rsid w:val="00A118C7"/>
    <w:rsid w:val="00A11C35"/>
    <w:rsid w:val="00A11D08"/>
    <w:rsid w:val="00A1289D"/>
    <w:rsid w:val="00A12C4D"/>
    <w:rsid w:val="00A12F67"/>
    <w:rsid w:val="00A132BD"/>
    <w:rsid w:val="00A13379"/>
    <w:rsid w:val="00A13657"/>
    <w:rsid w:val="00A139A4"/>
    <w:rsid w:val="00A14589"/>
    <w:rsid w:val="00A14A34"/>
    <w:rsid w:val="00A14BC2"/>
    <w:rsid w:val="00A14C61"/>
    <w:rsid w:val="00A14F89"/>
    <w:rsid w:val="00A15077"/>
    <w:rsid w:val="00A15758"/>
    <w:rsid w:val="00A15FD9"/>
    <w:rsid w:val="00A16BAE"/>
    <w:rsid w:val="00A16BC1"/>
    <w:rsid w:val="00A16CCC"/>
    <w:rsid w:val="00A174A6"/>
    <w:rsid w:val="00A176A6"/>
    <w:rsid w:val="00A17901"/>
    <w:rsid w:val="00A2031E"/>
    <w:rsid w:val="00A211EA"/>
    <w:rsid w:val="00A21273"/>
    <w:rsid w:val="00A217A1"/>
    <w:rsid w:val="00A21848"/>
    <w:rsid w:val="00A21911"/>
    <w:rsid w:val="00A22D7A"/>
    <w:rsid w:val="00A239FE"/>
    <w:rsid w:val="00A23E8F"/>
    <w:rsid w:val="00A245C3"/>
    <w:rsid w:val="00A24C6A"/>
    <w:rsid w:val="00A24D13"/>
    <w:rsid w:val="00A24E8A"/>
    <w:rsid w:val="00A2541A"/>
    <w:rsid w:val="00A25884"/>
    <w:rsid w:val="00A25FA7"/>
    <w:rsid w:val="00A26AFA"/>
    <w:rsid w:val="00A27398"/>
    <w:rsid w:val="00A276C2"/>
    <w:rsid w:val="00A27B1F"/>
    <w:rsid w:val="00A27B3D"/>
    <w:rsid w:val="00A27C6E"/>
    <w:rsid w:val="00A27ED9"/>
    <w:rsid w:val="00A3021E"/>
    <w:rsid w:val="00A307B4"/>
    <w:rsid w:val="00A30A15"/>
    <w:rsid w:val="00A30A75"/>
    <w:rsid w:val="00A30FC6"/>
    <w:rsid w:val="00A31354"/>
    <w:rsid w:val="00A31478"/>
    <w:rsid w:val="00A316D2"/>
    <w:rsid w:val="00A31E8C"/>
    <w:rsid w:val="00A32C5D"/>
    <w:rsid w:val="00A33217"/>
    <w:rsid w:val="00A336EA"/>
    <w:rsid w:val="00A33835"/>
    <w:rsid w:val="00A339FC"/>
    <w:rsid w:val="00A33BC2"/>
    <w:rsid w:val="00A33C43"/>
    <w:rsid w:val="00A33D6C"/>
    <w:rsid w:val="00A34254"/>
    <w:rsid w:val="00A3427E"/>
    <w:rsid w:val="00A34560"/>
    <w:rsid w:val="00A346AA"/>
    <w:rsid w:val="00A347A0"/>
    <w:rsid w:val="00A349B9"/>
    <w:rsid w:val="00A34C49"/>
    <w:rsid w:val="00A34F7A"/>
    <w:rsid w:val="00A35807"/>
    <w:rsid w:val="00A36191"/>
    <w:rsid w:val="00A363E7"/>
    <w:rsid w:val="00A36477"/>
    <w:rsid w:val="00A364B5"/>
    <w:rsid w:val="00A365B3"/>
    <w:rsid w:val="00A36753"/>
    <w:rsid w:val="00A370C5"/>
    <w:rsid w:val="00A3730F"/>
    <w:rsid w:val="00A37557"/>
    <w:rsid w:val="00A37BF7"/>
    <w:rsid w:val="00A37E3C"/>
    <w:rsid w:val="00A37F6F"/>
    <w:rsid w:val="00A40601"/>
    <w:rsid w:val="00A40858"/>
    <w:rsid w:val="00A410C3"/>
    <w:rsid w:val="00A416B2"/>
    <w:rsid w:val="00A41974"/>
    <w:rsid w:val="00A421CC"/>
    <w:rsid w:val="00A422FF"/>
    <w:rsid w:val="00A42591"/>
    <w:rsid w:val="00A427A3"/>
    <w:rsid w:val="00A427D1"/>
    <w:rsid w:val="00A4290A"/>
    <w:rsid w:val="00A42B9C"/>
    <w:rsid w:val="00A44116"/>
    <w:rsid w:val="00A44996"/>
    <w:rsid w:val="00A449DA"/>
    <w:rsid w:val="00A45B70"/>
    <w:rsid w:val="00A45C52"/>
    <w:rsid w:val="00A4655E"/>
    <w:rsid w:val="00A46718"/>
    <w:rsid w:val="00A468C4"/>
    <w:rsid w:val="00A469E0"/>
    <w:rsid w:val="00A47215"/>
    <w:rsid w:val="00A473E0"/>
    <w:rsid w:val="00A47AE9"/>
    <w:rsid w:val="00A47B5B"/>
    <w:rsid w:val="00A50418"/>
    <w:rsid w:val="00A5070E"/>
    <w:rsid w:val="00A50837"/>
    <w:rsid w:val="00A50D35"/>
    <w:rsid w:val="00A5149A"/>
    <w:rsid w:val="00A51772"/>
    <w:rsid w:val="00A51C5D"/>
    <w:rsid w:val="00A52030"/>
    <w:rsid w:val="00A52306"/>
    <w:rsid w:val="00A523B4"/>
    <w:rsid w:val="00A528E0"/>
    <w:rsid w:val="00A529C3"/>
    <w:rsid w:val="00A52CF5"/>
    <w:rsid w:val="00A536EF"/>
    <w:rsid w:val="00A537CF"/>
    <w:rsid w:val="00A53BD5"/>
    <w:rsid w:val="00A5492C"/>
    <w:rsid w:val="00A549F1"/>
    <w:rsid w:val="00A54A29"/>
    <w:rsid w:val="00A54D32"/>
    <w:rsid w:val="00A54FB1"/>
    <w:rsid w:val="00A55134"/>
    <w:rsid w:val="00A552A7"/>
    <w:rsid w:val="00A55437"/>
    <w:rsid w:val="00A5567D"/>
    <w:rsid w:val="00A5575E"/>
    <w:rsid w:val="00A55B8C"/>
    <w:rsid w:val="00A55F03"/>
    <w:rsid w:val="00A56269"/>
    <w:rsid w:val="00A562D9"/>
    <w:rsid w:val="00A56420"/>
    <w:rsid w:val="00A56715"/>
    <w:rsid w:val="00A56A46"/>
    <w:rsid w:val="00A56D75"/>
    <w:rsid w:val="00A572D2"/>
    <w:rsid w:val="00A57838"/>
    <w:rsid w:val="00A57CCF"/>
    <w:rsid w:val="00A57CE7"/>
    <w:rsid w:val="00A57D59"/>
    <w:rsid w:val="00A60067"/>
    <w:rsid w:val="00A602EC"/>
    <w:rsid w:val="00A606C5"/>
    <w:rsid w:val="00A616E0"/>
    <w:rsid w:val="00A618C2"/>
    <w:rsid w:val="00A61A54"/>
    <w:rsid w:val="00A61D4F"/>
    <w:rsid w:val="00A620E0"/>
    <w:rsid w:val="00A6256B"/>
    <w:rsid w:val="00A62783"/>
    <w:rsid w:val="00A62A7F"/>
    <w:rsid w:val="00A62BB9"/>
    <w:rsid w:val="00A63632"/>
    <w:rsid w:val="00A63704"/>
    <w:rsid w:val="00A6399B"/>
    <w:rsid w:val="00A63F4B"/>
    <w:rsid w:val="00A64265"/>
    <w:rsid w:val="00A642A2"/>
    <w:rsid w:val="00A646A7"/>
    <w:rsid w:val="00A64F1F"/>
    <w:rsid w:val="00A64FE0"/>
    <w:rsid w:val="00A65528"/>
    <w:rsid w:val="00A65A6E"/>
    <w:rsid w:val="00A65CBB"/>
    <w:rsid w:val="00A65DF0"/>
    <w:rsid w:val="00A66138"/>
    <w:rsid w:val="00A668F2"/>
    <w:rsid w:val="00A66EA2"/>
    <w:rsid w:val="00A67601"/>
    <w:rsid w:val="00A6764D"/>
    <w:rsid w:val="00A67BAC"/>
    <w:rsid w:val="00A67CB0"/>
    <w:rsid w:val="00A67CDF"/>
    <w:rsid w:val="00A70019"/>
    <w:rsid w:val="00A700F6"/>
    <w:rsid w:val="00A70181"/>
    <w:rsid w:val="00A701EB"/>
    <w:rsid w:val="00A70664"/>
    <w:rsid w:val="00A709FB"/>
    <w:rsid w:val="00A712F5"/>
    <w:rsid w:val="00A717F9"/>
    <w:rsid w:val="00A718AE"/>
    <w:rsid w:val="00A71F20"/>
    <w:rsid w:val="00A7249C"/>
    <w:rsid w:val="00A7252B"/>
    <w:rsid w:val="00A72C79"/>
    <w:rsid w:val="00A72D3F"/>
    <w:rsid w:val="00A72E7A"/>
    <w:rsid w:val="00A72F22"/>
    <w:rsid w:val="00A7344A"/>
    <w:rsid w:val="00A7354C"/>
    <w:rsid w:val="00A736FD"/>
    <w:rsid w:val="00A74404"/>
    <w:rsid w:val="00A74C44"/>
    <w:rsid w:val="00A74F9E"/>
    <w:rsid w:val="00A74FA1"/>
    <w:rsid w:val="00A75164"/>
    <w:rsid w:val="00A75806"/>
    <w:rsid w:val="00A75E3A"/>
    <w:rsid w:val="00A76289"/>
    <w:rsid w:val="00A76348"/>
    <w:rsid w:val="00A7635A"/>
    <w:rsid w:val="00A763B6"/>
    <w:rsid w:val="00A767D1"/>
    <w:rsid w:val="00A76A7A"/>
    <w:rsid w:val="00A76CA3"/>
    <w:rsid w:val="00A76FCC"/>
    <w:rsid w:val="00A77233"/>
    <w:rsid w:val="00A803DC"/>
    <w:rsid w:val="00A80601"/>
    <w:rsid w:val="00A8062C"/>
    <w:rsid w:val="00A806CE"/>
    <w:rsid w:val="00A809F7"/>
    <w:rsid w:val="00A80C31"/>
    <w:rsid w:val="00A80F93"/>
    <w:rsid w:val="00A80FA8"/>
    <w:rsid w:val="00A812BA"/>
    <w:rsid w:val="00A814D8"/>
    <w:rsid w:val="00A819B3"/>
    <w:rsid w:val="00A81DA9"/>
    <w:rsid w:val="00A81E02"/>
    <w:rsid w:val="00A81EF2"/>
    <w:rsid w:val="00A820F3"/>
    <w:rsid w:val="00A82211"/>
    <w:rsid w:val="00A82407"/>
    <w:rsid w:val="00A829D7"/>
    <w:rsid w:val="00A82F63"/>
    <w:rsid w:val="00A83A6A"/>
    <w:rsid w:val="00A84235"/>
    <w:rsid w:val="00A8434E"/>
    <w:rsid w:val="00A84901"/>
    <w:rsid w:val="00A8496B"/>
    <w:rsid w:val="00A84AAC"/>
    <w:rsid w:val="00A8533B"/>
    <w:rsid w:val="00A85813"/>
    <w:rsid w:val="00A85DAA"/>
    <w:rsid w:val="00A85F91"/>
    <w:rsid w:val="00A8681F"/>
    <w:rsid w:val="00A86DBB"/>
    <w:rsid w:val="00A8780D"/>
    <w:rsid w:val="00A87D3F"/>
    <w:rsid w:val="00A90058"/>
    <w:rsid w:val="00A902EB"/>
    <w:rsid w:val="00A90420"/>
    <w:rsid w:val="00A905CF"/>
    <w:rsid w:val="00A90936"/>
    <w:rsid w:val="00A912C9"/>
    <w:rsid w:val="00A9168E"/>
    <w:rsid w:val="00A919E2"/>
    <w:rsid w:val="00A91C73"/>
    <w:rsid w:val="00A927BD"/>
    <w:rsid w:val="00A92AE2"/>
    <w:rsid w:val="00A92B95"/>
    <w:rsid w:val="00A92D3A"/>
    <w:rsid w:val="00A9307A"/>
    <w:rsid w:val="00A934A6"/>
    <w:rsid w:val="00A93C20"/>
    <w:rsid w:val="00A93EFC"/>
    <w:rsid w:val="00A93F23"/>
    <w:rsid w:val="00A93FE8"/>
    <w:rsid w:val="00A95082"/>
    <w:rsid w:val="00A957C7"/>
    <w:rsid w:val="00A96695"/>
    <w:rsid w:val="00A97385"/>
    <w:rsid w:val="00A973BF"/>
    <w:rsid w:val="00A97501"/>
    <w:rsid w:val="00A97692"/>
    <w:rsid w:val="00AA0427"/>
    <w:rsid w:val="00AA0A4F"/>
    <w:rsid w:val="00AA0E58"/>
    <w:rsid w:val="00AA0EEF"/>
    <w:rsid w:val="00AA0F39"/>
    <w:rsid w:val="00AA128C"/>
    <w:rsid w:val="00AA14C9"/>
    <w:rsid w:val="00AA1641"/>
    <w:rsid w:val="00AA1676"/>
    <w:rsid w:val="00AA1DF8"/>
    <w:rsid w:val="00AA1E26"/>
    <w:rsid w:val="00AA2393"/>
    <w:rsid w:val="00AA2460"/>
    <w:rsid w:val="00AA28F2"/>
    <w:rsid w:val="00AA3827"/>
    <w:rsid w:val="00AA3B5E"/>
    <w:rsid w:val="00AA3C7D"/>
    <w:rsid w:val="00AA3FE3"/>
    <w:rsid w:val="00AA429D"/>
    <w:rsid w:val="00AA43EC"/>
    <w:rsid w:val="00AA456D"/>
    <w:rsid w:val="00AA47BD"/>
    <w:rsid w:val="00AA4A48"/>
    <w:rsid w:val="00AA5561"/>
    <w:rsid w:val="00AA5AA9"/>
    <w:rsid w:val="00AA6446"/>
    <w:rsid w:val="00AA66B3"/>
    <w:rsid w:val="00AA6877"/>
    <w:rsid w:val="00AA6CAF"/>
    <w:rsid w:val="00AA6D92"/>
    <w:rsid w:val="00AA6E62"/>
    <w:rsid w:val="00AA719B"/>
    <w:rsid w:val="00AA7787"/>
    <w:rsid w:val="00AA7A16"/>
    <w:rsid w:val="00AA7E4C"/>
    <w:rsid w:val="00AA7E56"/>
    <w:rsid w:val="00AA7EEF"/>
    <w:rsid w:val="00AB093A"/>
    <w:rsid w:val="00AB0DAA"/>
    <w:rsid w:val="00AB1392"/>
    <w:rsid w:val="00AB2321"/>
    <w:rsid w:val="00AB23AA"/>
    <w:rsid w:val="00AB23CA"/>
    <w:rsid w:val="00AB2412"/>
    <w:rsid w:val="00AB3125"/>
    <w:rsid w:val="00AB3187"/>
    <w:rsid w:val="00AB3387"/>
    <w:rsid w:val="00AB3BA4"/>
    <w:rsid w:val="00AB3C98"/>
    <w:rsid w:val="00AB42A1"/>
    <w:rsid w:val="00AB4386"/>
    <w:rsid w:val="00AB4EEE"/>
    <w:rsid w:val="00AB5366"/>
    <w:rsid w:val="00AB53AB"/>
    <w:rsid w:val="00AB547D"/>
    <w:rsid w:val="00AB5BB4"/>
    <w:rsid w:val="00AB6655"/>
    <w:rsid w:val="00AB6694"/>
    <w:rsid w:val="00AB6B69"/>
    <w:rsid w:val="00AB75A2"/>
    <w:rsid w:val="00AB79D8"/>
    <w:rsid w:val="00AB7B5E"/>
    <w:rsid w:val="00AC001F"/>
    <w:rsid w:val="00AC0333"/>
    <w:rsid w:val="00AC08D8"/>
    <w:rsid w:val="00AC09B7"/>
    <w:rsid w:val="00AC0AC2"/>
    <w:rsid w:val="00AC0E0B"/>
    <w:rsid w:val="00AC1330"/>
    <w:rsid w:val="00AC13AE"/>
    <w:rsid w:val="00AC14DE"/>
    <w:rsid w:val="00AC158B"/>
    <w:rsid w:val="00AC168B"/>
    <w:rsid w:val="00AC1912"/>
    <w:rsid w:val="00AC1B41"/>
    <w:rsid w:val="00AC2024"/>
    <w:rsid w:val="00AC206A"/>
    <w:rsid w:val="00AC2187"/>
    <w:rsid w:val="00AC31EA"/>
    <w:rsid w:val="00AC3324"/>
    <w:rsid w:val="00AC342B"/>
    <w:rsid w:val="00AC348C"/>
    <w:rsid w:val="00AC3521"/>
    <w:rsid w:val="00AC35CD"/>
    <w:rsid w:val="00AC5022"/>
    <w:rsid w:val="00AC5880"/>
    <w:rsid w:val="00AC5EBA"/>
    <w:rsid w:val="00AC5FD8"/>
    <w:rsid w:val="00AC630A"/>
    <w:rsid w:val="00AC682E"/>
    <w:rsid w:val="00AC6DF0"/>
    <w:rsid w:val="00AC6F2F"/>
    <w:rsid w:val="00AC7004"/>
    <w:rsid w:val="00AC72D4"/>
    <w:rsid w:val="00AC7BE5"/>
    <w:rsid w:val="00AC7F5E"/>
    <w:rsid w:val="00AC7FE4"/>
    <w:rsid w:val="00AD0376"/>
    <w:rsid w:val="00AD07AF"/>
    <w:rsid w:val="00AD081C"/>
    <w:rsid w:val="00AD0915"/>
    <w:rsid w:val="00AD128B"/>
    <w:rsid w:val="00AD14A4"/>
    <w:rsid w:val="00AD1746"/>
    <w:rsid w:val="00AD1A62"/>
    <w:rsid w:val="00AD1F8D"/>
    <w:rsid w:val="00AD232F"/>
    <w:rsid w:val="00AD26C4"/>
    <w:rsid w:val="00AD2839"/>
    <w:rsid w:val="00AD2B3E"/>
    <w:rsid w:val="00AD2D46"/>
    <w:rsid w:val="00AD2F0E"/>
    <w:rsid w:val="00AD3A21"/>
    <w:rsid w:val="00AD3EAA"/>
    <w:rsid w:val="00AD3FD9"/>
    <w:rsid w:val="00AD4040"/>
    <w:rsid w:val="00AD4753"/>
    <w:rsid w:val="00AD4783"/>
    <w:rsid w:val="00AD4B79"/>
    <w:rsid w:val="00AD4EDA"/>
    <w:rsid w:val="00AD5118"/>
    <w:rsid w:val="00AD5296"/>
    <w:rsid w:val="00AD5BB7"/>
    <w:rsid w:val="00AD6093"/>
    <w:rsid w:val="00AD68A1"/>
    <w:rsid w:val="00AD70CF"/>
    <w:rsid w:val="00AD723B"/>
    <w:rsid w:val="00AD7651"/>
    <w:rsid w:val="00AE0875"/>
    <w:rsid w:val="00AE0E06"/>
    <w:rsid w:val="00AE1507"/>
    <w:rsid w:val="00AE1A24"/>
    <w:rsid w:val="00AE200A"/>
    <w:rsid w:val="00AE229D"/>
    <w:rsid w:val="00AE2474"/>
    <w:rsid w:val="00AE2486"/>
    <w:rsid w:val="00AE2B5A"/>
    <w:rsid w:val="00AE35D0"/>
    <w:rsid w:val="00AE3AB9"/>
    <w:rsid w:val="00AE3E17"/>
    <w:rsid w:val="00AE4332"/>
    <w:rsid w:val="00AE4A23"/>
    <w:rsid w:val="00AE54EC"/>
    <w:rsid w:val="00AE580D"/>
    <w:rsid w:val="00AE58B0"/>
    <w:rsid w:val="00AE59F3"/>
    <w:rsid w:val="00AE6087"/>
    <w:rsid w:val="00AE6B0E"/>
    <w:rsid w:val="00AE6F56"/>
    <w:rsid w:val="00AE7B62"/>
    <w:rsid w:val="00AE7BD5"/>
    <w:rsid w:val="00AF013E"/>
    <w:rsid w:val="00AF0215"/>
    <w:rsid w:val="00AF08E8"/>
    <w:rsid w:val="00AF0D35"/>
    <w:rsid w:val="00AF112B"/>
    <w:rsid w:val="00AF1B4E"/>
    <w:rsid w:val="00AF1D56"/>
    <w:rsid w:val="00AF2010"/>
    <w:rsid w:val="00AF27C4"/>
    <w:rsid w:val="00AF3345"/>
    <w:rsid w:val="00AF3C34"/>
    <w:rsid w:val="00AF3C53"/>
    <w:rsid w:val="00AF3F1E"/>
    <w:rsid w:val="00AF4134"/>
    <w:rsid w:val="00AF42C3"/>
    <w:rsid w:val="00AF46FC"/>
    <w:rsid w:val="00AF4776"/>
    <w:rsid w:val="00AF505C"/>
    <w:rsid w:val="00AF51E0"/>
    <w:rsid w:val="00AF5D79"/>
    <w:rsid w:val="00AF62CD"/>
    <w:rsid w:val="00AF6935"/>
    <w:rsid w:val="00AF6BE4"/>
    <w:rsid w:val="00AF7426"/>
    <w:rsid w:val="00AF766A"/>
    <w:rsid w:val="00AF7CA4"/>
    <w:rsid w:val="00B00379"/>
    <w:rsid w:val="00B00A7E"/>
    <w:rsid w:val="00B00CA0"/>
    <w:rsid w:val="00B00DB3"/>
    <w:rsid w:val="00B01124"/>
    <w:rsid w:val="00B01548"/>
    <w:rsid w:val="00B01C34"/>
    <w:rsid w:val="00B02D19"/>
    <w:rsid w:val="00B03DA6"/>
    <w:rsid w:val="00B03E0F"/>
    <w:rsid w:val="00B041DF"/>
    <w:rsid w:val="00B042DD"/>
    <w:rsid w:val="00B04F4E"/>
    <w:rsid w:val="00B054AB"/>
    <w:rsid w:val="00B0601E"/>
    <w:rsid w:val="00B060FB"/>
    <w:rsid w:val="00B0629C"/>
    <w:rsid w:val="00B06E2D"/>
    <w:rsid w:val="00B074E5"/>
    <w:rsid w:val="00B07523"/>
    <w:rsid w:val="00B07ADD"/>
    <w:rsid w:val="00B07C07"/>
    <w:rsid w:val="00B10205"/>
    <w:rsid w:val="00B10718"/>
    <w:rsid w:val="00B11230"/>
    <w:rsid w:val="00B1124F"/>
    <w:rsid w:val="00B11258"/>
    <w:rsid w:val="00B11673"/>
    <w:rsid w:val="00B11B4C"/>
    <w:rsid w:val="00B11BEF"/>
    <w:rsid w:val="00B12109"/>
    <w:rsid w:val="00B12153"/>
    <w:rsid w:val="00B1224F"/>
    <w:rsid w:val="00B1242D"/>
    <w:rsid w:val="00B127A2"/>
    <w:rsid w:val="00B128BA"/>
    <w:rsid w:val="00B12C26"/>
    <w:rsid w:val="00B1312E"/>
    <w:rsid w:val="00B1342B"/>
    <w:rsid w:val="00B134DC"/>
    <w:rsid w:val="00B137F1"/>
    <w:rsid w:val="00B13962"/>
    <w:rsid w:val="00B13ABF"/>
    <w:rsid w:val="00B140D5"/>
    <w:rsid w:val="00B143FD"/>
    <w:rsid w:val="00B147CC"/>
    <w:rsid w:val="00B15280"/>
    <w:rsid w:val="00B158D8"/>
    <w:rsid w:val="00B167A2"/>
    <w:rsid w:val="00B168A5"/>
    <w:rsid w:val="00B16961"/>
    <w:rsid w:val="00B16C17"/>
    <w:rsid w:val="00B171C3"/>
    <w:rsid w:val="00B174F6"/>
    <w:rsid w:val="00B17D44"/>
    <w:rsid w:val="00B17DEA"/>
    <w:rsid w:val="00B20299"/>
    <w:rsid w:val="00B20D3C"/>
    <w:rsid w:val="00B20EA9"/>
    <w:rsid w:val="00B21694"/>
    <w:rsid w:val="00B218A6"/>
    <w:rsid w:val="00B21D4A"/>
    <w:rsid w:val="00B220B0"/>
    <w:rsid w:val="00B226C4"/>
    <w:rsid w:val="00B227B9"/>
    <w:rsid w:val="00B22B63"/>
    <w:rsid w:val="00B22C7D"/>
    <w:rsid w:val="00B22CD5"/>
    <w:rsid w:val="00B22F65"/>
    <w:rsid w:val="00B22FB7"/>
    <w:rsid w:val="00B23816"/>
    <w:rsid w:val="00B23892"/>
    <w:rsid w:val="00B23CB7"/>
    <w:rsid w:val="00B246BB"/>
    <w:rsid w:val="00B24926"/>
    <w:rsid w:val="00B24B9D"/>
    <w:rsid w:val="00B24F50"/>
    <w:rsid w:val="00B24FD7"/>
    <w:rsid w:val="00B251E9"/>
    <w:rsid w:val="00B2542A"/>
    <w:rsid w:val="00B25719"/>
    <w:rsid w:val="00B257AC"/>
    <w:rsid w:val="00B258DC"/>
    <w:rsid w:val="00B26040"/>
    <w:rsid w:val="00B261A8"/>
    <w:rsid w:val="00B26B6A"/>
    <w:rsid w:val="00B26E36"/>
    <w:rsid w:val="00B27089"/>
    <w:rsid w:val="00B2740B"/>
    <w:rsid w:val="00B27610"/>
    <w:rsid w:val="00B27763"/>
    <w:rsid w:val="00B27B23"/>
    <w:rsid w:val="00B30203"/>
    <w:rsid w:val="00B3089C"/>
    <w:rsid w:val="00B30ACA"/>
    <w:rsid w:val="00B30BE9"/>
    <w:rsid w:val="00B30BED"/>
    <w:rsid w:val="00B3109C"/>
    <w:rsid w:val="00B3112A"/>
    <w:rsid w:val="00B31467"/>
    <w:rsid w:val="00B31948"/>
    <w:rsid w:val="00B31D00"/>
    <w:rsid w:val="00B31DA2"/>
    <w:rsid w:val="00B32110"/>
    <w:rsid w:val="00B327AE"/>
    <w:rsid w:val="00B32AF1"/>
    <w:rsid w:val="00B32C70"/>
    <w:rsid w:val="00B334FC"/>
    <w:rsid w:val="00B33693"/>
    <w:rsid w:val="00B33AAE"/>
    <w:rsid w:val="00B33CFF"/>
    <w:rsid w:val="00B33F58"/>
    <w:rsid w:val="00B33F74"/>
    <w:rsid w:val="00B33FEB"/>
    <w:rsid w:val="00B34001"/>
    <w:rsid w:val="00B3421A"/>
    <w:rsid w:val="00B3495D"/>
    <w:rsid w:val="00B34AB9"/>
    <w:rsid w:val="00B357E1"/>
    <w:rsid w:val="00B36370"/>
    <w:rsid w:val="00B36646"/>
    <w:rsid w:val="00B36BFD"/>
    <w:rsid w:val="00B36DCC"/>
    <w:rsid w:val="00B36E26"/>
    <w:rsid w:val="00B37163"/>
    <w:rsid w:val="00B4022E"/>
    <w:rsid w:val="00B402D7"/>
    <w:rsid w:val="00B4033C"/>
    <w:rsid w:val="00B404D6"/>
    <w:rsid w:val="00B406EC"/>
    <w:rsid w:val="00B412D4"/>
    <w:rsid w:val="00B41867"/>
    <w:rsid w:val="00B419AB"/>
    <w:rsid w:val="00B41DA5"/>
    <w:rsid w:val="00B41EBF"/>
    <w:rsid w:val="00B42805"/>
    <w:rsid w:val="00B42817"/>
    <w:rsid w:val="00B42CBC"/>
    <w:rsid w:val="00B43306"/>
    <w:rsid w:val="00B43439"/>
    <w:rsid w:val="00B435FB"/>
    <w:rsid w:val="00B43753"/>
    <w:rsid w:val="00B4386A"/>
    <w:rsid w:val="00B4399F"/>
    <w:rsid w:val="00B43A84"/>
    <w:rsid w:val="00B44536"/>
    <w:rsid w:val="00B44581"/>
    <w:rsid w:val="00B446B2"/>
    <w:rsid w:val="00B44A02"/>
    <w:rsid w:val="00B44AE4"/>
    <w:rsid w:val="00B44B96"/>
    <w:rsid w:val="00B44EBB"/>
    <w:rsid w:val="00B454DC"/>
    <w:rsid w:val="00B455F7"/>
    <w:rsid w:val="00B45921"/>
    <w:rsid w:val="00B45C2F"/>
    <w:rsid w:val="00B460A1"/>
    <w:rsid w:val="00B46A74"/>
    <w:rsid w:val="00B46B76"/>
    <w:rsid w:val="00B47189"/>
    <w:rsid w:val="00B47605"/>
    <w:rsid w:val="00B479F5"/>
    <w:rsid w:val="00B47A2F"/>
    <w:rsid w:val="00B47BDE"/>
    <w:rsid w:val="00B47C24"/>
    <w:rsid w:val="00B47DA6"/>
    <w:rsid w:val="00B47FB4"/>
    <w:rsid w:val="00B47FDB"/>
    <w:rsid w:val="00B501C0"/>
    <w:rsid w:val="00B50323"/>
    <w:rsid w:val="00B50703"/>
    <w:rsid w:val="00B507E7"/>
    <w:rsid w:val="00B509B5"/>
    <w:rsid w:val="00B509DD"/>
    <w:rsid w:val="00B50A1A"/>
    <w:rsid w:val="00B51802"/>
    <w:rsid w:val="00B526BF"/>
    <w:rsid w:val="00B526F0"/>
    <w:rsid w:val="00B5298A"/>
    <w:rsid w:val="00B52CA7"/>
    <w:rsid w:val="00B52DA6"/>
    <w:rsid w:val="00B52DCB"/>
    <w:rsid w:val="00B534F1"/>
    <w:rsid w:val="00B53AEE"/>
    <w:rsid w:val="00B53C27"/>
    <w:rsid w:val="00B53D64"/>
    <w:rsid w:val="00B53E94"/>
    <w:rsid w:val="00B54268"/>
    <w:rsid w:val="00B54902"/>
    <w:rsid w:val="00B554AD"/>
    <w:rsid w:val="00B55AEA"/>
    <w:rsid w:val="00B56242"/>
    <w:rsid w:val="00B5656B"/>
    <w:rsid w:val="00B5676C"/>
    <w:rsid w:val="00B56961"/>
    <w:rsid w:val="00B56CA8"/>
    <w:rsid w:val="00B56CD7"/>
    <w:rsid w:val="00B56E58"/>
    <w:rsid w:val="00B575C9"/>
    <w:rsid w:val="00B575F1"/>
    <w:rsid w:val="00B5779A"/>
    <w:rsid w:val="00B57C37"/>
    <w:rsid w:val="00B57C42"/>
    <w:rsid w:val="00B57CD0"/>
    <w:rsid w:val="00B57F53"/>
    <w:rsid w:val="00B57F7D"/>
    <w:rsid w:val="00B60363"/>
    <w:rsid w:val="00B604E2"/>
    <w:rsid w:val="00B6127C"/>
    <w:rsid w:val="00B622D0"/>
    <w:rsid w:val="00B62690"/>
    <w:rsid w:val="00B62706"/>
    <w:rsid w:val="00B62A7A"/>
    <w:rsid w:val="00B634E8"/>
    <w:rsid w:val="00B63EBE"/>
    <w:rsid w:val="00B64180"/>
    <w:rsid w:val="00B643A0"/>
    <w:rsid w:val="00B648D0"/>
    <w:rsid w:val="00B652A6"/>
    <w:rsid w:val="00B658D9"/>
    <w:rsid w:val="00B65934"/>
    <w:rsid w:val="00B65967"/>
    <w:rsid w:val="00B65CFC"/>
    <w:rsid w:val="00B665F9"/>
    <w:rsid w:val="00B66623"/>
    <w:rsid w:val="00B6677D"/>
    <w:rsid w:val="00B66882"/>
    <w:rsid w:val="00B66B1A"/>
    <w:rsid w:val="00B6717E"/>
    <w:rsid w:val="00B67203"/>
    <w:rsid w:val="00B67786"/>
    <w:rsid w:val="00B6784A"/>
    <w:rsid w:val="00B67973"/>
    <w:rsid w:val="00B67A81"/>
    <w:rsid w:val="00B67D58"/>
    <w:rsid w:val="00B67E70"/>
    <w:rsid w:val="00B67E7F"/>
    <w:rsid w:val="00B700D4"/>
    <w:rsid w:val="00B7016E"/>
    <w:rsid w:val="00B7049F"/>
    <w:rsid w:val="00B707C0"/>
    <w:rsid w:val="00B70B31"/>
    <w:rsid w:val="00B70CF9"/>
    <w:rsid w:val="00B71092"/>
    <w:rsid w:val="00B7135F"/>
    <w:rsid w:val="00B7148C"/>
    <w:rsid w:val="00B71629"/>
    <w:rsid w:val="00B71A53"/>
    <w:rsid w:val="00B71BD3"/>
    <w:rsid w:val="00B71C82"/>
    <w:rsid w:val="00B7221F"/>
    <w:rsid w:val="00B7226F"/>
    <w:rsid w:val="00B72A43"/>
    <w:rsid w:val="00B72C57"/>
    <w:rsid w:val="00B72DEF"/>
    <w:rsid w:val="00B72E2A"/>
    <w:rsid w:val="00B7390B"/>
    <w:rsid w:val="00B739DE"/>
    <w:rsid w:val="00B73B1B"/>
    <w:rsid w:val="00B73C1B"/>
    <w:rsid w:val="00B74146"/>
    <w:rsid w:val="00B74B72"/>
    <w:rsid w:val="00B74BD7"/>
    <w:rsid w:val="00B7527E"/>
    <w:rsid w:val="00B757FF"/>
    <w:rsid w:val="00B75967"/>
    <w:rsid w:val="00B759E4"/>
    <w:rsid w:val="00B75C72"/>
    <w:rsid w:val="00B76024"/>
    <w:rsid w:val="00B7628F"/>
    <w:rsid w:val="00B762F3"/>
    <w:rsid w:val="00B76BCF"/>
    <w:rsid w:val="00B76F60"/>
    <w:rsid w:val="00B7753F"/>
    <w:rsid w:val="00B806C9"/>
    <w:rsid w:val="00B80C1A"/>
    <w:rsid w:val="00B80EEC"/>
    <w:rsid w:val="00B80F23"/>
    <w:rsid w:val="00B811D0"/>
    <w:rsid w:val="00B8163E"/>
    <w:rsid w:val="00B81650"/>
    <w:rsid w:val="00B816BF"/>
    <w:rsid w:val="00B81B42"/>
    <w:rsid w:val="00B81D46"/>
    <w:rsid w:val="00B81E1B"/>
    <w:rsid w:val="00B81E29"/>
    <w:rsid w:val="00B81EAE"/>
    <w:rsid w:val="00B81FF6"/>
    <w:rsid w:val="00B8283C"/>
    <w:rsid w:val="00B828E9"/>
    <w:rsid w:val="00B82B63"/>
    <w:rsid w:val="00B82D5B"/>
    <w:rsid w:val="00B82F26"/>
    <w:rsid w:val="00B83460"/>
    <w:rsid w:val="00B836C7"/>
    <w:rsid w:val="00B83BB8"/>
    <w:rsid w:val="00B83E4A"/>
    <w:rsid w:val="00B83F47"/>
    <w:rsid w:val="00B845B4"/>
    <w:rsid w:val="00B84928"/>
    <w:rsid w:val="00B84C12"/>
    <w:rsid w:val="00B84FF2"/>
    <w:rsid w:val="00B8516C"/>
    <w:rsid w:val="00B86042"/>
    <w:rsid w:val="00B862D6"/>
    <w:rsid w:val="00B863DB"/>
    <w:rsid w:val="00B86774"/>
    <w:rsid w:val="00B87A82"/>
    <w:rsid w:val="00B87BD6"/>
    <w:rsid w:val="00B87FCB"/>
    <w:rsid w:val="00B9072F"/>
    <w:rsid w:val="00B909A3"/>
    <w:rsid w:val="00B90A60"/>
    <w:rsid w:val="00B90B0E"/>
    <w:rsid w:val="00B90E50"/>
    <w:rsid w:val="00B91191"/>
    <w:rsid w:val="00B9124C"/>
    <w:rsid w:val="00B916B1"/>
    <w:rsid w:val="00B91801"/>
    <w:rsid w:val="00B91BE0"/>
    <w:rsid w:val="00B92443"/>
    <w:rsid w:val="00B92E5A"/>
    <w:rsid w:val="00B9362A"/>
    <w:rsid w:val="00B9374E"/>
    <w:rsid w:val="00B93836"/>
    <w:rsid w:val="00B93C35"/>
    <w:rsid w:val="00B93E4F"/>
    <w:rsid w:val="00B9429B"/>
    <w:rsid w:val="00B94B0C"/>
    <w:rsid w:val="00B94BFB"/>
    <w:rsid w:val="00B9571E"/>
    <w:rsid w:val="00B95888"/>
    <w:rsid w:val="00B958EE"/>
    <w:rsid w:val="00B96268"/>
    <w:rsid w:val="00B96586"/>
    <w:rsid w:val="00B96B6D"/>
    <w:rsid w:val="00B96CAE"/>
    <w:rsid w:val="00B96FCA"/>
    <w:rsid w:val="00B977C4"/>
    <w:rsid w:val="00B97FA7"/>
    <w:rsid w:val="00BA0039"/>
    <w:rsid w:val="00BA054B"/>
    <w:rsid w:val="00BA065B"/>
    <w:rsid w:val="00BA0B35"/>
    <w:rsid w:val="00BA1344"/>
    <w:rsid w:val="00BA18EB"/>
    <w:rsid w:val="00BA193D"/>
    <w:rsid w:val="00BA27EB"/>
    <w:rsid w:val="00BA2A31"/>
    <w:rsid w:val="00BA2B5C"/>
    <w:rsid w:val="00BA3CC0"/>
    <w:rsid w:val="00BA3E95"/>
    <w:rsid w:val="00BA45F5"/>
    <w:rsid w:val="00BA4AF3"/>
    <w:rsid w:val="00BA4BB8"/>
    <w:rsid w:val="00BA4F05"/>
    <w:rsid w:val="00BA51F9"/>
    <w:rsid w:val="00BA57A1"/>
    <w:rsid w:val="00BA5948"/>
    <w:rsid w:val="00BA599E"/>
    <w:rsid w:val="00BA5BCA"/>
    <w:rsid w:val="00BA5D19"/>
    <w:rsid w:val="00BA5D76"/>
    <w:rsid w:val="00BA65DB"/>
    <w:rsid w:val="00BA6727"/>
    <w:rsid w:val="00BA6789"/>
    <w:rsid w:val="00BA7057"/>
    <w:rsid w:val="00BA713C"/>
    <w:rsid w:val="00BA7BB7"/>
    <w:rsid w:val="00BA7C86"/>
    <w:rsid w:val="00BA7D61"/>
    <w:rsid w:val="00BA7FF2"/>
    <w:rsid w:val="00BB0218"/>
    <w:rsid w:val="00BB0500"/>
    <w:rsid w:val="00BB0EAD"/>
    <w:rsid w:val="00BB0EF9"/>
    <w:rsid w:val="00BB1447"/>
    <w:rsid w:val="00BB14ED"/>
    <w:rsid w:val="00BB158F"/>
    <w:rsid w:val="00BB1683"/>
    <w:rsid w:val="00BB1A7E"/>
    <w:rsid w:val="00BB1BEE"/>
    <w:rsid w:val="00BB1CBA"/>
    <w:rsid w:val="00BB1DC9"/>
    <w:rsid w:val="00BB2143"/>
    <w:rsid w:val="00BB2661"/>
    <w:rsid w:val="00BB2890"/>
    <w:rsid w:val="00BB28CB"/>
    <w:rsid w:val="00BB2AA9"/>
    <w:rsid w:val="00BB2C3D"/>
    <w:rsid w:val="00BB2CA7"/>
    <w:rsid w:val="00BB3158"/>
    <w:rsid w:val="00BB35E3"/>
    <w:rsid w:val="00BB3752"/>
    <w:rsid w:val="00BB37D9"/>
    <w:rsid w:val="00BB391F"/>
    <w:rsid w:val="00BB3B43"/>
    <w:rsid w:val="00BB3E92"/>
    <w:rsid w:val="00BB4039"/>
    <w:rsid w:val="00BB46FB"/>
    <w:rsid w:val="00BB4822"/>
    <w:rsid w:val="00BB49C4"/>
    <w:rsid w:val="00BB4CF0"/>
    <w:rsid w:val="00BB508B"/>
    <w:rsid w:val="00BB53B8"/>
    <w:rsid w:val="00BB58C1"/>
    <w:rsid w:val="00BB5F81"/>
    <w:rsid w:val="00BB61CB"/>
    <w:rsid w:val="00BB6538"/>
    <w:rsid w:val="00BB6AA9"/>
    <w:rsid w:val="00BB732F"/>
    <w:rsid w:val="00BB740B"/>
    <w:rsid w:val="00BB7796"/>
    <w:rsid w:val="00BB7A3F"/>
    <w:rsid w:val="00BB7CB9"/>
    <w:rsid w:val="00BB7D42"/>
    <w:rsid w:val="00BC014B"/>
    <w:rsid w:val="00BC0FAE"/>
    <w:rsid w:val="00BC1238"/>
    <w:rsid w:val="00BC12FA"/>
    <w:rsid w:val="00BC13DE"/>
    <w:rsid w:val="00BC1913"/>
    <w:rsid w:val="00BC1B14"/>
    <w:rsid w:val="00BC1F88"/>
    <w:rsid w:val="00BC201C"/>
    <w:rsid w:val="00BC20F1"/>
    <w:rsid w:val="00BC2C8A"/>
    <w:rsid w:val="00BC3205"/>
    <w:rsid w:val="00BC32A2"/>
    <w:rsid w:val="00BC3414"/>
    <w:rsid w:val="00BC3663"/>
    <w:rsid w:val="00BC3E50"/>
    <w:rsid w:val="00BC41A4"/>
    <w:rsid w:val="00BC483A"/>
    <w:rsid w:val="00BC4F95"/>
    <w:rsid w:val="00BC52C6"/>
    <w:rsid w:val="00BC5B2C"/>
    <w:rsid w:val="00BC5D65"/>
    <w:rsid w:val="00BC60D9"/>
    <w:rsid w:val="00BC60F8"/>
    <w:rsid w:val="00BC6333"/>
    <w:rsid w:val="00BC6654"/>
    <w:rsid w:val="00BC6942"/>
    <w:rsid w:val="00BC6CCB"/>
    <w:rsid w:val="00BC6FE7"/>
    <w:rsid w:val="00BC7170"/>
    <w:rsid w:val="00BC773A"/>
    <w:rsid w:val="00BC7883"/>
    <w:rsid w:val="00BD05F3"/>
    <w:rsid w:val="00BD16BE"/>
    <w:rsid w:val="00BD185B"/>
    <w:rsid w:val="00BD1C93"/>
    <w:rsid w:val="00BD1E5E"/>
    <w:rsid w:val="00BD1ED6"/>
    <w:rsid w:val="00BD238F"/>
    <w:rsid w:val="00BD289C"/>
    <w:rsid w:val="00BD2B5C"/>
    <w:rsid w:val="00BD2B94"/>
    <w:rsid w:val="00BD2D1B"/>
    <w:rsid w:val="00BD3146"/>
    <w:rsid w:val="00BD3829"/>
    <w:rsid w:val="00BD3AC2"/>
    <w:rsid w:val="00BD3E45"/>
    <w:rsid w:val="00BD41B8"/>
    <w:rsid w:val="00BD4CFC"/>
    <w:rsid w:val="00BD5121"/>
    <w:rsid w:val="00BD51D7"/>
    <w:rsid w:val="00BD5845"/>
    <w:rsid w:val="00BD5BF7"/>
    <w:rsid w:val="00BD5DD6"/>
    <w:rsid w:val="00BD5E6C"/>
    <w:rsid w:val="00BD68D6"/>
    <w:rsid w:val="00BD691C"/>
    <w:rsid w:val="00BD6AAD"/>
    <w:rsid w:val="00BD6B87"/>
    <w:rsid w:val="00BD6FE9"/>
    <w:rsid w:val="00BD7103"/>
    <w:rsid w:val="00BD7321"/>
    <w:rsid w:val="00BD774B"/>
    <w:rsid w:val="00BD7CE9"/>
    <w:rsid w:val="00BE0098"/>
    <w:rsid w:val="00BE076D"/>
    <w:rsid w:val="00BE0A9A"/>
    <w:rsid w:val="00BE0AC1"/>
    <w:rsid w:val="00BE0AC2"/>
    <w:rsid w:val="00BE0AFB"/>
    <w:rsid w:val="00BE0ED0"/>
    <w:rsid w:val="00BE1128"/>
    <w:rsid w:val="00BE1358"/>
    <w:rsid w:val="00BE163B"/>
    <w:rsid w:val="00BE1690"/>
    <w:rsid w:val="00BE1861"/>
    <w:rsid w:val="00BE1F31"/>
    <w:rsid w:val="00BE2515"/>
    <w:rsid w:val="00BE2885"/>
    <w:rsid w:val="00BE2C44"/>
    <w:rsid w:val="00BE2C6A"/>
    <w:rsid w:val="00BE2E44"/>
    <w:rsid w:val="00BE30CC"/>
    <w:rsid w:val="00BE33F5"/>
    <w:rsid w:val="00BE3534"/>
    <w:rsid w:val="00BE3A62"/>
    <w:rsid w:val="00BE3D17"/>
    <w:rsid w:val="00BE4057"/>
    <w:rsid w:val="00BE4181"/>
    <w:rsid w:val="00BE4553"/>
    <w:rsid w:val="00BE4761"/>
    <w:rsid w:val="00BE4C5A"/>
    <w:rsid w:val="00BE5814"/>
    <w:rsid w:val="00BE5D60"/>
    <w:rsid w:val="00BE63E7"/>
    <w:rsid w:val="00BE7448"/>
    <w:rsid w:val="00BE776D"/>
    <w:rsid w:val="00BE7976"/>
    <w:rsid w:val="00BF06A1"/>
    <w:rsid w:val="00BF0D59"/>
    <w:rsid w:val="00BF0E11"/>
    <w:rsid w:val="00BF0EE6"/>
    <w:rsid w:val="00BF189E"/>
    <w:rsid w:val="00BF1D69"/>
    <w:rsid w:val="00BF22F3"/>
    <w:rsid w:val="00BF2393"/>
    <w:rsid w:val="00BF24D6"/>
    <w:rsid w:val="00BF2735"/>
    <w:rsid w:val="00BF29C8"/>
    <w:rsid w:val="00BF2DC9"/>
    <w:rsid w:val="00BF2FD6"/>
    <w:rsid w:val="00BF36C9"/>
    <w:rsid w:val="00BF3F10"/>
    <w:rsid w:val="00BF3FAC"/>
    <w:rsid w:val="00BF44C1"/>
    <w:rsid w:val="00BF5098"/>
    <w:rsid w:val="00BF55EC"/>
    <w:rsid w:val="00BF5683"/>
    <w:rsid w:val="00BF5721"/>
    <w:rsid w:val="00BF5C5E"/>
    <w:rsid w:val="00BF60D6"/>
    <w:rsid w:val="00BF6488"/>
    <w:rsid w:val="00BF6838"/>
    <w:rsid w:val="00BF6E99"/>
    <w:rsid w:val="00BF71E0"/>
    <w:rsid w:val="00C00009"/>
    <w:rsid w:val="00C001C7"/>
    <w:rsid w:val="00C009AB"/>
    <w:rsid w:val="00C01E9A"/>
    <w:rsid w:val="00C01F58"/>
    <w:rsid w:val="00C02586"/>
    <w:rsid w:val="00C02CCE"/>
    <w:rsid w:val="00C03002"/>
    <w:rsid w:val="00C03454"/>
    <w:rsid w:val="00C042DE"/>
    <w:rsid w:val="00C04511"/>
    <w:rsid w:val="00C046A0"/>
    <w:rsid w:val="00C0472D"/>
    <w:rsid w:val="00C05769"/>
    <w:rsid w:val="00C05D0D"/>
    <w:rsid w:val="00C05D3E"/>
    <w:rsid w:val="00C068B9"/>
    <w:rsid w:val="00C069AF"/>
    <w:rsid w:val="00C06CA7"/>
    <w:rsid w:val="00C0737C"/>
    <w:rsid w:val="00C073BB"/>
    <w:rsid w:val="00C10012"/>
    <w:rsid w:val="00C10392"/>
    <w:rsid w:val="00C10445"/>
    <w:rsid w:val="00C10591"/>
    <w:rsid w:val="00C10657"/>
    <w:rsid w:val="00C108D6"/>
    <w:rsid w:val="00C112AA"/>
    <w:rsid w:val="00C112E6"/>
    <w:rsid w:val="00C11478"/>
    <w:rsid w:val="00C1154D"/>
    <w:rsid w:val="00C1179E"/>
    <w:rsid w:val="00C11F32"/>
    <w:rsid w:val="00C1238D"/>
    <w:rsid w:val="00C128EE"/>
    <w:rsid w:val="00C12AA3"/>
    <w:rsid w:val="00C12AE4"/>
    <w:rsid w:val="00C1337C"/>
    <w:rsid w:val="00C13671"/>
    <w:rsid w:val="00C1373F"/>
    <w:rsid w:val="00C139EA"/>
    <w:rsid w:val="00C13A1C"/>
    <w:rsid w:val="00C13D94"/>
    <w:rsid w:val="00C14710"/>
    <w:rsid w:val="00C14C30"/>
    <w:rsid w:val="00C14F9F"/>
    <w:rsid w:val="00C1518B"/>
    <w:rsid w:val="00C15524"/>
    <w:rsid w:val="00C15C69"/>
    <w:rsid w:val="00C15DE2"/>
    <w:rsid w:val="00C15F1C"/>
    <w:rsid w:val="00C1608B"/>
    <w:rsid w:val="00C16197"/>
    <w:rsid w:val="00C16433"/>
    <w:rsid w:val="00C164F1"/>
    <w:rsid w:val="00C16A0A"/>
    <w:rsid w:val="00C16AC3"/>
    <w:rsid w:val="00C16BB8"/>
    <w:rsid w:val="00C16EBE"/>
    <w:rsid w:val="00C17238"/>
    <w:rsid w:val="00C17927"/>
    <w:rsid w:val="00C1799C"/>
    <w:rsid w:val="00C17A48"/>
    <w:rsid w:val="00C17DC6"/>
    <w:rsid w:val="00C204C5"/>
    <w:rsid w:val="00C205EF"/>
    <w:rsid w:val="00C20B65"/>
    <w:rsid w:val="00C20CA7"/>
    <w:rsid w:val="00C20FDE"/>
    <w:rsid w:val="00C21369"/>
    <w:rsid w:val="00C21A37"/>
    <w:rsid w:val="00C21C13"/>
    <w:rsid w:val="00C21D94"/>
    <w:rsid w:val="00C22091"/>
    <w:rsid w:val="00C220D5"/>
    <w:rsid w:val="00C223C2"/>
    <w:rsid w:val="00C2240A"/>
    <w:rsid w:val="00C22592"/>
    <w:rsid w:val="00C22ADD"/>
    <w:rsid w:val="00C23117"/>
    <w:rsid w:val="00C23321"/>
    <w:rsid w:val="00C23672"/>
    <w:rsid w:val="00C2368E"/>
    <w:rsid w:val="00C23B0E"/>
    <w:rsid w:val="00C23DE8"/>
    <w:rsid w:val="00C24588"/>
    <w:rsid w:val="00C249A7"/>
    <w:rsid w:val="00C24AAC"/>
    <w:rsid w:val="00C257C2"/>
    <w:rsid w:val="00C258A7"/>
    <w:rsid w:val="00C25A34"/>
    <w:rsid w:val="00C25C37"/>
    <w:rsid w:val="00C2600B"/>
    <w:rsid w:val="00C27515"/>
    <w:rsid w:val="00C278AE"/>
    <w:rsid w:val="00C2796E"/>
    <w:rsid w:val="00C27A37"/>
    <w:rsid w:val="00C30303"/>
    <w:rsid w:val="00C30702"/>
    <w:rsid w:val="00C30838"/>
    <w:rsid w:val="00C30AD7"/>
    <w:rsid w:val="00C30C91"/>
    <w:rsid w:val="00C310CF"/>
    <w:rsid w:val="00C31699"/>
    <w:rsid w:val="00C31D8E"/>
    <w:rsid w:val="00C320EF"/>
    <w:rsid w:val="00C3213B"/>
    <w:rsid w:val="00C32AF1"/>
    <w:rsid w:val="00C32E91"/>
    <w:rsid w:val="00C3318E"/>
    <w:rsid w:val="00C3337C"/>
    <w:rsid w:val="00C334EF"/>
    <w:rsid w:val="00C339C0"/>
    <w:rsid w:val="00C33B54"/>
    <w:rsid w:val="00C343E5"/>
    <w:rsid w:val="00C34487"/>
    <w:rsid w:val="00C34A16"/>
    <w:rsid w:val="00C34A29"/>
    <w:rsid w:val="00C34A3F"/>
    <w:rsid w:val="00C3514B"/>
    <w:rsid w:val="00C35C8D"/>
    <w:rsid w:val="00C35CE7"/>
    <w:rsid w:val="00C3600A"/>
    <w:rsid w:val="00C36538"/>
    <w:rsid w:val="00C365DE"/>
    <w:rsid w:val="00C36EE8"/>
    <w:rsid w:val="00C370A3"/>
    <w:rsid w:val="00C376BF"/>
    <w:rsid w:val="00C37844"/>
    <w:rsid w:val="00C379EF"/>
    <w:rsid w:val="00C37A46"/>
    <w:rsid w:val="00C37D48"/>
    <w:rsid w:val="00C37FC0"/>
    <w:rsid w:val="00C401DA"/>
    <w:rsid w:val="00C409A2"/>
    <w:rsid w:val="00C40A10"/>
    <w:rsid w:val="00C40B5E"/>
    <w:rsid w:val="00C40E80"/>
    <w:rsid w:val="00C419A7"/>
    <w:rsid w:val="00C41A59"/>
    <w:rsid w:val="00C41A95"/>
    <w:rsid w:val="00C41D4F"/>
    <w:rsid w:val="00C41EC6"/>
    <w:rsid w:val="00C41EFC"/>
    <w:rsid w:val="00C41FDE"/>
    <w:rsid w:val="00C420CF"/>
    <w:rsid w:val="00C4213B"/>
    <w:rsid w:val="00C423A4"/>
    <w:rsid w:val="00C426DE"/>
    <w:rsid w:val="00C428C2"/>
    <w:rsid w:val="00C428FA"/>
    <w:rsid w:val="00C42B00"/>
    <w:rsid w:val="00C42B62"/>
    <w:rsid w:val="00C432E6"/>
    <w:rsid w:val="00C433F2"/>
    <w:rsid w:val="00C435E5"/>
    <w:rsid w:val="00C43A57"/>
    <w:rsid w:val="00C43BD0"/>
    <w:rsid w:val="00C43E08"/>
    <w:rsid w:val="00C44370"/>
    <w:rsid w:val="00C447C2"/>
    <w:rsid w:val="00C44AC4"/>
    <w:rsid w:val="00C44B49"/>
    <w:rsid w:val="00C450CA"/>
    <w:rsid w:val="00C45CA3"/>
    <w:rsid w:val="00C45E22"/>
    <w:rsid w:val="00C470C0"/>
    <w:rsid w:val="00C471A3"/>
    <w:rsid w:val="00C47273"/>
    <w:rsid w:val="00C47885"/>
    <w:rsid w:val="00C5003A"/>
    <w:rsid w:val="00C50417"/>
    <w:rsid w:val="00C506AA"/>
    <w:rsid w:val="00C5099B"/>
    <w:rsid w:val="00C514A0"/>
    <w:rsid w:val="00C5151C"/>
    <w:rsid w:val="00C52018"/>
    <w:rsid w:val="00C52C71"/>
    <w:rsid w:val="00C52EF6"/>
    <w:rsid w:val="00C530AD"/>
    <w:rsid w:val="00C53101"/>
    <w:rsid w:val="00C531A1"/>
    <w:rsid w:val="00C53A87"/>
    <w:rsid w:val="00C53B03"/>
    <w:rsid w:val="00C53CB2"/>
    <w:rsid w:val="00C53EFB"/>
    <w:rsid w:val="00C54266"/>
    <w:rsid w:val="00C5426C"/>
    <w:rsid w:val="00C542EE"/>
    <w:rsid w:val="00C5475F"/>
    <w:rsid w:val="00C549D2"/>
    <w:rsid w:val="00C54B8C"/>
    <w:rsid w:val="00C54FB4"/>
    <w:rsid w:val="00C550C3"/>
    <w:rsid w:val="00C55973"/>
    <w:rsid w:val="00C56679"/>
    <w:rsid w:val="00C56AB8"/>
    <w:rsid w:val="00C56F15"/>
    <w:rsid w:val="00C573F9"/>
    <w:rsid w:val="00C5763A"/>
    <w:rsid w:val="00C576DA"/>
    <w:rsid w:val="00C57DC2"/>
    <w:rsid w:val="00C60072"/>
    <w:rsid w:val="00C606B8"/>
    <w:rsid w:val="00C60813"/>
    <w:rsid w:val="00C60A6D"/>
    <w:rsid w:val="00C6112E"/>
    <w:rsid w:val="00C611E3"/>
    <w:rsid w:val="00C612CB"/>
    <w:rsid w:val="00C61846"/>
    <w:rsid w:val="00C61A7C"/>
    <w:rsid w:val="00C61B2E"/>
    <w:rsid w:val="00C6207B"/>
    <w:rsid w:val="00C622CD"/>
    <w:rsid w:val="00C6253E"/>
    <w:rsid w:val="00C62846"/>
    <w:rsid w:val="00C63108"/>
    <w:rsid w:val="00C6311C"/>
    <w:rsid w:val="00C63962"/>
    <w:rsid w:val="00C6398F"/>
    <w:rsid w:val="00C6437A"/>
    <w:rsid w:val="00C6457D"/>
    <w:rsid w:val="00C64A97"/>
    <w:rsid w:val="00C64C61"/>
    <w:rsid w:val="00C650CD"/>
    <w:rsid w:val="00C65504"/>
    <w:rsid w:val="00C6578B"/>
    <w:rsid w:val="00C65DDD"/>
    <w:rsid w:val="00C6608A"/>
    <w:rsid w:val="00C672C4"/>
    <w:rsid w:val="00C67348"/>
    <w:rsid w:val="00C673C6"/>
    <w:rsid w:val="00C7040C"/>
    <w:rsid w:val="00C7085B"/>
    <w:rsid w:val="00C712C7"/>
    <w:rsid w:val="00C7146E"/>
    <w:rsid w:val="00C71653"/>
    <w:rsid w:val="00C71884"/>
    <w:rsid w:val="00C718B5"/>
    <w:rsid w:val="00C718FA"/>
    <w:rsid w:val="00C72D62"/>
    <w:rsid w:val="00C73394"/>
    <w:rsid w:val="00C7344A"/>
    <w:rsid w:val="00C73782"/>
    <w:rsid w:val="00C73992"/>
    <w:rsid w:val="00C73E14"/>
    <w:rsid w:val="00C74362"/>
    <w:rsid w:val="00C743C8"/>
    <w:rsid w:val="00C749A3"/>
    <w:rsid w:val="00C74BC8"/>
    <w:rsid w:val="00C74FD4"/>
    <w:rsid w:val="00C758C4"/>
    <w:rsid w:val="00C759CF"/>
    <w:rsid w:val="00C75B15"/>
    <w:rsid w:val="00C75CB7"/>
    <w:rsid w:val="00C75D9B"/>
    <w:rsid w:val="00C76152"/>
    <w:rsid w:val="00C762FF"/>
    <w:rsid w:val="00C764E0"/>
    <w:rsid w:val="00C7653C"/>
    <w:rsid w:val="00C76B53"/>
    <w:rsid w:val="00C76D98"/>
    <w:rsid w:val="00C76FAB"/>
    <w:rsid w:val="00C77698"/>
    <w:rsid w:val="00C776DC"/>
    <w:rsid w:val="00C77A56"/>
    <w:rsid w:val="00C77A86"/>
    <w:rsid w:val="00C77B6D"/>
    <w:rsid w:val="00C77D45"/>
    <w:rsid w:val="00C80AE2"/>
    <w:rsid w:val="00C81491"/>
    <w:rsid w:val="00C815C6"/>
    <w:rsid w:val="00C81664"/>
    <w:rsid w:val="00C818EF"/>
    <w:rsid w:val="00C82434"/>
    <w:rsid w:val="00C82827"/>
    <w:rsid w:val="00C82D3B"/>
    <w:rsid w:val="00C82E82"/>
    <w:rsid w:val="00C83185"/>
    <w:rsid w:val="00C83304"/>
    <w:rsid w:val="00C8335F"/>
    <w:rsid w:val="00C834DA"/>
    <w:rsid w:val="00C839A6"/>
    <w:rsid w:val="00C84168"/>
    <w:rsid w:val="00C841E6"/>
    <w:rsid w:val="00C84A44"/>
    <w:rsid w:val="00C84C20"/>
    <w:rsid w:val="00C850E7"/>
    <w:rsid w:val="00C85239"/>
    <w:rsid w:val="00C858BC"/>
    <w:rsid w:val="00C859E5"/>
    <w:rsid w:val="00C85EC4"/>
    <w:rsid w:val="00C86316"/>
    <w:rsid w:val="00C8654A"/>
    <w:rsid w:val="00C86A2D"/>
    <w:rsid w:val="00C86BB5"/>
    <w:rsid w:val="00C86EE7"/>
    <w:rsid w:val="00C870A7"/>
    <w:rsid w:val="00C8754B"/>
    <w:rsid w:val="00C8795D"/>
    <w:rsid w:val="00C87975"/>
    <w:rsid w:val="00C87BBE"/>
    <w:rsid w:val="00C87D52"/>
    <w:rsid w:val="00C907DC"/>
    <w:rsid w:val="00C9096F"/>
    <w:rsid w:val="00C90F38"/>
    <w:rsid w:val="00C90F73"/>
    <w:rsid w:val="00C910BA"/>
    <w:rsid w:val="00C918EE"/>
    <w:rsid w:val="00C91A99"/>
    <w:rsid w:val="00C9284E"/>
    <w:rsid w:val="00C9298E"/>
    <w:rsid w:val="00C92A96"/>
    <w:rsid w:val="00C92C52"/>
    <w:rsid w:val="00C93276"/>
    <w:rsid w:val="00C938C6"/>
    <w:rsid w:val="00C93AFA"/>
    <w:rsid w:val="00C93CEF"/>
    <w:rsid w:val="00C93F39"/>
    <w:rsid w:val="00C94294"/>
    <w:rsid w:val="00C950D9"/>
    <w:rsid w:val="00C95170"/>
    <w:rsid w:val="00C952BC"/>
    <w:rsid w:val="00C95A76"/>
    <w:rsid w:val="00C95BFA"/>
    <w:rsid w:val="00C95FB1"/>
    <w:rsid w:val="00C96055"/>
    <w:rsid w:val="00C96099"/>
    <w:rsid w:val="00C961E8"/>
    <w:rsid w:val="00C966CC"/>
    <w:rsid w:val="00C96A22"/>
    <w:rsid w:val="00C972FF"/>
    <w:rsid w:val="00C973DD"/>
    <w:rsid w:val="00C976BE"/>
    <w:rsid w:val="00C979DB"/>
    <w:rsid w:val="00C97A8F"/>
    <w:rsid w:val="00C97AE9"/>
    <w:rsid w:val="00C97D39"/>
    <w:rsid w:val="00CA0030"/>
    <w:rsid w:val="00CA007A"/>
    <w:rsid w:val="00CA0137"/>
    <w:rsid w:val="00CA0195"/>
    <w:rsid w:val="00CA01CE"/>
    <w:rsid w:val="00CA028C"/>
    <w:rsid w:val="00CA054E"/>
    <w:rsid w:val="00CA0772"/>
    <w:rsid w:val="00CA088F"/>
    <w:rsid w:val="00CA0D2C"/>
    <w:rsid w:val="00CA0F84"/>
    <w:rsid w:val="00CA0FD0"/>
    <w:rsid w:val="00CA13DE"/>
    <w:rsid w:val="00CA169C"/>
    <w:rsid w:val="00CA19D5"/>
    <w:rsid w:val="00CA1AC7"/>
    <w:rsid w:val="00CA1C7E"/>
    <w:rsid w:val="00CA1E55"/>
    <w:rsid w:val="00CA23C1"/>
    <w:rsid w:val="00CA2519"/>
    <w:rsid w:val="00CA2677"/>
    <w:rsid w:val="00CA3148"/>
    <w:rsid w:val="00CA33A8"/>
    <w:rsid w:val="00CA350C"/>
    <w:rsid w:val="00CA3651"/>
    <w:rsid w:val="00CA3A02"/>
    <w:rsid w:val="00CA3DE2"/>
    <w:rsid w:val="00CA3EF2"/>
    <w:rsid w:val="00CA44AF"/>
    <w:rsid w:val="00CA47E2"/>
    <w:rsid w:val="00CA540E"/>
    <w:rsid w:val="00CA6200"/>
    <w:rsid w:val="00CA63CF"/>
    <w:rsid w:val="00CA64E5"/>
    <w:rsid w:val="00CA66D8"/>
    <w:rsid w:val="00CA6899"/>
    <w:rsid w:val="00CA6B27"/>
    <w:rsid w:val="00CA6BB9"/>
    <w:rsid w:val="00CA6F7F"/>
    <w:rsid w:val="00CA7345"/>
    <w:rsid w:val="00CA743D"/>
    <w:rsid w:val="00CA7A1B"/>
    <w:rsid w:val="00CA7A8C"/>
    <w:rsid w:val="00CA7F3F"/>
    <w:rsid w:val="00CB06C9"/>
    <w:rsid w:val="00CB0922"/>
    <w:rsid w:val="00CB0991"/>
    <w:rsid w:val="00CB107E"/>
    <w:rsid w:val="00CB13FC"/>
    <w:rsid w:val="00CB1741"/>
    <w:rsid w:val="00CB17F7"/>
    <w:rsid w:val="00CB2560"/>
    <w:rsid w:val="00CB2734"/>
    <w:rsid w:val="00CB2762"/>
    <w:rsid w:val="00CB2B06"/>
    <w:rsid w:val="00CB2B5F"/>
    <w:rsid w:val="00CB2EF0"/>
    <w:rsid w:val="00CB31BE"/>
    <w:rsid w:val="00CB33D4"/>
    <w:rsid w:val="00CB340A"/>
    <w:rsid w:val="00CB407B"/>
    <w:rsid w:val="00CB4180"/>
    <w:rsid w:val="00CB430D"/>
    <w:rsid w:val="00CB4451"/>
    <w:rsid w:val="00CB45B4"/>
    <w:rsid w:val="00CB473C"/>
    <w:rsid w:val="00CB4C54"/>
    <w:rsid w:val="00CB4F5E"/>
    <w:rsid w:val="00CB546E"/>
    <w:rsid w:val="00CB59A1"/>
    <w:rsid w:val="00CB5A57"/>
    <w:rsid w:val="00CB5B0C"/>
    <w:rsid w:val="00CB5C0B"/>
    <w:rsid w:val="00CB6A7D"/>
    <w:rsid w:val="00CB6D2C"/>
    <w:rsid w:val="00CB6FDF"/>
    <w:rsid w:val="00CB75D0"/>
    <w:rsid w:val="00CB75E3"/>
    <w:rsid w:val="00CB7898"/>
    <w:rsid w:val="00CC01A1"/>
    <w:rsid w:val="00CC01DD"/>
    <w:rsid w:val="00CC0687"/>
    <w:rsid w:val="00CC08AF"/>
    <w:rsid w:val="00CC0A44"/>
    <w:rsid w:val="00CC161D"/>
    <w:rsid w:val="00CC174D"/>
    <w:rsid w:val="00CC18FD"/>
    <w:rsid w:val="00CC215D"/>
    <w:rsid w:val="00CC23C2"/>
    <w:rsid w:val="00CC256A"/>
    <w:rsid w:val="00CC25D6"/>
    <w:rsid w:val="00CC280A"/>
    <w:rsid w:val="00CC2ABC"/>
    <w:rsid w:val="00CC2BF0"/>
    <w:rsid w:val="00CC2D1B"/>
    <w:rsid w:val="00CC2DA1"/>
    <w:rsid w:val="00CC2DF7"/>
    <w:rsid w:val="00CC2E29"/>
    <w:rsid w:val="00CC2FB1"/>
    <w:rsid w:val="00CC3088"/>
    <w:rsid w:val="00CC3215"/>
    <w:rsid w:val="00CC3B56"/>
    <w:rsid w:val="00CC3B98"/>
    <w:rsid w:val="00CC3E99"/>
    <w:rsid w:val="00CC4081"/>
    <w:rsid w:val="00CC43AA"/>
    <w:rsid w:val="00CC4CCE"/>
    <w:rsid w:val="00CC56FE"/>
    <w:rsid w:val="00CC5EFC"/>
    <w:rsid w:val="00CC6395"/>
    <w:rsid w:val="00CC65DA"/>
    <w:rsid w:val="00CC6E9A"/>
    <w:rsid w:val="00CC7EC5"/>
    <w:rsid w:val="00CD04F9"/>
    <w:rsid w:val="00CD0789"/>
    <w:rsid w:val="00CD0CE3"/>
    <w:rsid w:val="00CD0D02"/>
    <w:rsid w:val="00CD0DBA"/>
    <w:rsid w:val="00CD10FB"/>
    <w:rsid w:val="00CD146A"/>
    <w:rsid w:val="00CD1618"/>
    <w:rsid w:val="00CD1808"/>
    <w:rsid w:val="00CD1895"/>
    <w:rsid w:val="00CD1C27"/>
    <w:rsid w:val="00CD1D20"/>
    <w:rsid w:val="00CD1D22"/>
    <w:rsid w:val="00CD1F0D"/>
    <w:rsid w:val="00CD2025"/>
    <w:rsid w:val="00CD2342"/>
    <w:rsid w:val="00CD2C1B"/>
    <w:rsid w:val="00CD2FA6"/>
    <w:rsid w:val="00CD3445"/>
    <w:rsid w:val="00CD37A2"/>
    <w:rsid w:val="00CD4884"/>
    <w:rsid w:val="00CD515D"/>
    <w:rsid w:val="00CD554D"/>
    <w:rsid w:val="00CD55F6"/>
    <w:rsid w:val="00CD591E"/>
    <w:rsid w:val="00CD5CDD"/>
    <w:rsid w:val="00CD63F7"/>
    <w:rsid w:val="00CD67DE"/>
    <w:rsid w:val="00CD712D"/>
    <w:rsid w:val="00CD7573"/>
    <w:rsid w:val="00CD765F"/>
    <w:rsid w:val="00CD7757"/>
    <w:rsid w:val="00CD7EAA"/>
    <w:rsid w:val="00CE0001"/>
    <w:rsid w:val="00CE009F"/>
    <w:rsid w:val="00CE06EB"/>
    <w:rsid w:val="00CE0A28"/>
    <w:rsid w:val="00CE0F8C"/>
    <w:rsid w:val="00CE1649"/>
    <w:rsid w:val="00CE1726"/>
    <w:rsid w:val="00CE192C"/>
    <w:rsid w:val="00CE21C1"/>
    <w:rsid w:val="00CE2547"/>
    <w:rsid w:val="00CE2686"/>
    <w:rsid w:val="00CE2765"/>
    <w:rsid w:val="00CE298B"/>
    <w:rsid w:val="00CE2CB9"/>
    <w:rsid w:val="00CE2E26"/>
    <w:rsid w:val="00CE34BB"/>
    <w:rsid w:val="00CE36DC"/>
    <w:rsid w:val="00CE3BDF"/>
    <w:rsid w:val="00CE3CEB"/>
    <w:rsid w:val="00CE4022"/>
    <w:rsid w:val="00CE4259"/>
    <w:rsid w:val="00CE47B1"/>
    <w:rsid w:val="00CE493E"/>
    <w:rsid w:val="00CE49D5"/>
    <w:rsid w:val="00CE4D03"/>
    <w:rsid w:val="00CE54CC"/>
    <w:rsid w:val="00CE5561"/>
    <w:rsid w:val="00CE6049"/>
    <w:rsid w:val="00CE6235"/>
    <w:rsid w:val="00CE6274"/>
    <w:rsid w:val="00CE68D0"/>
    <w:rsid w:val="00CE6E5F"/>
    <w:rsid w:val="00CE6EEC"/>
    <w:rsid w:val="00CE74B0"/>
    <w:rsid w:val="00CE752E"/>
    <w:rsid w:val="00CE7AE4"/>
    <w:rsid w:val="00CF03B4"/>
    <w:rsid w:val="00CF0542"/>
    <w:rsid w:val="00CF0763"/>
    <w:rsid w:val="00CF08F6"/>
    <w:rsid w:val="00CF0F87"/>
    <w:rsid w:val="00CF12C8"/>
    <w:rsid w:val="00CF12DA"/>
    <w:rsid w:val="00CF133E"/>
    <w:rsid w:val="00CF13E1"/>
    <w:rsid w:val="00CF1505"/>
    <w:rsid w:val="00CF15F9"/>
    <w:rsid w:val="00CF1851"/>
    <w:rsid w:val="00CF18DC"/>
    <w:rsid w:val="00CF1AD3"/>
    <w:rsid w:val="00CF1F81"/>
    <w:rsid w:val="00CF200C"/>
    <w:rsid w:val="00CF20B2"/>
    <w:rsid w:val="00CF2504"/>
    <w:rsid w:val="00CF2D84"/>
    <w:rsid w:val="00CF2F9B"/>
    <w:rsid w:val="00CF343D"/>
    <w:rsid w:val="00CF3489"/>
    <w:rsid w:val="00CF34FC"/>
    <w:rsid w:val="00CF3AC0"/>
    <w:rsid w:val="00CF3D5F"/>
    <w:rsid w:val="00CF3E38"/>
    <w:rsid w:val="00CF43AA"/>
    <w:rsid w:val="00CF4A6E"/>
    <w:rsid w:val="00CF4C7D"/>
    <w:rsid w:val="00CF50A8"/>
    <w:rsid w:val="00CF51E5"/>
    <w:rsid w:val="00CF5210"/>
    <w:rsid w:val="00CF52EF"/>
    <w:rsid w:val="00CF56A8"/>
    <w:rsid w:val="00CF5EA4"/>
    <w:rsid w:val="00CF63D4"/>
    <w:rsid w:val="00CF6746"/>
    <w:rsid w:val="00CF6868"/>
    <w:rsid w:val="00CF6D93"/>
    <w:rsid w:val="00CF76B1"/>
    <w:rsid w:val="00CF7AF7"/>
    <w:rsid w:val="00D00C09"/>
    <w:rsid w:val="00D00D8D"/>
    <w:rsid w:val="00D00E87"/>
    <w:rsid w:val="00D01762"/>
    <w:rsid w:val="00D01AC5"/>
    <w:rsid w:val="00D0225D"/>
    <w:rsid w:val="00D0248F"/>
    <w:rsid w:val="00D0269D"/>
    <w:rsid w:val="00D0275D"/>
    <w:rsid w:val="00D03180"/>
    <w:rsid w:val="00D036CB"/>
    <w:rsid w:val="00D03EF7"/>
    <w:rsid w:val="00D03FE8"/>
    <w:rsid w:val="00D0431E"/>
    <w:rsid w:val="00D0454B"/>
    <w:rsid w:val="00D048B9"/>
    <w:rsid w:val="00D048F1"/>
    <w:rsid w:val="00D04DE9"/>
    <w:rsid w:val="00D04EAE"/>
    <w:rsid w:val="00D04F71"/>
    <w:rsid w:val="00D05176"/>
    <w:rsid w:val="00D052EC"/>
    <w:rsid w:val="00D05D3F"/>
    <w:rsid w:val="00D05E45"/>
    <w:rsid w:val="00D07231"/>
    <w:rsid w:val="00D075AC"/>
    <w:rsid w:val="00D078A5"/>
    <w:rsid w:val="00D07B25"/>
    <w:rsid w:val="00D07CEB"/>
    <w:rsid w:val="00D10692"/>
    <w:rsid w:val="00D10E5E"/>
    <w:rsid w:val="00D10F67"/>
    <w:rsid w:val="00D10FA7"/>
    <w:rsid w:val="00D111AE"/>
    <w:rsid w:val="00D111C5"/>
    <w:rsid w:val="00D1159E"/>
    <w:rsid w:val="00D11A1B"/>
    <w:rsid w:val="00D122ED"/>
    <w:rsid w:val="00D12418"/>
    <w:rsid w:val="00D12755"/>
    <w:rsid w:val="00D12F7E"/>
    <w:rsid w:val="00D13511"/>
    <w:rsid w:val="00D13685"/>
    <w:rsid w:val="00D1397A"/>
    <w:rsid w:val="00D13F3F"/>
    <w:rsid w:val="00D140CF"/>
    <w:rsid w:val="00D1422B"/>
    <w:rsid w:val="00D14293"/>
    <w:rsid w:val="00D142B2"/>
    <w:rsid w:val="00D145B4"/>
    <w:rsid w:val="00D1464D"/>
    <w:rsid w:val="00D146C4"/>
    <w:rsid w:val="00D14E90"/>
    <w:rsid w:val="00D152C2"/>
    <w:rsid w:val="00D158A0"/>
    <w:rsid w:val="00D16505"/>
    <w:rsid w:val="00D166A3"/>
    <w:rsid w:val="00D177DC"/>
    <w:rsid w:val="00D17A33"/>
    <w:rsid w:val="00D17AA7"/>
    <w:rsid w:val="00D20155"/>
    <w:rsid w:val="00D203D8"/>
    <w:rsid w:val="00D2044B"/>
    <w:rsid w:val="00D204E6"/>
    <w:rsid w:val="00D20B1A"/>
    <w:rsid w:val="00D20C92"/>
    <w:rsid w:val="00D21466"/>
    <w:rsid w:val="00D21507"/>
    <w:rsid w:val="00D21F31"/>
    <w:rsid w:val="00D21FE0"/>
    <w:rsid w:val="00D2261C"/>
    <w:rsid w:val="00D22964"/>
    <w:rsid w:val="00D22A05"/>
    <w:rsid w:val="00D23240"/>
    <w:rsid w:val="00D232C7"/>
    <w:rsid w:val="00D237F1"/>
    <w:rsid w:val="00D23D2E"/>
    <w:rsid w:val="00D24398"/>
    <w:rsid w:val="00D243B4"/>
    <w:rsid w:val="00D243F6"/>
    <w:rsid w:val="00D24A9A"/>
    <w:rsid w:val="00D24ED7"/>
    <w:rsid w:val="00D24F2E"/>
    <w:rsid w:val="00D24F33"/>
    <w:rsid w:val="00D25257"/>
    <w:rsid w:val="00D252CA"/>
    <w:rsid w:val="00D25590"/>
    <w:rsid w:val="00D25AE5"/>
    <w:rsid w:val="00D2660A"/>
    <w:rsid w:val="00D27262"/>
    <w:rsid w:val="00D2763C"/>
    <w:rsid w:val="00D302A4"/>
    <w:rsid w:val="00D304FD"/>
    <w:rsid w:val="00D3052E"/>
    <w:rsid w:val="00D30EEE"/>
    <w:rsid w:val="00D31AC9"/>
    <w:rsid w:val="00D31BF6"/>
    <w:rsid w:val="00D31C9A"/>
    <w:rsid w:val="00D31FF8"/>
    <w:rsid w:val="00D3213D"/>
    <w:rsid w:val="00D326BB"/>
    <w:rsid w:val="00D329D0"/>
    <w:rsid w:val="00D330A1"/>
    <w:rsid w:val="00D33A80"/>
    <w:rsid w:val="00D33B5B"/>
    <w:rsid w:val="00D33F71"/>
    <w:rsid w:val="00D3458E"/>
    <w:rsid w:val="00D34626"/>
    <w:rsid w:val="00D34911"/>
    <w:rsid w:val="00D34F82"/>
    <w:rsid w:val="00D34FDF"/>
    <w:rsid w:val="00D35551"/>
    <w:rsid w:val="00D3583F"/>
    <w:rsid w:val="00D35842"/>
    <w:rsid w:val="00D35D8B"/>
    <w:rsid w:val="00D35FFD"/>
    <w:rsid w:val="00D36174"/>
    <w:rsid w:val="00D36AE5"/>
    <w:rsid w:val="00D37AE9"/>
    <w:rsid w:val="00D37C18"/>
    <w:rsid w:val="00D4028C"/>
    <w:rsid w:val="00D4080E"/>
    <w:rsid w:val="00D409A1"/>
    <w:rsid w:val="00D4106B"/>
    <w:rsid w:val="00D410BF"/>
    <w:rsid w:val="00D4115F"/>
    <w:rsid w:val="00D41C06"/>
    <w:rsid w:val="00D41D87"/>
    <w:rsid w:val="00D42848"/>
    <w:rsid w:val="00D42938"/>
    <w:rsid w:val="00D42959"/>
    <w:rsid w:val="00D42AD4"/>
    <w:rsid w:val="00D42BF7"/>
    <w:rsid w:val="00D42F7E"/>
    <w:rsid w:val="00D431B8"/>
    <w:rsid w:val="00D434D9"/>
    <w:rsid w:val="00D43D9B"/>
    <w:rsid w:val="00D43EF0"/>
    <w:rsid w:val="00D4405C"/>
    <w:rsid w:val="00D4438C"/>
    <w:rsid w:val="00D443EC"/>
    <w:rsid w:val="00D44548"/>
    <w:rsid w:val="00D44D17"/>
    <w:rsid w:val="00D44E3F"/>
    <w:rsid w:val="00D453B0"/>
    <w:rsid w:val="00D458B9"/>
    <w:rsid w:val="00D459A5"/>
    <w:rsid w:val="00D45A09"/>
    <w:rsid w:val="00D45B05"/>
    <w:rsid w:val="00D45B40"/>
    <w:rsid w:val="00D45DFA"/>
    <w:rsid w:val="00D460DB"/>
    <w:rsid w:val="00D46656"/>
    <w:rsid w:val="00D469A3"/>
    <w:rsid w:val="00D4726E"/>
    <w:rsid w:val="00D478CC"/>
    <w:rsid w:val="00D4794A"/>
    <w:rsid w:val="00D47AFB"/>
    <w:rsid w:val="00D500DD"/>
    <w:rsid w:val="00D502D8"/>
    <w:rsid w:val="00D506BD"/>
    <w:rsid w:val="00D50BB0"/>
    <w:rsid w:val="00D51397"/>
    <w:rsid w:val="00D51591"/>
    <w:rsid w:val="00D51B13"/>
    <w:rsid w:val="00D51FA9"/>
    <w:rsid w:val="00D523AD"/>
    <w:rsid w:val="00D525FE"/>
    <w:rsid w:val="00D531B9"/>
    <w:rsid w:val="00D5325A"/>
    <w:rsid w:val="00D5333E"/>
    <w:rsid w:val="00D53655"/>
    <w:rsid w:val="00D53B10"/>
    <w:rsid w:val="00D53E22"/>
    <w:rsid w:val="00D54884"/>
    <w:rsid w:val="00D5543B"/>
    <w:rsid w:val="00D557D8"/>
    <w:rsid w:val="00D55CB1"/>
    <w:rsid w:val="00D55E44"/>
    <w:rsid w:val="00D55E88"/>
    <w:rsid w:val="00D56055"/>
    <w:rsid w:val="00D564AF"/>
    <w:rsid w:val="00D5683B"/>
    <w:rsid w:val="00D5687A"/>
    <w:rsid w:val="00D579B9"/>
    <w:rsid w:val="00D57AC8"/>
    <w:rsid w:val="00D57CFE"/>
    <w:rsid w:val="00D57D65"/>
    <w:rsid w:val="00D60BF6"/>
    <w:rsid w:val="00D60DF1"/>
    <w:rsid w:val="00D60EAA"/>
    <w:rsid w:val="00D61286"/>
    <w:rsid w:val="00D614BA"/>
    <w:rsid w:val="00D6172F"/>
    <w:rsid w:val="00D618B3"/>
    <w:rsid w:val="00D61A7E"/>
    <w:rsid w:val="00D61F43"/>
    <w:rsid w:val="00D6242B"/>
    <w:rsid w:val="00D634B7"/>
    <w:rsid w:val="00D63ABC"/>
    <w:rsid w:val="00D63D05"/>
    <w:rsid w:val="00D63ECE"/>
    <w:rsid w:val="00D64018"/>
    <w:rsid w:val="00D6443E"/>
    <w:rsid w:val="00D644A2"/>
    <w:rsid w:val="00D645E4"/>
    <w:rsid w:val="00D653BC"/>
    <w:rsid w:val="00D6553B"/>
    <w:rsid w:val="00D65AC0"/>
    <w:rsid w:val="00D65B5E"/>
    <w:rsid w:val="00D65E6B"/>
    <w:rsid w:val="00D65E8B"/>
    <w:rsid w:val="00D6614E"/>
    <w:rsid w:val="00D66715"/>
    <w:rsid w:val="00D66DA1"/>
    <w:rsid w:val="00D676A9"/>
    <w:rsid w:val="00D67954"/>
    <w:rsid w:val="00D67CA8"/>
    <w:rsid w:val="00D67D34"/>
    <w:rsid w:val="00D70084"/>
    <w:rsid w:val="00D70545"/>
    <w:rsid w:val="00D70747"/>
    <w:rsid w:val="00D70D5D"/>
    <w:rsid w:val="00D7130A"/>
    <w:rsid w:val="00D717C6"/>
    <w:rsid w:val="00D71D67"/>
    <w:rsid w:val="00D72468"/>
    <w:rsid w:val="00D72835"/>
    <w:rsid w:val="00D72A04"/>
    <w:rsid w:val="00D72A11"/>
    <w:rsid w:val="00D72B4C"/>
    <w:rsid w:val="00D732A6"/>
    <w:rsid w:val="00D73355"/>
    <w:rsid w:val="00D734B6"/>
    <w:rsid w:val="00D73621"/>
    <w:rsid w:val="00D7386C"/>
    <w:rsid w:val="00D738AB"/>
    <w:rsid w:val="00D73A89"/>
    <w:rsid w:val="00D73E11"/>
    <w:rsid w:val="00D741A4"/>
    <w:rsid w:val="00D74416"/>
    <w:rsid w:val="00D7471D"/>
    <w:rsid w:val="00D7474E"/>
    <w:rsid w:val="00D75176"/>
    <w:rsid w:val="00D75669"/>
    <w:rsid w:val="00D7574E"/>
    <w:rsid w:val="00D75DF0"/>
    <w:rsid w:val="00D76333"/>
    <w:rsid w:val="00D76343"/>
    <w:rsid w:val="00D768F7"/>
    <w:rsid w:val="00D7741F"/>
    <w:rsid w:val="00D77A27"/>
    <w:rsid w:val="00D77C13"/>
    <w:rsid w:val="00D806CE"/>
    <w:rsid w:val="00D80FE6"/>
    <w:rsid w:val="00D81835"/>
    <w:rsid w:val="00D819AB"/>
    <w:rsid w:val="00D81BAD"/>
    <w:rsid w:val="00D81F7E"/>
    <w:rsid w:val="00D82286"/>
    <w:rsid w:val="00D822F5"/>
    <w:rsid w:val="00D8287E"/>
    <w:rsid w:val="00D82944"/>
    <w:rsid w:val="00D82AB0"/>
    <w:rsid w:val="00D831C6"/>
    <w:rsid w:val="00D83679"/>
    <w:rsid w:val="00D83A75"/>
    <w:rsid w:val="00D83AE2"/>
    <w:rsid w:val="00D83D4F"/>
    <w:rsid w:val="00D84836"/>
    <w:rsid w:val="00D84ACD"/>
    <w:rsid w:val="00D84BF3"/>
    <w:rsid w:val="00D84D43"/>
    <w:rsid w:val="00D84D47"/>
    <w:rsid w:val="00D8523D"/>
    <w:rsid w:val="00D85756"/>
    <w:rsid w:val="00D857D1"/>
    <w:rsid w:val="00D85B0C"/>
    <w:rsid w:val="00D85CB6"/>
    <w:rsid w:val="00D85E29"/>
    <w:rsid w:val="00D85F3F"/>
    <w:rsid w:val="00D864FF"/>
    <w:rsid w:val="00D865CB"/>
    <w:rsid w:val="00D866CD"/>
    <w:rsid w:val="00D86A0B"/>
    <w:rsid w:val="00D87574"/>
    <w:rsid w:val="00D87BE4"/>
    <w:rsid w:val="00D87C10"/>
    <w:rsid w:val="00D87D3E"/>
    <w:rsid w:val="00D90C69"/>
    <w:rsid w:val="00D90CE3"/>
    <w:rsid w:val="00D90F56"/>
    <w:rsid w:val="00D90F5D"/>
    <w:rsid w:val="00D911BF"/>
    <w:rsid w:val="00D915A9"/>
    <w:rsid w:val="00D91795"/>
    <w:rsid w:val="00D92259"/>
    <w:rsid w:val="00D92442"/>
    <w:rsid w:val="00D9293A"/>
    <w:rsid w:val="00D92F4E"/>
    <w:rsid w:val="00D9322D"/>
    <w:rsid w:val="00D93416"/>
    <w:rsid w:val="00D93B73"/>
    <w:rsid w:val="00D93E62"/>
    <w:rsid w:val="00D93EDE"/>
    <w:rsid w:val="00D945BD"/>
    <w:rsid w:val="00D94940"/>
    <w:rsid w:val="00D94991"/>
    <w:rsid w:val="00D94BF0"/>
    <w:rsid w:val="00D94F00"/>
    <w:rsid w:val="00D950A7"/>
    <w:rsid w:val="00D950AA"/>
    <w:rsid w:val="00D95ACB"/>
    <w:rsid w:val="00D95D7A"/>
    <w:rsid w:val="00D95E49"/>
    <w:rsid w:val="00D96AC2"/>
    <w:rsid w:val="00D96CC0"/>
    <w:rsid w:val="00D97185"/>
    <w:rsid w:val="00D97216"/>
    <w:rsid w:val="00D97384"/>
    <w:rsid w:val="00D97618"/>
    <w:rsid w:val="00D97BF0"/>
    <w:rsid w:val="00DA03A4"/>
    <w:rsid w:val="00DA04C5"/>
    <w:rsid w:val="00DA0630"/>
    <w:rsid w:val="00DA0826"/>
    <w:rsid w:val="00DA0A7A"/>
    <w:rsid w:val="00DA0E7A"/>
    <w:rsid w:val="00DA0E93"/>
    <w:rsid w:val="00DA1040"/>
    <w:rsid w:val="00DA1BBA"/>
    <w:rsid w:val="00DA1E3E"/>
    <w:rsid w:val="00DA1F2F"/>
    <w:rsid w:val="00DA1FDC"/>
    <w:rsid w:val="00DA236D"/>
    <w:rsid w:val="00DA2410"/>
    <w:rsid w:val="00DA2DE2"/>
    <w:rsid w:val="00DA2E40"/>
    <w:rsid w:val="00DA2EBE"/>
    <w:rsid w:val="00DA3705"/>
    <w:rsid w:val="00DA38B2"/>
    <w:rsid w:val="00DA3D8A"/>
    <w:rsid w:val="00DA4117"/>
    <w:rsid w:val="00DA41B1"/>
    <w:rsid w:val="00DA46AD"/>
    <w:rsid w:val="00DA5025"/>
    <w:rsid w:val="00DA55BB"/>
    <w:rsid w:val="00DA5BFC"/>
    <w:rsid w:val="00DA5D53"/>
    <w:rsid w:val="00DA60B5"/>
    <w:rsid w:val="00DA63AF"/>
    <w:rsid w:val="00DA69EF"/>
    <w:rsid w:val="00DA6C4E"/>
    <w:rsid w:val="00DA6FC4"/>
    <w:rsid w:val="00DB03CF"/>
    <w:rsid w:val="00DB0749"/>
    <w:rsid w:val="00DB0AB3"/>
    <w:rsid w:val="00DB10E8"/>
    <w:rsid w:val="00DB156B"/>
    <w:rsid w:val="00DB169B"/>
    <w:rsid w:val="00DB19D6"/>
    <w:rsid w:val="00DB1AD5"/>
    <w:rsid w:val="00DB1D86"/>
    <w:rsid w:val="00DB20CA"/>
    <w:rsid w:val="00DB219C"/>
    <w:rsid w:val="00DB23CF"/>
    <w:rsid w:val="00DB25CF"/>
    <w:rsid w:val="00DB2D3D"/>
    <w:rsid w:val="00DB2F25"/>
    <w:rsid w:val="00DB32F6"/>
    <w:rsid w:val="00DB3734"/>
    <w:rsid w:val="00DB3A2C"/>
    <w:rsid w:val="00DB3B9B"/>
    <w:rsid w:val="00DB3D75"/>
    <w:rsid w:val="00DB410C"/>
    <w:rsid w:val="00DB4179"/>
    <w:rsid w:val="00DB444E"/>
    <w:rsid w:val="00DB5345"/>
    <w:rsid w:val="00DB5645"/>
    <w:rsid w:val="00DB5B21"/>
    <w:rsid w:val="00DB5BC2"/>
    <w:rsid w:val="00DB5C96"/>
    <w:rsid w:val="00DB5EA4"/>
    <w:rsid w:val="00DB66DA"/>
    <w:rsid w:val="00DB713A"/>
    <w:rsid w:val="00DB737F"/>
    <w:rsid w:val="00DB7834"/>
    <w:rsid w:val="00DC00AA"/>
    <w:rsid w:val="00DC07D7"/>
    <w:rsid w:val="00DC104F"/>
    <w:rsid w:val="00DC1059"/>
    <w:rsid w:val="00DC10B0"/>
    <w:rsid w:val="00DC13AE"/>
    <w:rsid w:val="00DC1B2E"/>
    <w:rsid w:val="00DC1FF1"/>
    <w:rsid w:val="00DC2169"/>
    <w:rsid w:val="00DC2519"/>
    <w:rsid w:val="00DC271A"/>
    <w:rsid w:val="00DC2A6A"/>
    <w:rsid w:val="00DC2C82"/>
    <w:rsid w:val="00DC3479"/>
    <w:rsid w:val="00DC3868"/>
    <w:rsid w:val="00DC3BC2"/>
    <w:rsid w:val="00DC3C78"/>
    <w:rsid w:val="00DC3F20"/>
    <w:rsid w:val="00DC42F5"/>
    <w:rsid w:val="00DC44FC"/>
    <w:rsid w:val="00DC4E55"/>
    <w:rsid w:val="00DC4EDA"/>
    <w:rsid w:val="00DC515A"/>
    <w:rsid w:val="00DC563C"/>
    <w:rsid w:val="00DC6399"/>
    <w:rsid w:val="00DC67A0"/>
    <w:rsid w:val="00DC68EF"/>
    <w:rsid w:val="00DC7183"/>
    <w:rsid w:val="00DC733A"/>
    <w:rsid w:val="00DC7532"/>
    <w:rsid w:val="00DC7936"/>
    <w:rsid w:val="00DC7B8D"/>
    <w:rsid w:val="00DC7CFF"/>
    <w:rsid w:val="00DC7F81"/>
    <w:rsid w:val="00DD004D"/>
    <w:rsid w:val="00DD0564"/>
    <w:rsid w:val="00DD076F"/>
    <w:rsid w:val="00DD0CE8"/>
    <w:rsid w:val="00DD0E01"/>
    <w:rsid w:val="00DD10F7"/>
    <w:rsid w:val="00DD185A"/>
    <w:rsid w:val="00DD19CF"/>
    <w:rsid w:val="00DD1AD7"/>
    <w:rsid w:val="00DD2079"/>
    <w:rsid w:val="00DD20BA"/>
    <w:rsid w:val="00DD2702"/>
    <w:rsid w:val="00DD2766"/>
    <w:rsid w:val="00DD29C4"/>
    <w:rsid w:val="00DD2B3B"/>
    <w:rsid w:val="00DD2F07"/>
    <w:rsid w:val="00DD312F"/>
    <w:rsid w:val="00DD32A6"/>
    <w:rsid w:val="00DD333F"/>
    <w:rsid w:val="00DD35A5"/>
    <w:rsid w:val="00DD3936"/>
    <w:rsid w:val="00DD3BB6"/>
    <w:rsid w:val="00DD41D4"/>
    <w:rsid w:val="00DD4552"/>
    <w:rsid w:val="00DD47C8"/>
    <w:rsid w:val="00DD48D6"/>
    <w:rsid w:val="00DD4A3B"/>
    <w:rsid w:val="00DD516D"/>
    <w:rsid w:val="00DD52F2"/>
    <w:rsid w:val="00DD52F3"/>
    <w:rsid w:val="00DD590F"/>
    <w:rsid w:val="00DD5DF1"/>
    <w:rsid w:val="00DD5F00"/>
    <w:rsid w:val="00DD68FB"/>
    <w:rsid w:val="00DD6B21"/>
    <w:rsid w:val="00DD71B6"/>
    <w:rsid w:val="00DD78C8"/>
    <w:rsid w:val="00DD7A80"/>
    <w:rsid w:val="00DD7F31"/>
    <w:rsid w:val="00DE0117"/>
    <w:rsid w:val="00DE047C"/>
    <w:rsid w:val="00DE0804"/>
    <w:rsid w:val="00DE099F"/>
    <w:rsid w:val="00DE0DD6"/>
    <w:rsid w:val="00DE1156"/>
    <w:rsid w:val="00DE17D0"/>
    <w:rsid w:val="00DE19B1"/>
    <w:rsid w:val="00DE19CD"/>
    <w:rsid w:val="00DE20E8"/>
    <w:rsid w:val="00DE2480"/>
    <w:rsid w:val="00DE250B"/>
    <w:rsid w:val="00DE257F"/>
    <w:rsid w:val="00DE27B3"/>
    <w:rsid w:val="00DE289A"/>
    <w:rsid w:val="00DE2ABE"/>
    <w:rsid w:val="00DE3138"/>
    <w:rsid w:val="00DE3692"/>
    <w:rsid w:val="00DE3759"/>
    <w:rsid w:val="00DE38ED"/>
    <w:rsid w:val="00DE3FE9"/>
    <w:rsid w:val="00DE4F96"/>
    <w:rsid w:val="00DE54C6"/>
    <w:rsid w:val="00DE5C7B"/>
    <w:rsid w:val="00DE5F99"/>
    <w:rsid w:val="00DE5FA2"/>
    <w:rsid w:val="00DE65BB"/>
    <w:rsid w:val="00DE66A7"/>
    <w:rsid w:val="00DE684C"/>
    <w:rsid w:val="00DE688B"/>
    <w:rsid w:val="00DE7897"/>
    <w:rsid w:val="00DE7F5A"/>
    <w:rsid w:val="00DF015B"/>
    <w:rsid w:val="00DF0187"/>
    <w:rsid w:val="00DF049E"/>
    <w:rsid w:val="00DF06A2"/>
    <w:rsid w:val="00DF0840"/>
    <w:rsid w:val="00DF11C3"/>
    <w:rsid w:val="00DF1312"/>
    <w:rsid w:val="00DF1E21"/>
    <w:rsid w:val="00DF1F23"/>
    <w:rsid w:val="00DF1F7B"/>
    <w:rsid w:val="00DF255D"/>
    <w:rsid w:val="00DF28D6"/>
    <w:rsid w:val="00DF28FE"/>
    <w:rsid w:val="00DF29A8"/>
    <w:rsid w:val="00DF33D2"/>
    <w:rsid w:val="00DF33FF"/>
    <w:rsid w:val="00DF3683"/>
    <w:rsid w:val="00DF3AFF"/>
    <w:rsid w:val="00DF4209"/>
    <w:rsid w:val="00DF445C"/>
    <w:rsid w:val="00DF4829"/>
    <w:rsid w:val="00DF49FF"/>
    <w:rsid w:val="00DF507A"/>
    <w:rsid w:val="00DF5358"/>
    <w:rsid w:val="00DF57DA"/>
    <w:rsid w:val="00DF5F74"/>
    <w:rsid w:val="00DF6266"/>
    <w:rsid w:val="00DF6D1C"/>
    <w:rsid w:val="00DF6E86"/>
    <w:rsid w:val="00DF7469"/>
    <w:rsid w:val="00DF7504"/>
    <w:rsid w:val="00DF7814"/>
    <w:rsid w:val="00DF7D72"/>
    <w:rsid w:val="00DF7F55"/>
    <w:rsid w:val="00E00155"/>
    <w:rsid w:val="00E002EE"/>
    <w:rsid w:val="00E00397"/>
    <w:rsid w:val="00E0065C"/>
    <w:rsid w:val="00E0068D"/>
    <w:rsid w:val="00E00817"/>
    <w:rsid w:val="00E00E8C"/>
    <w:rsid w:val="00E011E3"/>
    <w:rsid w:val="00E0226D"/>
    <w:rsid w:val="00E0250E"/>
    <w:rsid w:val="00E02777"/>
    <w:rsid w:val="00E03085"/>
    <w:rsid w:val="00E03958"/>
    <w:rsid w:val="00E040FE"/>
    <w:rsid w:val="00E043CA"/>
    <w:rsid w:val="00E0466D"/>
    <w:rsid w:val="00E048BE"/>
    <w:rsid w:val="00E04925"/>
    <w:rsid w:val="00E049C1"/>
    <w:rsid w:val="00E04A5B"/>
    <w:rsid w:val="00E04ACD"/>
    <w:rsid w:val="00E04F8F"/>
    <w:rsid w:val="00E055E6"/>
    <w:rsid w:val="00E05AA4"/>
    <w:rsid w:val="00E05E1C"/>
    <w:rsid w:val="00E05F0D"/>
    <w:rsid w:val="00E060D5"/>
    <w:rsid w:val="00E07AD7"/>
    <w:rsid w:val="00E107EE"/>
    <w:rsid w:val="00E10D7B"/>
    <w:rsid w:val="00E1108D"/>
    <w:rsid w:val="00E119AA"/>
    <w:rsid w:val="00E11C34"/>
    <w:rsid w:val="00E11F61"/>
    <w:rsid w:val="00E11F84"/>
    <w:rsid w:val="00E1201D"/>
    <w:rsid w:val="00E1212E"/>
    <w:rsid w:val="00E12525"/>
    <w:rsid w:val="00E1261B"/>
    <w:rsid w:val="00E1294F"/>
    <w:rsid w:val="00E12A30"/>
    <w:rsid w:val="00E12CA5"/>
    <w:rsid w:val="00E12EE0"/>
    <w:rsid w:val="00E13016"/>
    <w:rsid w:val="00E13599"/>
    <w:rsid w:val="00E1367D"/>
    <w:rsid w:val="00E13A99"/>
    <w:rsid w:val="00E13E4B"/>
    <w:rsid w:val="00E141C0"/>
    <w:rsid w:val="00E14376"/>
    <w:rsid w:val="00E14824"/>
    <w:rsid w:val="00E14CD9"/>
    <w:rsid w:val="00E14EAC"/>
    <w:rsid w:val="00E15073"/>
    <w:rsid w:val="00E15187"/>
    <w:rsid w:val="00E151CF"/>
    <w:rsid w:val="00E1529F"/>
    <w:rsid w:val="00E158A2"/>
    <w:rsid w:val="00E166DD"/>
    <w:rsid w:val="00E1677F"/>
    <w:rsid w:val="00E16A55"/>
    <w:rsid w:val="00E16CAF"/>
    <w:rsid w:val="00E16D17"/>
    <w:rsid w:val="00E170F9"/>
    <w:rsid w:val="00E1749A"/>
    <w:rsid w:val="00E17CEE"/>
    <w:rsid w:val="00E2080F"/>
    <w:rsid w:val="00E208E1"/>
    <w:rsid w:val="00E20CEF"/>
    <w:rsid w:val="00E20D2E"/>
    <w:rsid w:val="00E2135F"/>
    <w:rsid w:val="00E214C3"/>
    <w:rsid w:val="00E21817"/>
    <w:rsid w:val="00E2188E"/>
    <w:rsid w:val="00E219D6"/>
    <w:rsid w:val="00E21C71"/>
    <w:rsid w:val="00E21CCE"/>
    <w:rsid w:val="00E21F26"/>
    <w:rsid w:val="00E223F4"/>
    <w:rsid w:val="00E2242C"/>
    <w:rsid w:val="00E22A79"/>
    <w:rsid w:val="00E22B72"/>
    <w:rsid w:val="00E22F02"/>
    <w:rsid w:val="00E23074"/>
    <w:rsid w:val="00E230CC"/>
    <w:rsid w:val="00E237AB"/>
    <w:rsid w:val="00E2384B"/>
    <w:rsid w:val="00E239B5"/>
    <w:rsid w:val="00E23DD8"/>
    <w:rsid w:val="00E243D4"/>
    <w:rsid w:val="00E248FD"/>
    <w:rsid w:val="00E24CF0"/>
    <w:rsid w:val="00E24FF0"/>
    <w:rsid w:val="00E25099"/>
    <w:rsid w:val="00E255BC"/>
    <w:rsid w:val="00E2568A"/>
    <w:rsid w:val="00E256B7"/>
    <w:rsid w:val="00E26041"/>
    <w:rsid w:val="00E26166"/>
    <w:rsid w:val="00E263F8"/>
    <w:rsid w:val="00E26944"/>
    <w:rsid w:val="00E26D68"/>
    <w:rsid w:val="00E274BD"/>
    <w:rsid w:val="00E27810"/>
    <w:rsid w:val="00E279AF"/>
    <w:rsid w:val="00E27C25"/>
    <w:rsid w:val="00E300CD"/>
    <w:rsid w:val="00E302FB"/>
    <w:rsid w:val="00E304AB"/>
    <w:rsid w:val="00E30969"/>
    <w:rsid w:val="00E310CD"/>
    <w:rsid w:val="00E315C4"/>
    <w:rsid w:val="00E315FD"/>
    <w:rsid w:val="00E3162A"/>
    <w:rsid w:val="00E31643"/>
    <w:rsid w:val="00E318A5"/>
    <w:rsid w:val="00E318E1"/>
    <w:rsid w:val="00E31B35"/>
    <w:rsid w:val="00E31FF2"/>
    <w:rsid w:val="00E32253"/>
    <w:rsid w:val="00E3278D"/>
    <w:rsid w:val="00E32957"/>
    <w:rsid w:val="00E32A9F"/>
    <w:rsid w:val="00E33023"/>
    <w:rsid w:val="00E33310"/>
    <w:rsid w:val="00E33605"/>
    <w:rsid w:val="00E3390B"/>
    <w:rsid w:val="00E33A27"/>
    <w:rsid w:val="00E33C5F"/>
    <w:rsid w:val="00E33D32"/>
    <w:rsid w:val="00E351FD"/>
    <w:rsid w:val="00E358C1"/>
    <w:rsid w:val="00E35AF4"/>
    <w:rsid w:val="00E35CDA"/>
    <w:rsid w:val="00E361AA"/>
    <w:rsid w:val="00E365AD"/>
    <w:rsid w:val="00E368C2"/>
    <w:rsid w:val="00E36E59"/>
    <w:rsid w:val="00E36E9A"/>
    <w:rsid w:val="00E3710F"/>
    <w:rsid w:val="00E37C14"/>
    <w:rsid w:val="00E37D35"/>
    <w:rsid w:val="00E40466"/>
    <w:rsid w:val="00E40938"/>
    <w:rsid w:val="00E40C26"/>
    <w:rsid w:val="00E4104D"/>
    <w:rsid w:val="00E41561"/>
    <w:rsid w:val="00E4163B"/>
    <w:rsid w:val="00E416D3"/>
    <w:rsid w:val="00E4183B"/>
    <w:rsid w:val="00E42326"/>
    <w:rsid w:val="00E42519"/>
    <w:rsid w:val="00E43871"/>
    <w:rsid w:val="00E43B94"/>
    <w:rsid w:val="00E43F00"/>
    <w:rsid w:val="00E44300"/>
    <w:rsid w:val="00E44311"/>
    <w:rsid w:val="00E44A77"/>
    <w:rsid w:val="00E45060"/>
    <w:rsid w:val="00E451C3"/>
    <w:rsid w:val="00E452F3"/>
    <w:rsid w:val="00E454E4"/>
    <w:rsid w:val="00E45BE9"/>
    <w:rsid w:val="00E4676A"/>
    <w:rsid w:val="00E46816"/>
    <w:rsid w:val="00E46916"/>
    <w:rsid w:val="00E46BA6"/>
    <w:rsid w:val="00E473F1"/>
    <w:rsid w:val="00E474EE"/>
    <w:rsid w:val="00E475CE"/>
    <w:rsid w:val="00E476D0"/>
    <w:rsid w:val="00E47923"/>
    <w:rsid w:val="00E479BA"/>
    <w:rsid w:val="00E5019C"/>
    <w:rsid w:val="00E50280"/>
    <w:rsid w:val="00E5029D"/>
    <w:rsid w:val="00E507E4"/>
    <w:rsid w:val="00E50EBB"/>
    <w:rsid w:val="00E5171D"/>
    <w:rsid w:val="00E51A0D"/>
    <w:rsid w:val="00E51A44"/>
    <w:rsid w:val="00E51E0B"/>
    <w:rsid w:val="00E52869"/>
    <w:rsid w:val="00E528D8"/>
    <w:rsid w:val="00E5291B"/>
    <w:rsid w:val="00E52A1B"/>
    <w:rsid w:val="00E52CD5"/>
    <w:rsid w:val="00E53123"/>
    <w:rsid w:val="00E534D8"/>
    <w:rsid w:val="00E535C2"/>
    <w:rsid w:val="00E53A89"/>
    <w:rsid w:val="00E53AD6"/>
    <w:rsid w:val="00E5436E"/>
    <w:rsid w:val="00E54403"/>
    <w:rsid w:val="00E54693"/>
    <w:rsid w:val="00E54B52"/>
    <w:rsid w:val="00E54BF9"/>
    <w:rsid w:val="00E5519B"/>
    <w:rsid w:val="00E5547B"/>
    <w:rsid w:val="00E556F2"/>
    <w:rsid w:val="00E558E5"/>
    <w:rsid w:val="00E55C26"/>
    <w:rsid w:val="00E55F40"/>
    <w:rsid w:val="00E562D5"/>
    <w:rsid w:val="00E56537"/>
    <w:rsid w:val="00E5657A"/>
    <w:rsid w:val="00E56DCB"/>
    <w:rsid w:val="00E5783E"/>
    <w:rsid w:val="00E5785B"/>
    <w:rsid w:val="00E57AAB"/>
    <w:rsid w:val="00E57E82"/>
    <w:rsid w:val="00E600FF"/>
    <w:rsid w:val="00E6046B"/>
    <w:rsid w:val="00E604DB"/>
    <w:rsid w:val="00E60721"/>
    <w:rsid w:val="00E607F9"/>
    <w:rsid w:val="00E60BD1"/>
    <w:rsid w:val="00E61024"/>
    <w:rsid w:val="00E61117"/>
    <w:rsid w:val="00E6158F"/>
    <w:rsid w:val="00E61892"/>
    <w:rsid w:val="00E619CE"/>
    <w:rsid w:val="00E61C60"/>
    <w:rsid w:val="00E62080"/>
    <w:rsid w:val="00E62990"/>
    <w:rsid w:val="00E629DA"/>
    <w:rsid w:val="00E63122"/>
    <w:rsid w:val="00E6320F"/>
    <w:rsid w:val="00E636AC"/>
    <w:rsid w:val="00E6379E"/>
    <w:rsid w:val="00E638FA"/>
    <w:rsid w:val="00E63B7C"/>
    <w:rsid w:val="00E63F40"/>
    <w:rsid w:val="00E640C4"/>
    <w:rsid w:val="00E64FD2"/>
    <w:rsid w:val="00E6501E"/>
    <w:rsid w:val="00E65381"/>
    <w:rsid w:val="00E65EA1"/>
    <w:rsid w:val="00E662E2"/>
    <w:rsid w:val="00E66850"/>
    <w:rsid w:val="00E6688E"/>
    <w:rsid w:val="00E66BCD"/>
    <w:rsid w:val="00E6725E"/>
    <w:rsid w:val="00E67F0D"/>
    <w:rsid w:val="00E705F7"/>
    <w:rsid w:val="00E70832"/>
    <w:rsid w:val="00E70925"/>
    <w:rsid w:val="00E70B29"/>
    <w:rsid w:val="00E70D97"/>
    <w:rsid w:val="00E70DEB"/>
    <w:rsid w:val="00E710E7"/>
    <w:rsid w:val="00E7155C"/>
    <w:rsid w:val="00E71DC9"/>
    <w:rsid w:val="00E71E4A"/>
    <w:rsid w:val="00E71F90"/>
    <w:rsid w:val="00E72279"/>
    <w:rsid w:val="00E7299C"/>
    <w:rsid w:val="00E72CA5"/>
    <w:rsid w:val="00E734B1"/>
    <w:rsid w:val="00E737CA"/>
    <w:rsid w:val="00E7394A"/>
    <w:rsid w:val="00E739BF"/>
    <w:rsid w:val="00E73A23"/>
    <w:rsid w:val="00E73A52"/>
    <w:rsid w:val="00E73C98"/>
    <w:rsid w:val="00E73F1D"/>
    <w:rsid w:val="00E73F62"/>
    <w:rsid w:val="00E7411C"/>
    <w:rsid w:val="00E74341"/>
    <w:rsid w:val="00E745F9"/>
    <w:rsid w:val="00E749E3"/>
    <w:rsid w:val="00E74B16"/>
    <w:rsid w:val="00E74CC4"/>
    <w:rsid w:val="00E75331"/>
    <w:rsid w:val="00E75422"/>
    <w:rsid w:val="00E7582A"/>
    <w:rsid w:val="00E75A8F"/>
    <w:rsid w:val="00E75D6A"/>
    <w:rsid w:val="00E75E4D"/>
    <w:rsid w:val="00E7610E"/>
    <w:rsid w:val="00E769D1"/>
    <w:rsid w:val="00E76D53"/>
    <w:rsid w:val="00E77132"/>
    <w:rsid w:val="00E771B6"/>
    <w:rsid w:val="00E779A9"/>
    <w:rsid w:val="00E80126"/>
    <w:rsid w:val="00E806B8"/>
    <w:rsid w:val="00E80AF7"/>
    <w:rsid w:val="00E80D3B"/>
    <w:rsid w:val="00E80DD8"/>
    <w:rsid w:val="00E8151F"/>
    <w:rsid w:val="00E816F7"/>
    <w:rsid w:val="00E81CE5"/>
    <w:rsid w:val="00E81D0C"/>
    <w:rsid w:val="00E81F99"/>
    <w:rsid w:val="00E823B1"/>
    <w:rsid w:val="00E82411"/>
    <w:rsid w:val="00E8252E"/>
    <w:rsid w:val="00E827A6"/>
    <w:rsid w:val="00E8285A"/>
    <w:rsid w:val="00E82DD9"/>
    <w:rsid w:val="00E82F5C"/>
    <w:rsid w:val="00E836F8"/>
    <w:rsid w:val="00E83768"/>
    <w:rsid w:val="00E839D5"/>
    <w:rsid w:val="00E845AE"/>
    <w:rsid w:val="00E84605"/>
    <w:rsid w:val="00E84676"/>
    <w:rsid w:val="00E847FF"/>
    <w:rsid w:val="00E84A36"/>
    <w:rsid w:val="00E85DA5"/>
    <w:rsid w:val="00E85F8F"/>
    <w:rsid w:val="00E86960"/>
    <w:rsid w:val="00E86D1A"/>
    <w:rsid w:val="00E86E16"/>
    <w:rsid w:val="00E87415"/>
    <w:rsid w:val="00E87E54"/>
    <w:rsid w:val="00E9009C"/>
    <w:rsid w:val="00E901A9"/>
    <w:rsid w:val="00E902C1"/>
    <w:rsid w:val="00E90410"/>
    <w:rsid w:val="00E90559"/>
    <w:rsid w:val="00E907A5"/>
    <w:rsid w:val="00E90D4C"/>
    <w:rsid w:val="00E90EE0"/>
    <w:rsid w:val="00E91751"/>
    <w:rsid w:val="00E91C03"/>
    <w:rsid w:val="00E91D04"/>
    <w:rsid w:val="00E91F66"/>
    <w:rsid w:val="00E91FA0"/>
    <w:rsid w:val="00E920DC"/>
    <w:rsid w:val="00E92AA8"/>
    <w:rsid w:val="00E92DF4"/>
    <w:rsid w:val="00E93524"/>
    <w:rsid w:val="00E936E6"/>
    <w:rsid w:val="00E937B5"/>
    <w:rsid w:val="00E93880"/>
    <w:rsid w:val="00E93A49"/>
    <w:rsid w:val="00E93BDF"/>
    <w:rsid w:val="00E93ED3"/>
    <w:rsid w:val="00E943F5"/>
    <w:rsid w:val="00E9446A"/>
    <w:rsid w:val="00E94671"/>
    <w:rsid w:val="00E947AA"/>
    <w:rsid w:val="00E9523A"/>
    <w:rsid w:val="00E952C8"/>
    <w:rsid w:val="00E9545C"/>
    <w:rsid w:val="00E9546A"/>
    <w:rsid w:val="00E96209"/>
    <w:rsid w:val="00E96600"/>
    <w:rsid w:val="00E96855"/>
    <w:rsid w:val="00E96B05"/>
    <w:rsid w:val="00E96B67"/>
    <w:rsid w:val="00E970AE"/>
    <w:rsid w:val="00E97765"/>
    <w:rsid w:val="00E97824"/>
    <w:rsid w:val="00E979D3"/>
    <w:rsid w:val="00E97A7B"/>
    <w:rsid w:val="00E97B3A"/>
    <w:rsid w:val="00E97D14"/>
    <w:rsid w:val="00EA087E"/>
    <w:rsid w:val="00EA0A54"/>
    <w:rsid w:val="00EA0C07"/>
    <w:rsid w:val="00EA179E"/>
    <w:rsid w:val="00EA1CF8"/>
    <w:rsid w:val="00EA1EA7"/>
    <w:rsid w:val="00EA2AF1"/>
    <w:rsid w:val="00EA2C96"/>
    <w:rsid w:val="00EA2EAD"/>
    <w:rsid w:val="00EA3B17"/>
    <w:rsid w:val="00EA3BD3"/>
    <w:rsid w:val="00EA45ED"/>
    <w:rsid w:val="00EA4650"/>
    <w:rsid w:val="00EA5157"/>
    <w:rsid w:val="00EA5219"/>
    <w:rsid w:val="00EA5222"/>
    <w:rsid w:val="00EA53AF"/>
    <w:rsid w:val="00EA54DB"/>
    <w:rsid w:val="00EA5532"/>
    <w:rsid w:val="00EA59AD"/>
    <w:rsid w:val="00EA63AF"/>
    <w:rsid w:val="00EA6567"/>
    <w:rsid w:val="00EA6A46"/>
    <w:rsid w:val="00EA76BD"/>
    <w:rsid w:val="00EA7DD6"/>
    <w:rsid w:val="00EA7E78"/>
    <w:rsid w:val="00EA7F49"/>
    <w:rsid w:val="00EB0980"/>
    <w:rsid w:val="00EB0D35"/>
    <w:rsid w:val="00EB1769"/>
    <w:rsid w:val="00EB1AAC"/>
    <w:rsid w:val="00EB1E35"/>
    <w:rsid w:val="00EB1F3B"/>
    <w:rsid w:val="00EB25A5"/>
    <w:rsid w:val="00EB2DF7"/>
    <w:rsid w:val="00EB30E4"/>
    <w:rsid w:val="00EB326A"/>
    <w:rsid w:val="00EB370B"/>
    <w:rsid w:val="00EB4299"/>
    <w:rsid w:val="00EB43E1"/>
    <w:rsid w:val="00EB4457"/>
    <w:rsid w:val="00EB4481"/>
    <w:rsid w:val="00EB46A4"/>
    <w:rsid w:val="00EB4763"/>
    <w:rsid w:val="00EB4DCB"/>
    <w:rsid w:val="00EB590C"/>
    <w:rsid w:val="00EB5F59"/>
    <w:rsid w:val="00EB6302"/>
    <w:rsid w:val="00EB65D8"/>
    <w:rsid w:val="00EB6825"/>
    <w:rsid w:val="00EB6BB9"/>
    <w:rsid w:val="00EB6D53"/>
    <w:rsid w:val="00EB7D9D"/>
    <w:rsid w:val="00EC014D"/>
    <w:rsid w:val="00EC044F"/>
    <w:rsid w:val="00EC08A1"/>
    <w:rsid w:val="00EC121B"/>
    <w:rsid w:val="00EC20B6"/>
    <w:rsid w:val="00EC27F2"/>
    <w:rsid w:val="00EC2ADC"/>
    <w:rsid w:val="00EC3323"/>
    <w:rsid w:val="00EC3FBF"/>
    <w:rsid w:val="00EC4189"/>
    <w:rsid w:val="00EC42D4"/>
    <w:rsid w:val="00EC45D6"/>
    <w:rsid w:val="00EC504A"/>
    <w:rsid w:val="00EC56F8"/>
    <w:rsid w:val="00EC6821"/>
    <w:rsid w:val="00EC6B57"/>
    <w:rsid w:val="00EC6BF7"/>
    <w:rsid w:val="00EC6D37"/>
    <w:rsid w:val="00EC779D"/>
    <w:rsid w:val="00EC7B04"/>
    <w:rsid w:val="00EC7E01"/>
    <w:rsid w:val="00ED01C7"/>
    <w:rsid w:val="00ED0416"/>
    <w:rsid w:val="00ED04F6"/>
    <w:rsid w:val="00ED09A2"/>
    <w:rsid w:val="00ED0A6B"/>
    <w:rsid w:val="00ED0E9F"/>
    <w:rsid w:val="00ED1019"/>
    <w:rsid w:val="00ED17FB"/>
    <w:rsid w:val="00ED1AB8"/>
    <w:rsid w:val="00ED1ACE"/>
    <w:rsid w:val="00ED1FC4"/>
    <w:rsid w:val="00ED2149"/>
    <w:rsid w:val="00ED2576"/>
    <w:rsid w:val="00ED2A28"/>
    <w:rsid w:val="00ED3175"/>
    <w:rsid w:val="00ED3279"/>
    <w:rsid w:val="00ED32AF"/>
    <w:rsid w:val="00ED3621"/>
    <w:rsid w:val="00ED3755"/>
    <w:rsid w:val="00ED3CE4"/>
    <w:rsid w:val="00ED3F11"/>
    <w:rsid w:val="00ED4161"/>
    <w:rsid w:val="00ED4C3C"/>
    <w:rsid w:val="00ED4D28"/>
    <w:rsid w:val="00ED50FD"/>
    <w:rsid w:val="00ED53E1"/>
    <w:rsid w:val="00ED57EF"/>
    <w:rsid w:val="00ED5904"/>
    <w:rsid w:val="00ED5910"/>
    <w:rsid w:val="00ED622A"/>
    <w:rsid w:val="00ED7103"/>
    <w:rsid w:val="00ED712A"/>
    <w:rsid w:val="00ED7194"/>
    <w:rsid w:val="00ED7279"/>
    <w:rsid w:val="00ED7446"/>
    <w:rsid w:val="00ED76CB"/>
    <w:rsid w:val="00ED76D6"/>
    <w:rsid w:val="00EE050A"/>
    <w:rsid w:val="00EE13BE"/>
    <w:rsid w:val="00EE162B"/>
    <w:rsid w:val="00EE1BF6"/>
    <w:rsid w:val="00EE2068"/>
    <w:rsid w:val="00EE20F7"/>
    <w:rsid w:val="00EE2387"/>
    <w:rsid w:val="00EE23F0"/>
    <w:rsid w:val="00EE2C04"/>
    <w:rsid w:val="00EE32AD"/>
    <w:rsid w:val="00EE3987"/>
    <w:rsid w:val="00EE3A32"/>
    <w:rsid w:val="00EE4405"/>
    <w:rsid w:val="00EE44AD"/>
    <w:rsid w:val="00EE45A1"/>
    <w:rsid w:val="00EE45DC"/>
    <w:rsid w:val="00EE498A"/>
    <w:rsid w:val="00EE49A4"/>
    <w:rsid w:val="00EE4B98"/>
    <w:rsid w:val="00EE4F29"/>
    <w:rsid w:val="00EE5A7D"/>
    <w:rsid w:val="00EE5B69"/>
    <w:rsid w:val="00EE6194"/>
    <w:rsid w:val="00EE6303"/>
    <w:rsid w:val="00EE64C4"/>
    <w:rsid w:val="00EE65F2"/>
    <w:rsid w:val="00EE6A4B"/>
    <w:rsid w:val="00EE6D33"/>
    <w:rsid w:val="00EE724B"/>
    <w:rsid w:val="00EE73C8"/>
    <w:rsid w:val="00EE75A0"/>
    <w:rsid w:val="00EE7A47"/>
    <w:rsid w:val="00EF022D"/>
    <w:rsid w:val="00EF0640"/>
    <w:rsid w:val="00EF1457"/>
    <w:rsid w:val="00EF1794"/>
    <w:rsid w:val="00EF1BDE"/>
    <w:rsid w:val="00EF1CC5"/>
    <w:rsid w:val="00EF223C"/>
    <w:rsid w:val="00EF2431"/>
    <w:rsid w:val="00EF2AC6"/>
    <w:rsid w:val="00EF2EF9"/>
    <w:rsid w:val="00EF37DE"/>
    <w:rsid w:val="00EF3940"/>
    <w:rsid w:val="00EF3D7E"/>
    <w:rsid w:val="00EF3EA2"/>
    <w:rsid w:val="00EF447A"/>
    <w:rsid w:val="00EF474C"/>
    <w:rsid w:val="00EF475A"/>
    <w:rsid w:val="00EF494A"/>
    <w:rsid w:val="00EF49A1"/>
    <w:rsid w:val="00EF4DF7"/>
    <w:rsid w:val="00EF5137"/>
    <w:rsid w:val="00EF5300"/>
    <w:rsid w:val="00EF554F"/>
    <w:rsid w:val="00EF5982"/>
    <w:rsid w:val="00EF5B39"/>
    <w:rsid w:val="00EF5CF7"/>
    <w:rsid w:val="00EF6383"/>
    <w:rsid w:val="00EF67FA"/>
    <w:rsid w:val="00EF6C19"/>
    <w:rsid w:val="00EF6EB0"/>
    <w:rsid w:val="00EF71F8"/>
    <w:rsid w:val="00EF731F"/>
    <w:rsid w:val="00EF7398"/>
    <w:rsid w:val="00EF73D3"/>
    <w:rsid w:val="00EF7641"/>
    <w:rsid w:val="00EF7B30"/>
    <w:rsid w:val="00EF7E91"/>
    <w:rsid w:val="00F00275"/>
    <w:rsid w:val="00F00452"/>
    <w:rsid w:val="00F00454"/>
    <w:rsid w:val="00F006CA"/>
    <w:rsid w:val="00F00DB3"/>
    <w:rsid w:val="00F00DD5"/>
    <w:rsid w:val="00F015FF"/>
    <w:rsid w:val="00F01B34"/>
    <w:rsid w:val="00F02898"/>
    <w:rsid w:val="00F03556"/>
    <w:rsid w:val="00F0375D"/>
    <w:rsid w:val="00F03935"/>
    <w:rsid w:val="00F045F0"/>
    <w:rsid w:val="00F04651"/>
    <w:rsid w:val="00F04895"/>
    <w:rsid w:val="00F04EAE"/>
    <w:rsid w:val="00F0508E"/>
    <w:rsid w:val="00F05A5F"/>
    <w:rsid w:val="00F05B2A"/>
    <w:rsid w:val="00F05D42"/>
    <w:rsid w:val="00F05E99"/>
    <w:rsid w:val="00F06515"/>
    <w:rsid w:val="00F06D72"/>
    <w:rsid w:val="00F07220"/>
    <w:rsid w:val="00F072AB"/>
    <w:rsid w:val="00F07493"/>
    <w:rsid w:val="00F0752F"/>
    <w:rsid w:val="00F07752"/>
    <w:rsid w:val="00F07D19"/>
    <w:rsid w:val="00F07D7F"/>
    <w:rsid w:val="00F07DA9"/>
    <w:rsid w:val="00F10181"/>
    <w:rsid w:val="00F10656"/>
    <w:rsid w:val="00F10FD5"/>
    <w:rsid w:val="00F11182"/>
    <w:rsid w:val="00F111D2"/>
    <w:rsid w:val="00F1126B"/>
    <w:rsid w:val="00F1150B"/>
    <w:rsid w:val="00F1180F"/>
    <w:rsid w:val="00F1189A"/>
    <w:rsid w:val="00F11D24"/>
    <w:rsid w:val="00F11D54"/>
    <w:rsid w:val="00F11FAE"/>
    <w:rsid w:val="00F11FBD"/>
    <w:rsid w:val="00F1251A"/>
    <w:rsid w:val="00F125CC"/>
    <w:rsid w:val="00F12BF7"/>
    <w:rsid w:val="00F13054"/>
    <w:rsid w:val="00F13288"/>
    <w:rsid w:val="00F1347B"/>
    <w:rsid w:val="00F136CB"/>
    <w:rsid w:val="00F13831"/>
    <w:rsid w:val="00F140EF"/>
    <w:rsid w:val="00F14198"/>
    <w:rsid w:val="00F1426F"/>
    <w:rsid w:val="00F14517"/>
    <w:rsid w:val="00F14E38"/>
    <w:rsid w:val="00F14F54"/>
    <w:rsid w:val="00F1590C"/>
    <w:rsid w:val="00F15CDF"/>
    <w:rsid w:val="00F15DB5"/>
    <w:rsid w:val="00F15E8B"/>
    <w:rsid w:val="00F15FA5"/>
    <w:rsid w:val="00F168CC"/>
    <w:rsid w:val="00F1697B"/>
    <w:rsid w:val="00F16DB4"/>
    <w:rsid w:val="00F17059"/>
    <w:rsid w:val="00F171A2"/>
    <w:rsid w:val="00F17554"/>
    <w:rsid w:val="00F17580"/>
    <w:rsid w:val="00F17E26"/>
    <w:rsid w:val="00F17FC7"/>
    <w:rsid w:val="00F17FF6"/>
    <w:rsid w:val="00F20025"/>
    <w:rsid w:val="00F201C5"/>
    <w:rsid w:val="00F20636"/>
    <w:rsid w:val="00F20988"/>
    <w:rsid w:val="00F20D93"/>
    <w:rsid w:val="00F20FB8"/>
    <w:rsid w:val="00F2168B"/>
    <w:rsid w:val="00F219D3"/>
    <w:rsid w:val="00F219E1"/>
    <w:rsid w:val="00F21D47"/>
    <w:rsid w:val="00F220C0"/>
    <w:rsid w:val="00F230BC"/>
    <w:rsid w:val="00F231C5"/>
    <w:rsid w:val="00F231EC"/>
    <w:rsid w:val="00F23A21"/>
    <w:rsid w:val="00F23B64"/>
    <w:rsid w:val="00F23D4B"/>
    <w:rsid w:val="00F23D77"/>
    <w:rsid w:val="00F2471D"/>
    <w:rsid w:val="00F247F4"/>
    <w:rsid w:val="00F24A1C"/>
    <w:rsid w:val="00F24DCB"/>
    <w:rsid w:val="00F24FE4"/>
    <w:rsid w:val="00F25404"/>
    <w:rsid w:val="00F255D7"/>
    <w:rsid w:val="00F25AD0"/>
    <w:rsid w:val="00F260FF"/>
    <w:rsid w:val="00F2610C"/>
    <w:rsid w:val="00F2655B"/>
    <w:rsid w:val="00F267B8"/>
    <w:rsid w:val="00F26A76"/>
    <w:rsid w:val="00F26E2E"/>
    <w:rsid w:val="00F26FB0"/>
    <w:rsid w:val="00F2716D"/>
    <w:rsid w:val="00F27205"/>
    <w:rsid w:val="00F273F3"/>
    <w:rsid w:val="00F27469"/>
    <w:rsid w:val="00F27C1A"/>
    <w:rsid w:val="00F27F1F"/>
    <w:rsid w:val="00F27F20"/>
    <w:rsid w:val="00F301D4"/>
    <w:rsid w:val="00F301ED"/>
    <w:rsid w:val="00F301FC"/>
    <w:rsid w:val="00F302D2"/>
    <w:rsid w:val="00F304CE"/>
    <w:rsid w:val="00F312F5"/>
    <w:rsid w:val="00F313FC"/>
    <w:rsid w:val="00F31BB8"/>
    <w:rsid w:val="00F31E15"/>
    <w:rsid w:val="00F32234"/>
    <w:rsid w:val="00F32363"/>
    <w:rsid w:val="00F3251F"/>
    <w:rsid w:val="00F32E96"/>
    <w:rsid w:val="00F3302A"/>
    <w:rsid w:val="00F332E6"/>
    <w:rsid w:val="00F3379B"/>
    <w:rsid w:val="00F33873"/>
    <w:rsid w:val="00F3507D"/>
    <w:rsid w:val="00F3549E"/>
    <w:rsid w:val="00F35BF4"/>
    <w:rsid w:val="00F36492"/>
    <w:rsid w:val="00F364E9"/>
    <w:rsid w:val="00F368D9"/>
    <w:rsid w:val="00F369B8"/>
    <w:rsid w:val="00F36A06"/>
    <w:rsid w:val="00F36E04"/>
    <w:rsid w:val="00F36F34"/>
    <w:rsid w:val="00F37024"/>
    <w:rsid w:val="00F371A2"/>
    <w:rsid w:val="00F3778E"/>
    <w:rsid w:val="00F37A5A"/>
    <w:rsid w:val="00F37A67"/>
    <w:rsid w:val="00F37C9D"/>
    <w:rsid w:val="00F401FF"/>
    <w:rsid w:val="00F4024A"/>
    <w:rsid w:val="00F403A6"/>
    <w:rsid w:val="00F41954"/>
    <w:rsid w:val="00F41D0B"/>
    <w:rsid w:val="00F42270"/>
    <w:rsid w:val="00F43189"/>
    <w:rsid w:val="00F43224"/>
    <w:rsid w:val="00F43237"/>
    <w:rsid w:val="00F43469"/>
    <w:rsid w:val="00F437A8"/>
    <w:rsid w:val="00F437C6"/>
    <w:rsid w:val="00F43B8C"/>
    <w:rsid w:val="00F43BCE"/>
    <w:rsid w:val="00F43F2A"/>
    <w:rsid w:val="00F4406C"/>
    <w:rsid w:val="00F440C1"/>
    <w:rsid w:val="00F44339"/>
    <w:rsid w:val="00F445D7"/>
    <w:rsid w:val="00F44E28"/>
    <w:rsid w:val="00F44E42"/>
    <w:rsid w:val="00F45209"/>
    <w:rsid w:val="00F45C7C"/>
    <w:rsid w:val="00F45CC5"/>
    <w:rsid w:val="00F464ED"/>
    <w:rsid w:val="00F465BD"/>
    <w:rsid w:val="00F46620"/>
    <w:rsid w:val="00F4671F"/>
    <w:rsid w:val="00F47142"/>
    <w:rsid w:val="00F4756B"/>
    <w:rsid w:val="00F47A20"/>
    <w:rsid w:val="00F47E36"/>
    <w:rsid w:val="00F50027"/>
    <w:rsid w:val="00F500DD"/>
    <w:rsid w:val="00F505B9"/>
    <w:rsid w:val="00F506BA"/>
    <w:rsid w:val="00F5073C"/>
    <w:rsid w:val="00F507C3"/>
    <w:rsid w:val="00F51117"/>
    <w:rsid w:val="00F51362"/>
    <w:rsid w:val="00F51C7C"/>
    <w:rsid w:val="00F51DCF"/>
    <w:rsid w:val="00F51FB0"/>
    <w:rsid w:val="00F52B7D"/>
    <w:rsid w:val="00F52CDC"/>
    <w:rsid w:val="00F53204"/>
    <w:rsid w:val="00F5333D"/>
    <w:rsid w:val="00F537A8"/>
    <w:rsid w:val="00F539D8"/>
    <w:rsid w:val="00F53AA2"/>
    <w:rsid w:val="00F53C06"/>
    <w:rsid w:val="00F54427"/>
    <w:rsid w:val="00F5456A"/>
    <w:rsid w:val="00F54BEC"/>
    <w:rsid w:val="00F54FB5"/>
    <w:rsid w:val="00F55134"/>
    <w:rsid w:val="00F5545D"/>
    <w:rsid w:val="00F554F0"/>
    <w:rsid w:val="00F559D4"/>
    <w:rsid w:val="00F55F98"/>
    <w:rsid w:val="00F5616D"/>
    <w:rsid w:val="00F564B2"/>
    <w:rsid w:val="00F56803"/>
    <w:rsid w:val="00F5758B"/>
    <w:rsid w:val="00F5765B"/>
    <w:rsid w:val="00F5776E"/>
    <w:rsid w:val="00F57A9B"/>
    <w:rsid w:val="00F57C7D"/>
    <w:rsid w:val="00F57FD1"/>
    <w:rsid w:val="00F61291"/>
    <w:rsid w:val="00F614FA"/>
    <w:rsid w:val="00F61A87"/>
    <w:rsid w:val="00F61AF3"/>
    <w:rsid w:val="00F61C8C"/>
    <w:rsid w:val="00F6231F"/>
    <w:rsid w:val="00F628B1"/>
    <w:rsid w:val="00F628EF"/>
    <w:rsid w:val="00F62EBF"/>
    <w:rsid w:val="00F63726"/>
    <w:rsid w:val="00F63A6A"/>
    <w:rsid w:val="00F63C7A"/>
    <w:rsid w:val="00F63FC4"/>
    <w:rsid w:val="00F64081"/>
    <w:rsid w:val="00F64186"/>
    <w:rsid w:val="00F649AB"/>
    <w:rsid w:val="00F64D7A"/>
    <w:rsid w:val="00F64ED3"/>
    <w:rsid w:val="00F64F34"/>
    <w:rsid w:val="00F65331"/>
    <w:rsid w:val="00F655C2"/>
    <w:rsid w:val="00F6563B"/>
    <w:rsid w:val="00F659E2"/>
    <w:rsid w:val="00F65BBC"/>
    <w:rsid w:val="00F66153"/>
    <w:rsid w:val="00F6626A"/>
    <w:rsid w:val="00F663F6"/>
    <w:rsid w:val="00F66514"/>
    <w:rsid w:val="00F6677C"/>
    <w:rsid w:val="00F66E5B"/>
    <w:rsid w:val="00F66F24"/>
    <w:rsid w:val="00F6709F"/>
    <w:rsid w:val="00F67205"/>
    <w:rsid w:val="00F67388"/>
    <w:rsid w:val="00F674D7"/>
    <w:rsid w:val="00F675D4"/>
    <w:rsid w:val="00F67BA0"/>
    <w:rsid w:val="00F67D60"/>
    <w:rsid w:val="00F67D90"/>
    <w:rsid w:val="00F67F6C"/>
    <w:rsid w:val="00F70841"/>
    <w:rsid w:val="00F71AE6"/>
    <w:rsid w:val="00F71CFE"/>
    <w:rsid w:val="00F71F49"/>
    <w:rsid w:val="00F726E4"/>
    <w:rsid w:val="00F72AA1"/>
    <w:rsid w:val="00F734F6"/>
    <w:rsid w:val="00F738E8"/>
    <w:rsid w:val="00F73AAF"/>
    <w:rsid w:val="00F73DD6"/>
    <w:rsid w:val="00F73DEA"/>
    <w:rsid w:val="00F7410A"/>
    <w:rsid w:val="00F743EA"/>
    <w:rsid w:val="00F74834"/>
    <w:rsid w:val="00F74A27"/>
    <w:rsid w:val="00F74DF8"/>
    <w:rsid w:val="00F74F9D"/>
    <w:rsid w:val="00F75377"/>
    <w:rsid w:val="00F75899"/>
    <w:rsid w:val="00F75D21"/>
    <w:rsid w:val="00F76015"/>
    <w:rsid w:val="00F761B6"/>
    <w:rsid w:val="00F7647C"/>
    <w:rsid w:val="00F76529"/>
    <w:rsid w:val="00F768A7"/>
    <w:rsid w:val="00F76B51"/>
    <w:rsid w:val="00F76CAC"/>
    <w:rsid w:val="00F76EFC"/>
    <w:rsid w:val="00F77291"/>
    <w:rsid w:val="00F77462"/>
    <w:rsid w:val="00F77B5B"/>
    <w:rsid w:val="00F77B8D"/>
    <w:rsid w:val="00F77D18"/>
    <w:rsid w:val="00F77F94"/>
    <w:rsid w:val="00F80210"/>
    <w:rsid w:val="00F80359"/>
    <w:rsid w:val="00F8058A"/>
    <w:rsid w:val="00F806A6"/>
    <w:rsid w:val="00F806E2"/>
    <w:rsid w:val="00F80841"/>
    <w:rsid w:val="00F80B8B"/>
    <w:rsid w:val="00F8186E"/>
    <w:rsid w:val="00F8238C"/>
    <w:rsid w:val="00F823AB"/>
    <w:rsid w:val="00F8288C"/>
    <w:rsid w:val="00F82971"/>
    <w:rsid w:val="00F82CDD"/>
    <w:rsid w:val="00F830D5"/>
    <w:rsid w:val="00F8353A"/>
    <w:rsid w:val="00F83774"/>
    <w:rsid w:val="00F83D77"/>
    <w:rsid w:val="00F8435B"/>
    <w:rsid w:val="00F84A32"/>
    <w:rsid w:val="00F85359"/>
    <w:rsid w:val="00F85478"/>
    <w:rsid w:val="00F8559E"/>
    <w:rsid w:val="00F855EC"/>
    <w:rsid w:val="00F85AED"/>
    <w:rsid w:val="00F85B42"/>
    <w:rsid w:val="00F85C08"/>
    <w:rsid w:val="00F85C10"/>
    <w:rsid w:val="00F85D28"/>
    <w:rsid w:val="00F85D3A"/>
    <w:rsid w:val="00F85EC8"/>
    <w:rsid w:val="00F85F9B"/>
    <w:rsid w:val="00F86288"/>
    <w:rsid w:val="00F864DA"/>
    <w:rsid w:val="00F865AD"/>
    <w:rsid w:val="00F865BB"/>
    <w:rsid w:val="00F866C5"/>
    <w:rsid w:val="00F86740"/>
    <w:rsid w:val="00F86783"/>
    <w:rsid w:val="00F8682C"/>
    <w:rsid w:val="00F86BBF"/>
    <w:rsid w:val="00F86D1A"/>
    <w:rsid w:val="00F874FE"/>
    <w:rsid w:val="00F87EA1"/>
    <w:rsid w:val="00F902E9"/>
    <w:rsid w:val="00F90401"/>
    <w:rsid w:val="00F90C5A"/>
    <w:rsid w:val="00F90D8B"/>
    <w:rsid w:val="00F90E21"/>
    <w:rsid w:val="00F91878"/>
    <w:rsid w:val="00F91C5F"/>
    <w:rsid w:val="00F92202"/>
    <w:rsid w:val="00F923BA"/>
    <w:rsid w:val="00F92906"/>
    <w:rsid w:val="00F92BE3"/>
    <w:rsid w:val="00F92E6E"/>
    <w:rsid w:val="00F932B7"/>
    <w:rsid w:val="00F93707"/>
    <w:rsid w:val="00F94051"/>
    <w:rsid w:val="00F94527"/>
    <w:rsid w:val="00F94BE9"/>
    <w:rsid w:val="00F94EA6"/>
    <w:rsid w:val="00F950A3"/>
    <w:rsid w:val="00F95354"/>
    <w:rsid w:val="00F959D9"/>
    <w:rsid w:val="00F95C05"/>
    <w:rsid w:val="00F95C5C"/>
    <w:rsid w:val="00F961A4"/>
    <w:rsid w:val="00F9626F"/>
    <w:rsid w:val="00F962AD"/>
    <w:rsid w:val="00F96506"/>
    <w:rsid w:val="00F9688E"/>
    <w:rsid w:val="00F969A2"/>
    <w:rsid w:val="00F96BCE"/>
    <w:rsid w:val="00F96CAE"/>
    <w:rsid w:val="00F96D73"/>
    <w:rsid w:val="00F970AF"/>
    <w:rsid w:val="00F976AF"/>
    <w:rsid w:val="00F976ED"/>
    <w:rsid w:val="00FA0376"/>
    <w:rsid w:val="00FA0629"/>
    <w:rsid w:val="00FA0A2E"/>
    <w:rsid w:val="00FA0B26"/>
    <w:rsid w:val="00FA0F66"/>
    <w:rsid w:val="00FA1227"/>
    <w:rsid w:val="00FA188B"/>
    <w:rsid w:val="00FA1C3D"/>
    <w:rsid w:val="00FA1DAB"/>
    <w:rsid w:val="00FA1FAE"/>
    <w:rsid w:val="00FA1FE3"/>
    <w:rsid w:val="00FA227D"/>
    <w:rsid w:val="00FA27D5"/>
    <w:rsid w:val="00FA2899"/>
    <w:rsid w:val="00FA28F4"/>
    <w:rsid w:val="00FA2BF7"/>
    <w:rsid w:val="00FA2CE6"/>
    <w:rsid w:val="00FA3295"/>
    <w:rsid w:val="00FA343A"/>
    <w:rsid w:val="00FA3581"/>
    <w:rsid w:val="00FA3949"/>
    <w:rsid w:val="00FA3D44"/>
    <w:rsid w:val="00FA3EE9"/>
    <w:rsid w:val="00FA42F9"/>
    <w:rsid w:val="00FA4341"/>
    <w:rsid w:val="00FA47D6"/>
    <w:rsid w:val="00FA48DA"/>
    <w:rsid w:val="00FA497B"/>
    <w:rsid w:val="00FA4B0C"/>
    <w:rsid w:val="00FA4D30"/>
    <w:rsid w:val="00FA4EB5"/>
    <w:rsid w:val="00FA5039"/>
    <w:rsid w:val="00FA5C44"/>
    <w:rsid w:val="00FA5E75"/>
    <w:rsid w:val="00FA5EAA"/>
    <w:rsid w:val="00FA638F"/>
    <w:rsid w:val="00FA64AC"/>
    <w:rsid w:val="00FA6985"/>
    <w:rsid w:val="00FA6F54"/>
    <w:rsid w:val="00FA71AF"/>
    <w:rsid w:val="00FA749C"/>
    <w:rsid w:val="00FA7765"/>
    <w:rsid w:val="00FA799C"/>
    <w:rsid w:val="00FA7A1D"/>
    <w:rsid w:val="00FA7AD4"/>
    <w:rsid w:val="00FA7B1D"/>
    <w:rsid w:val="00FB008D"/>
    <w:rsid w:val="00FB043F"/>
    <w:rsid w:val="00FB0442"/>
    <w:rsid w:val="00FB0A45"/>
    <w:rsid w:val="00FB1598"/>
    <w:rsid w:val="00FB1849"/>
    <w:rsid w:val="00FB1904"/>
    <w:rsid w:val="00FB24E1"/>
    <w:rsid w:val="00FB2514"/>
    <w:rsid w:val="00FB285C"/>
    <w:rsid w:val="00FB3154"/>
    <w:rsid w:val="00FB32FE"/>
    <w:rsid w:val="00FB357B"/>
    <w:rsid w:val="00FB3696"/>
    <w:rsid w:val="00FB3A52"/>
    <w:rsid w:val="00FB3CAC"/>
    <w:rsid w:val="00FB3EE6"/>
    <w:rsid w:val="00FB4305"/>
    <w:rsid w:val="00FB476B"/>
    <w:rsid w:val="00FB4913"/>
    <w:rsid w:val="00FB497A"/>
    <w:rsid w:val="00FB53FA"/>
    <w:rsid w:val="00FB551F"/>
    <w:rsid w:val="00FB5782"/>
    <w:rsid w:val="00FB57CC"/>
    <w:rsid w:val="00FB5839"/>
    <w:rsid w:val="00FB5873"/>
    <w:rsid w:val="00FB616D"/>
    <w:rsid w:val="00FB6A4F"/>
    <w:rsid w:val="00FB6B6A"/>
    <w:rsid w:val="00FB6BBB"/>
    <w:rsid w:val="00FB6FC6"/>
    <w:rsid w:val="00FB7F71"/>
    <w:rsid w:val="00FC01F7"/>
    <w:rsid w:val="00FC0ABD"/>
    <w:rsid w:val="00FC0FD8"/>
    <w:rsid w:val="00FC13E8"/>
    <w:rsid w:val="00FC1672"/>
    <w:rsid w:val="00FC22E1"/>
    <w:rsid w:val="00FC23A4"/>
    <w:rsid w:val="00FC2433"/>
    <w:rsid w:val="00FC2494"/>
    <w:rsid w:val="00FC360D"/>
    <w:rsid w:val="00FC3987"/>
    <w:rsid w:val="00FC3C10"/>
    <w:rsid w:val="00FC3D59"/>
    <w:rsid w:val="00FC45D9"/>
    <w:rsid w:val="00FC4644"/>
    <w:rsid w:val="00FC4670"/>
    <w:rsid w:val="00FC4674"/>
    <w:rsid w:val="00FC469A"/>
    <w:rsid w:val="00FC4A7C"/>
    <w:rsid w:val="00FC5166"/>
    <w:rsid w:val="00FC522A"/>
    <w:rsid w:val="00FC5B04"/>
    <w:rsid w:val="00FC6946"/>
    <w:rsid w:val="00FC6C84"/>
    <w:rsid w:val="00FC7357"/>
    <w:rsid w:val="00FC7708"/>
    <w:rsid w:val="00FC77A9"/>
    <w:rsid w:val="00FC78DA"/>
    <w:rsid w:val="00FC7DBB"/>
    <w:rsid w:val="00FD005C"/>
    <w:rsid w:val="00FD0A9D"/>
    <w:rsid w:val="00FD0DE4"/>
    <w:rsid w:val="00FD0E1C"/>
    <w:rsid w:val="00FD141A"/>
    <w:rsid w:val="00FD1684"/>
    <w:rsid w:val="00FD1822"/>
    <w:rsid w:val="00FD1A2D"/>
    <w:rsid w:val="00FD221F"/>
    <w:rsid w:val="00FD268B"/>
    <w:rsid w:val="00FD2999"/>
    <w:rsid w:val="00FD2B92"/>
    <w:rsid w:val="00FD2BD0"/>
    <w:rsid w:val="00FD319C"/>
    <w:rsid w:val="00FD3CB4"/>
    <w:rsid w:val="00FD3CCB"/>
    <w:rsid w:val="00FD446F"/>
    <w:rsid w:val="00FD44DD"/>
    <w:rsid w:val="00FD4781"/>
    <w:rsid w:val="00FD47D3"/>
    <w:rsid w:val="00FD4854"/>
    <w:rsid w:val="00FD4931"/>
    <w:rsid w:val="00FD51DF"/>
    <w:rsid w:val="00FD54B9"/>
    <w:rsid w:val="00FD5823"/>
    <w:rsid w:val="00FD5863"/>
    <w:rsid w:val="00FD5A55"/>
    <w:rsid w:val="00FD5E47"/>
    <w:rsid w:val="00FD5E8D"/>
    <w:rsid w:val="00FD5F2E"/>
    <w:rsid w:val="00FD6074"/>
    <w:rsid w:val="00FD69F9"/>
    <w:rsid w:val="00FD6F8C"/>
    <w:rsid w:val="00FD7355"/>
    <w:rsid w:val="00FD750A"/>
    <w:rsid w:val="00FD754F"/>
    <w:rsid w:val="00FD7E2E"/>
    <w:rsid w:val="00FE020C"/>
    <w:rsid w:val="00FE0216"/>
    <w:rsid w:val="00FE0404"/>
    <w:rsid w:val="00FE08BA"/>
    <w:rsid w:val="00FE0A09"/>
    <w:rsid w:val="00FE109C"/>
    <w:rsid w:val="00FE13CF"/>
    <w:rsid w:val="00FE1489"/>
    <w:rsid w:val="00FE1559"/>
    <w:rsid w:val="00FE16F6"/>
    <w:rsid w:val="00FE1D85"/>
    <w:rsid w:val="00FE2652"/>
    <w:rsid w:val="00FE2898"/>
    <w:rsid w:val="00FE296B"/>
    <w:rsid w:val="00FE2B7E"/>
    <w:rsid w:val="00FE30D9"/>
    <w:rsid w:val="00FE3B96"/>
    <w:rsid w:val="00FE3C47"/>
    <w:rsid w:val="00FE4B30"/>
    <w:rsid w:val="00FE4DD5"/>
    <w:rsid w:val="00FE5374"/>
    <w:rsid w:val="00FE551D"/>
    <w:rsid w:val="00FE56B0"/>
    <w:rsid w:val="00FE572E"/>
    <w:rsid w:val="00FE57BB"/>
    <w:rsid w:val="00FE5916"/>
    <w:rsid w:val="00FE5EB8"/>
    <w:rsid w:val="00FE5FFC"/>
    <w:rsid w:val="00FE61E2"/>
    <w:rsid w:val="00FE62FA"/>
    <w:rsid w:val="00FE63C1"/>
    <w:rsid w:val="00FE6682"/>
    <w:rsid w:val="00FE6AB0"/>
    <w:rsid w:val="00FE6E56"/>
    <w:rsid w:val="00FE6FA2"/>
    <w:rsid w:val="00FE71C9"/>
    <w:rsid w:val="00FE7A99"/>
    <w:rsid w:val="00FE7F17"/>
    <w:rsid w:val="00FF03FA"/>
    <w:rsid w:val="00FF0566"/>
    <w:rsid w:val="00FF0F77"/>
    <w:rsid w:val="00FF1307"/>
    <w:rsid w:val="00FF174B"/>
    <w:rsid w:val="00FF1AC7"/>
    <w:rsid w:val="00FF297B"/>
    <w:rsid w:val="00FF342E"/>
    <w:rsid w:val="00FF366B"/>
    <w:rsid w:val="00FF4410"/>
    <w:rsid w:val="00FF484F"/>
    <w:rsid w:val="00FF4A7F"/>
    <w:rsid w:val="00FF4D89"/>
    <w:rsid w:val="00FF4E04"/>
    <w:rsid w:val="00FF4F39"/>
    <w:rsid w:val="00FF4FCE"/>
    <w:rsid w:val="00FF50BA"/>
    <w:rsid w:val="00FF557C"/>
    <w:rsid w:val="00FF5FC4"/>
    <w:rsid w:val="00FF6101"/>
    <w:rsid w:val="00FF62E3"/>
    <w:rsid w:val="00FF6317"/>
    <w:rsid w:val="00FF6609"/>
    <w:rsid w:val="00FF7186"/>
    <w:rsid w:val="00FF76D9"/>
    <w:rsid w:val="00FF7713"/>
    <w:rsid w:val="00FF7A8B"/>
    <w:rsid w:val="00FF7CE1"/>
    <w:rsid w:val="00FF7D08"/>
    <w:rsid w:val="00FF7FC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sk-SK" w:eastAsia="sk-SK"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y">
    <w:name w:val="Normal"/>
    <w:qFormat/>
    <w:rsid w:val="00472F8B"/>
    <w:pPr>
      <w:spacing w:after="200" w:line="276" w:lineRule="auto"/>
    </w:pPr>
    <w:rPr>
      <w:rFonts w:cs="Times"/>
      <w:sz w:val="22"/>
      <w:szCs w:val="22"/>
      <w:lang w:eastAsia="en-US"/>
    </w:rPr>
  </w:style>
  <w:style w:type="paragraph" w:styleId="Nadpis1">
    <w:name w:val="heading 1"/>
    <w:basedOn w:val="Normlny"/>
    <w:next w:val="Normlny"/>
    <w:link w:val="Nadpis1Char"/>
    <w:uiPriority w:val="99"/>
    <w:qFormat/>
    <w:rsid w:val="00CE493E"/>
    <w:pPr>
      <w:keepNext/>
      <w:keepLines/>
      <w:spacing w:before="480" w:after="0"/>
      <w:outlineLvl w:val="0"/>
    </w:pPr>
    <w:rPr>
      <w:rFonts w:eastAsia="Times New Roman"/>
      <w:b/>
      <w:bCs/>
      <w:caps/>
      <w:sz w:val="28"/>
      <w:szCs w:val="28"/>
    </w:rPr>
  </w:style>
  <w:style w:type="paragraph" w:styleId="Nadpis2">
    <w:name w:val="heading 2"/>
    <w:basedOn w:val="Normlny"/>
    <w:next w:val="Normlny"/>
    <w:link w:val="Nadpis2Char"/>
    <w:uiPriority w:val="99"/>
    <w:qFormat/>
    <w:rsid w:val="00CE493E"/>
    <w:pPr>
      <w:keepNext/>
      <w:keepLines/>
      <w:spacing w:before="200" w:after="0"/>
      <w:outlineLvl w:val="1"/>
    </w:pPr>
    <w:rPr>
      <w:rFonts w:eastAsia="Times New Roman"/>
      <w:b/>
      <w:bCs/>
      <w:caps/>
      <w:sz w:val="26"/>
      <w:szCs w:val="26"/>
    </w:rPr>
  </w:style>
  <w:style w:type="paragraph" w:styleId="Nadpis3">
    <w:name w:val="heading 3"/>
    <w:basedOn w:val="Normlny"/>
    <w:next w:val="Normlny"/>
    <w:link w:val="Nadpis3Char"/>
    <w:uiPriority w:val="99"/>
    <w:qFormat/>
    <w:rsid w:val="00C86EE7"/>
    <w:pPr>
      <w:keepNext/>
      <w:keepLines/>
      <w:spacing w:before="200" w:after="0"/>
      <w:outlineLvl w:val="2"/>
    </w:pPr>
    <w:rPr>
      <w:rFonts w:eastAsia="Times New Roman"/>
      <w:b/>
      <w:bCs/>
      <w:sz w:val="24"/>
      <w:szCs w:val="24"/>
    </w:rPr>
  </w:style>
  <w:style w:type="paragraph" w:styleId="Nadpis4">
    <w:name w:val="heading 4"/>
    <w:basedOn w:val="Normlny"/>
    <w:next w:val="Normlny"/>
    <w:link w:val="Nadpis4Char"/>
    <w:uiPriority w:val="99"/>
    <w:qFormat/>
    <w:rsid w:val="00472F8B"/>
    <w:pPr>
      <w:keepNext/>
      <w:keepLines/>
      <w:spacing w:before="200" w:after="0"/>
      <w:outlineLvl w:val="3"/>
    </w:pPr>
    <w:rPr>
      <w:rFonts w:eastAsia="Times New Roman"/>
      <w:b/>
      <w:bCs/>
      <w:i/>
      <w:iCs/>
      <w:color w:val="4F81BD"/>
    </w:rPr>
  </w:style>
  <w:style w:type="paragraph" w:styleId="Nadpis5">
    <w:name w:val="heading 5"/>
    <w:basedOn w:val="Normlny"/>
    <w:next w:val="Normlny"/>
    <w:link w:val="Nadpis5Char"/>
    <w:uiPriority w:val="99"/>
    <w:qFormat/>
    <w:rsid w:val="00472F8B"/>
    <w:pPr>
      <w:keepNext/>
      <w:keepLines/>
      <w:spacing w:before="200" w:after="0"/>
      <w:outlineLvl w:val="4"/>
    </w:pPr>
    <w:rPr>
      <w:rFonts w:eastAsia="Times New Roman"/>
      <w:color w:val="243F60"/>
    </w:rPr>
  </w:style>
  <w:style w:type="paragraph" w:styleId="Nadpis6">
    <w:name w:val="heading 6"/>
    <w:basedOn w:val="Normlny"/>
    <w:next w:val="Normlny"/>
    <w:link w:val="Nadpis6Char"/>
    <w:uiPriority w:val="99"/>
    <w:qFormat/>
    <w:rsid w:val="00472F8B"/>
    <w:pPr>
      <w:keepNext/>
      <w:keepLines/>
      <w:spacing w:before="200" w:after="0"/>
      <w:outlineLvl w:val="5"/>
    </w:pPr>
    <w:rPr>
      <w:rFonts w:eastAsia="Times New Roman"/>
      <w:i/>
      <w:iCs/>
      <w:color w:val="243F60"/>
    </w:rPr>
  </w:style>
  <w:style w:type="paragraph" w:styleId="Nadpis7">
    <w:name w:val="heading 7"/>
    <w:basedOn w:val="Normlny"/>
    <w:next w:val="Normlny"/>
    <w:link w:val="Nadpis7Char"/>
    <w:uiPriority w:val="99"/>
    <w:qFormat/>
    <w:rsid w:val="00472F8B"/>
    <w:pPr>
      <w:keepNext/>
      <w:keepLines/>
      <w:spacing w:before="200" w:after="0"/>
      <w:outlineLvl w:val="6"/>
    </w:pPr>
    <w:rPr>
      <w:rFonts w:eastAsia="Times New Roman"/>
      <w:i/>
      <w:iCs/>
      <w:color w:val="404040"/>
    </w:rPr>
  </w:style>
  <w:style w:type="paragraph" w:styleId="Nadpis8">
    <w:name w:val="heading 8"/>
    <w:basedOn w:val="Normlny"/>
    <w:next w:val="Normlny"/>
    <w:link w:val="Nadpis8Char"/>
    <w:uiPriority w:val="99"/>
    <w:qFormat/>
    <w:rsid w:val="00472F8B"/>
    <w:pPr>
      <w:keepNext/>
      <w:keepLines/>
      <w:spacing w:before="200" w:after="0"/>
      <w:outlineLvl w:val="7"/>
    </w:pPr>
    <w:rPr>
      <w:rFonts w:eastAsia="Times New Roman"/>
      <w:color w:val="404040"/>
      <w:sz w:val="20"/>
      <w:szCs w:val="20"/>
    </w:rPr>
  </w:style>
  <w:style w:type="paragraph" w:styleId="Nadpis9">
    <w:name w:val="heading 9"/>
    <w:basedOn w:val="Normlny"/>
    <w:next w:val="Normlny"/>
    <w:link w:val="Nadpis9Char"/>
    <w:uiPriority w:val="99"/>
    <w:qFormat/>
    <w:rsid w:val="00472F8B"/>
    <w:pPr>
      <w:keepNext/>
      <w:keepLines/>
      <w:spacing w:before="200" w:after="0"/>
      <w:outlineLvl w:val="8"/>
    </w:pPr>
    <w:rPr>
      <w:rFonts w:eastAsia="Times New Roman"/>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CE493E"/>
    <w:rPr>
      <w:rFonts w:ascii="Times" w:hAnsi="Times" w:cs="Times"/>
      <w:b/>
      <w:bCs/>
      <w:caps/>
      <w:sz w:val="28"/>
      <w:szCs w:val="28"/>
    </w:rPr>
  </w:style>
  <w:style w:type="character" w:customStyle="1" w:styleId="Nadpis2Char">
    <w:name w:val="Nadpis 2 Char"/>
    <w:link w:val="Nadpis2"/>
    <w:uiPriority w:val="99"/>
    <w:locked/>
    <w:rsid w:val="00CE493E"/>
    <w:rPr>
      <w:rFonts w:ascii="Times" w:hAnsi="Times" w:cs="Times"/>
      <w:b/>
      <w:bCs/>
      <w:caps/>
      <w:sz w:val="26"/>
      <w:szCs w:val="26"/>
    </w:rPr>
  </w:style>
  <w:style w:type="character" w:customStyle="1" w:styleId="Nadpis3Char">
    <w:name w:val="Nadpis 3 Char"/>
    <w:link w:val="Nadpis3"/>
    <w:uiPriority w:val="99"/>
    <w:locked/>
    <w:rsid w:val="00C86EE7"/>
    <w:rPr>
      <w:rFonts w:ascii="Times" w:hAnsi="Times" w:cs="Times"/>
      <w:b/>
      <w:bCs/>
      <w:sz w:val="24"/>
      <w:szCs w:val="24"/>
    </w:rPr>
  </w:style>
  <w:style w:type="character" w:customStyle="1" w:styleId="Nadpis4Char">
    <w:name w:val="Nadpis 4 Char"/>
    <w:link w:val="Nadpis4"/>
    <w:uiPriority w:val="99"/>
    <w:semiHidden/>
    <w:locked/>
    <w:rsid w:val="00472F8B"/>
    <w:rPr>
      <w:rFonts w:ascii="Times" w:hAnsi="Times" w:cs="Times"/>
      <w:b/>
      <w:bCs/>
      <w:i/>
      <w:iCs/>
      <w:color w:val="4F81BD"/>
    </w:rPr>
  </w:style>
  <w:style w:type="character" w:customStyle="1" w:styleId="Nadpis5Char">
    <w:name w:val="Nadpis 5 Char"/>
    <w:link w:val="Nadpis5"/>
    <w:uiPriority w:val="99"/>
    <w:semiHidden/>
    <w:locked/>
    <w:rsid w:val="00472F8B"/>
    <w:rPr>
      <w:rFonts w:ascii="Times" w:hAnsi="Times" w:cs="Times"/>
      <w:color w:val="243F60"/>
    </w:rPr>
  </w:style>
  <w:style w:type="character" w:customStyle="1" w:styleId="Nadpis6Char">
    <w:name w:val="Nadpis 6 Char"/>
    <w:link w:val="Nadpis6"/>
    <w:uiPriority w:val="99"/>
    <w:semiHidden/>
    <w:locked/>
    <w:rsid w:val="00472F8B"/>
    <w:rPr>
      <w:rFonts w:ascii="Times" w:hAnsi="Times" w:cs="Times"/>
      <w:i/>
      <w:iCs/>
      <w:color w:val="243F60"/>
    </w:rPr>
  </w:style>
  <w:style w:type="character" w:customStyle="1" w:styleId="Nadpis7Char">
    <w:name w:val="Nadpis 7 Char"/>
    <w:link w:val="Nadpis7"/>
    <w:uiPriority w:val="99"/>
    <w:semiHidden/>
    <w:locked/>
    <w:rsid w:val="00472F8B"/>
    <w:rPr>
      <w:rFonts w:ascii="Times" w:hAnsi="Times" w:cs="Times"/>
      <w:i/>
      <w:iCs/>
      <w:color w:val="404040"/>
    </w:rPr>
  </w:style>
  <w:style w:type="character" w:customStyle="1" w:styleId="Nadpis8Char">
    <w:name w:val="Nadpis 8 Char"/>
    <w:link w:val="Nadpis8"/>
    <w:uiPriority w:val="99"/>
    <w:semiHidden/>
    <w:locked/>
    <w:rsid w:val="00472F8B"/>
    <w:rPr>
      <w:rFonts w:ascii="Times" w:hAnsi="Times" w:cs="Times"/>
      <w:color w:val="404040"/>
      <w:sz w:val="20"/>
      <w:szCs w:val="20"/>
    </w:rPr>
  </w:style>
  <w:style w:type="character" w:customStyle="1" w:styleId="Nadpis9Char">
    <w:name w:val="Nadpis 9 Char"/>
    <w:link w:val="Nadpis9"/>
    <w:uiPriority w:val="99"/>
    <w:semiHidden/>
    <w:locked/>
    <w:rsid w:val="00472F8B"/>
    <w:rPr>
      <w:rFonts w:ascii="Times" w:hAnsi="Times" w:cs="Times"/>
      <w:i/>
      <w:iCs/>
      <w:color w:val="404040"/>
      <w:sz w:val="20"/>
      <w:szCs w:val="20"/>
    </w:rPr>
  </w:style>
  <w:style w:type="paragraph" w:styleId="Textbubliny">
    <w:name w:val="Balloon Text"/>
    <w:basedOn w:val="Normlny"/>
    <w:link w:val="TextbublinyChar"/>
    <w:uiPriority w:val="99"/>
    <w:semiHidden/>
    <w:rsid w:val="005612B3"/>
    <w:pPr>
      <w:spacing w:after="0" w:line="240" w:lineRule="auto"/>
    </w:pPr>
    <w:rPr>
      <w:rFonts w:ascii="Tahoma" w:hAnsi="Tahoma" w:cs="Tahoma"/>
      <w:sz w:val="16"/>
      <w:szCs w:val="16"/>
      <w:lang w:eastAsia="sk-SK"/>
    </w:rPr>
  </w:style>
  <w:style w:type="character" w:customStyle="1" w:styleId="TextbublinyChar">
    <w:name w:val="Text bubliny Char"/>
    <w:link w:val="Textbubliny"/>
    <w:uiPriority w:val="99"/>
    <w:semiHidden/>
    <w:locked/>
    <w:rsid w:val="00F5616D"/>
    <w:rPr>
      <w:rFonts w:ascii="Times New Roman" w:hAnsi="Times New Roman" w:cs="Times"/>
      <w:sz w:val="2"/>
      <w:lang w:eastAsia="en-US"/>
    </w:rPr>
  </w:style>
  <w:style w:type="paragraph" w:styleId="Odsekzoznamu">
    <w:name w:val="List Paragraph"/>
    <w:basedOn w:val="Normlny"/>
    <w:link w:val="OdsekzoznamuChar1"/>
    <w:uiPriority w:val="34"/>
    <w:qFormat/>
    <w:rsid w:val="00472F8B"/>
    <w:pPr>
      <w:ind w:left="720"/>
    </w:pPr>
  </w:style>
  <w:style w:type="paragraph" w:customStyle="1" w:styleId="tl1">
    <w:name w:val="Štýl1"/>
    <w:basedOn w:val="Odsekzoznamu"/>
    <w:link w:val="tl1Char"/>
    <w:uiPriority w:val="99"/>
    <w:rsid w:val="00103A88"/>
  </w:style>
  <w:style w:type="paragraph" w:styleId="Normlnywebov">
    <w:name w:val="Normal (Web)"/>
    <w:basedOn w:val="Normlny"/>
    <w:uiPriority w:val="99"/>
    <w:rsid w:val="007A36D8"/>
    <w:pPr>
      <w:spacing w:after="240" w:line="312" w:lineRule="atLeast"/>
    </w:pPr>
  </w:style>
  <w:style w:type="character" w:customStyle="1" w:styleId="OdsekzoznamuChar1">
    <w:name w:val="Odsek zoznamu Char1"/>
    <w:link w:val="Odsekzoznamu"/>
    <w:uiPriority w:val="99"/>
    <w:locked/>
    <w:rsid w:val="00103A88"/>
    <w:rPr>
      <w:rFonts w:cs="Times New Roman"/>
    </w:rPr>
  </w:style>
  <w:style w:type="character" w:customStyle="1" w:styleId="tl1Char">
    <w:name w:val="Štýl1 Char"/>
    <w:link w:val="tl1"/>
    <w:uiPriority w:val="99"/>
    <w:locked/>
    <w:rsid w:val="00103A88"/>
    <w:rPr>
      <w:rFonts w:cs="Times New Roman"/>
    </w:rPr>
  </w:style>
  <w:style w:type="paragraph" w:styleId="Zkladntext">
    <w:name w:val="Body Text"/>
    <w:basedOn w:val="Normlny"/>
    <w:link w:val="ZkladntextChar"/>
    <w:rsid w:val="007A36D8"/>
    <w:pPr>
      <w:spacing w:line="360" w:lineRule="auto"/>
      <w:jc w:val="both"/>
    </w:pPr>
    <w:rPr>
      <w:rFonts w:ascii="Arial" w:hAnsi="Arial" w:cs="Arial"/>
    </w:rPr>
  </w:style>
  <w:style w:type="character" w:customStyle="1" w:styleId="ZkladntextChar">
    <w:name w:val="Základný text Char"/>
    <w:link w:val="Zkladntext"/>
    <w:locked/>
    <w:rsid w:val="007A36D8"/>
    <w:rPr>
      <w:rFonts w:ascii="Arial" w:hAnsi="Arial" w:cs="Arial"/>
      <w:sz w:val="24"/>
      <w:szCs w:val="24"/>
      <w:lang w:eastAsia="sk-SK"/>
    </w:rPr>
  </w:style>
  <w:style w:type="paragraph" w:customStyle="1" w:styleId="Styl1">
    <w:name w:val="Styl1"/>
    <w:basedOn w:val="Normlny"/>
    <w:uiPriority w:val="99"/>
    <w:rsid w:val="007A36D8"/>
    <w:pPr>
      <w:jc w:val="both"/>
    </w:pPr>
  </w:style>
  <w:style w:type="paragraph" w:styleId="Zarkazkladnhotextu">
    <w:name w:val="Body Text Indent"/>
    <w:basedOn w:val="Normlny"/>
    <w:link w:val="ZarkazkladnhotextuChar"/>
    <w:uiPriority w:val="99"/>
    <w:semiHidden/>
    <w:rsid w:val="007A36D8"/>
    <w:pPr>
      <w:spacing w:after="120"/>
      <w:ind w:left="283"/>
    </w:pPr>
  </w:style>
  <w:style w:type="character" w:customStyle="1" w:styleId="ZarkazkladnhotextuChar">
    <w:name w:val="Zarážka základného textu Char"/>
    <w:link w:val="Zarkazkladnhotextu"/>
    <w:uiPriority w:val="99"/>
    <w:semiHidden/>
    <w:locked/>
    <w:rsid w:val="007A36D8"/>
    <w:rPr>
      <w:rFonts w:ascii="Times New Roman" w:hAnsi="Times New Roman" w:cs="Times New Roman"/>
      <w:sz w:val="24"/>
      <w:szCs w:val="24"/>
      <w:lang w:eastAsia="sk-SK"/>
    </w:rPr>
  </w:style>
  <w:style w:type="paragraph" w:styleId="Zkladntext3">
    <w:name w:val="Body Text 3"/>
    <w:basedOn w:val="Normlny"/>
    <w:link w:val="Zkladntext3Char"/>
    <w:uiPriority w:val="99"/>
    <w:semiHidden/>
    <w:rsid w:val="007A36D8"/>
    <w:pPr>
      <w:spacing w:after="120"/>
    </w:pPr>
    <w:rPr>
      <w:sz w:val="16"/>
      <w:szCs w:val="16"/>
    </w:rPr>
  </w:style>
  <w:style w:type="character" w:customStyle="1" w:styleId="Zkladntext3Char">
    <w:name w:val="Základný text 3 Char"/>
    <w:link w:val="Zkladntext3"/>
    <w:uiPriority w:val="99"/>
    <w:semiHidden/>
    <w:locked/>
    <w:rsid w:val="007A36D8"/>
    <w:rPr>
      <w:rFonts w:ascii="Times New Roman" w:hAnsi="Times New Roman" w:cs="Times New Roman"/>
      <w:sz w:val="16"/>
      <w:szCs w:val="16"/>
      <w:lang w:eastAsia="sk-SK"/>
    </w:rPr>
  </w:style>
  <w:style w:type="table" w:styleId="Mriekatabuky">
    <w:name w:val="Table Grid"/>
    <w:basedOn w:val="Normlnatabuka"/>
    <w:uiPriority w:val="59"/>
    <w:rsid w:val="007A36D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y"/>
    <w:link w:val="Zkladntext2Char"/>
    <w:uiPriority w:val="99"/>
    <w:semiHidden/>
    <w:rsid w:val="007A36D8"/>
    <w:pPr>
      <w:spacing w:after="120" w:line="480" w:lineRule="auto"/>
    </w:pPr>
  </w:style>
  <w:style w:type="character" w:customStyle="1" w:styleId="Zkladntext2Char">
    <w:name w:val="Základný text 2 Char"/>
    <w:link w:val="Zkladntext2"/>
    <w:uiPriority w:val="99"/>
    <w:semiHidden/>
    <w:locked/>
    <w:rsid w:val="007A36D8"/>
    <w:rPr>
      <w:rFonts w:ascii="Times New Roman" w:hAnsi="Times New Roman" w:cs="Times New Roman"/>
      <w:sz w:val="24"/>
      <w:szCs w:val="24"/>
      <w:lang w:eastAsia="sk-SK"/>
    </w:rPr>
  </w:style>
  <w:style w:type="paragraph" w:styleId="Podtitul">
    <w:name w:val="Subtitle"/>
    <w:basedOn w:val="Normlny"/>
    <w:next w:val="Normlny"/>
    <w:link w:val="PodtitulChar"/>
    <w:qFormat/>
    <w:rsid w:val="00472F8B"/>
    <w:pPr>
      <w:numPr>
        <w:ilvl w:val="1"/>
      </w:numPr>
    </w:pPr>
    <w:rPr>
      <w:rFonts w:eastAsia="Times New Roman"/>
      <w:i/>
      <w:iCs/>
      <w:color w:val="4F81BD"/>
      <w:spacing w:val="15"/>
      <w:sz w:val="24"/>
      <w:szCs w:val="24"/>
    </w:rPr>
  </w:style>
  <w:style w:type="character" w:customStyle="1" w:styleId="PodtitulChar">
    <w:name w:val="Podtitul Char"/>
    <w:link w:val="Podtitul"/>
    <w:locked/>
    <w:rsid w:val="00472F8B"/>
    <w:rPr>
      <w:rFonts w:ascii="Times" w:hAnsi="Times" w:cs="Times"/>
      <w:i/>
      <w:iCs/>
      <w:color w:val="4F81BD"/>
      <w:spacing w:val="15"/>
      <w:sz w:val="24"/>
      <w:szCs w:val="24"/>
    </w:rPr>
  </w:style>
  <w:style w:type="paragraph" w:customStyle="1" w:styleId="Zkladntext20">
    <w:name w:val="Základní text2"/>
    <w:rsid w:val="007A36D8"/>
    <w:pPr>
      <w:overflowPunct w:val="0"/>
      <w:autoSpaceDE w:val="0"/>
      <w:autoSpaceDN w:val="0"/>
      <w:adjustRightInd w:val="0"/>
      <w:jc w:val="both"/>
      <w:textAlignment w:val="baseline"/>
    </w:pPr>
    <w:rPr>
      <w:rFonts w:ascii="Times New Roman (WE)" w:eastAsia="Times New Roman" w:hAnsi="Times New Roman (WE)" w:cs="Times New Roman (WE)"/>
      <w:sz w:val="24"/>
      <w:szCs w:val="24"/>
      <w:lang w:val="en-GB"/>
    </w:rPr>
  </w:style>
  <w:style w:type="paragraph" w:styleId="PredformtovanHTML">
    <w:name w:val="HTML Preformatted"/>
    <w:basedOn w:val="Normlny"/>
    <w:link w:val="PredformtovanHTMLChar"/>
    <w:rsid w:val="007A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PredformtovanHTMLChar">
    <w:name w:val="Predformátované HTML Char"/>
    <w:link w:val="PredformtovanHTML"/>
    <w:locked/>
    <w:rsid w:val="007A36D8"/>
    <w:rPr>
      <w:rFonts w:ascii="Courier New" w:hAnsi="Courier New" w:cs="Courier New"/>
      <w:color w:val="000000"/>
      <w:sz w:val="20"/>
      <w:szCs w:val="20"/>
      <w:lang w:eastAsia="sk-SK"/>
    </w:rPr>
  </w:style>
  <w:style w:type="paragraph" w:styleId="Popis">
    <w:name w:val="caption"/>
    <w:basedOn w:val="Normlny"/>
    <w:next w:val="Normlny"/>
    <w:uiPriority w:val="99"/>
    <w:qFormat/>
    <w:rsid w:val="00472F8B"/>
    <w:pPr>
      <w:spacing w:line="240" w:lineRule="auto"/>
    </w:pPr>
    <w:rPr>
      <w:b/>
      <w:bCs/>
      <w:color w:val="4F81BD"/>
      <w:sz w:val="18"/>
      <w:szCs w:val="18"/>
    </w:rPr>
  </w:style>
  <w:style w:type="paragraph" w:styleId="Nzov">
    <w:name w:val="Title"/>
    <w:basedOn w:val="Normlny"/>
    <w:next w:val="Normlny"/>
    <w:link w:val="NzovChar"/>
    <w:uiPriority w:val="99"/>
    <w:qFormat/>
    <w:rsid w:val="00472F8B"/>
    <w:pPr>
      <w:pBdr>
        <w:bottom w:val="single" w:sz="8" w:space="4" w:color="4F81BD"/>
      </w:pBdr>
      <w:spacing w:after="300" w:line="240" w:lineRule="auto"/>
    </w:pPr>
    <w:rPr>
      <w:rFonts w:eastAsia="Times New Roman"/>
      <w:color w:val="17365D"/>
      <w:spacing w:val="5"/>
      <w:kern w:val="28"/>
      <w:sz w:val="52"/>
      <w:szCs w:val="52"/>
    </w:rPr>
  </w:style>
  <w:style w:type="character" w:customStyle="1" w:styleId="NzovChar">
    <w:name w:val="Názov Char"/>
    <w:link w:val="Nzov"/>
    <w:uiPriority w:val="99"/>
    <w:locked/>
    <w:rsid w:val="00472F8B"/>
    <w:rPr>
      <w:rFonts w:ascii="Times" w:hAnsi="Times" w:cs="Times"/>
      <w:color w:val="17365D"/>
      <w:spacing w:val="5"/>
      <w:kern w:val="28"/>
      <w:sz w:val="52"/>
      <w:szCs w:val="52"/>
    </w:rPr>
  </w:style>
  <w:style w:type="character" w:styleId="Siln">
    <w:name w:val="Strong"/>
    <w:uiPriority w:val="22"/>
    <w:qFormat/>
    <w:rsid w:val="00472F8B"/>
    <w:rPr>
      <w:rFonts w:cs="Times New Roman"/>
      <w:b/>
      <w:bCs/>
    </w:rPr>
  </w:style>
  <w:style w:type="character" w:styleId="Zvraznenie">
    <w:name w:val="Emphasis"/>
    <w:uiPriority w:val="99"/>
    <w:qFormat/>
    <w:rsid w:val="00472F8B"/>
    <w:rPr>
      <w:rFonts w:cs="Times New Roman"/>
      <w:i/>
      <w:iCs/>
    </w:rPr>
  </w:style>
  <w:style w:type="paragraph" w:styleId="Bezriadkovania">
    <w:name w:val="No Spacing"/>
    <w:basedOn w:val="Normlny"/>
    <w:link w:val="BezriadkovaniaChar"/>
    <w:uiPriority w:val="99"/>
    <w:qFormat/>
    <w:rsid w:val="00472F8B"/>
    <w:pPr>
      <w:spacing w:after="0" w:line="240" w:lineRule="auto"/>
    </w:pPr>
  </w:style>
  <w:style w:type="character" w:customStyle="1" w:styleId="BezriadkovaniaChar">
    <w:name w:val="Bez riadkovania Char"/>
    <w:link w:val="Bezriadkovania"/>
    <w:uiPriority w:val="99"/>
    <w:locked/>
    <w:rsid w:val="00472F8B"/>
    <w:rPr>
      <w:rFonts w:cs="Times New Roman"/>
    </w:rPr>
  </w:style>
  <w:style w:type="paragraph" w:styleId="Citcia">
    <w:name w:val="Quote"/>
    <w:basedOn w:val="Normlny"/>
    <w:next w:val="Normlny"/>
    <w:link w:val="CitciaChar"/>
    <w:uiPriority w:val="99"/>
    <w:qFormat/>
    <w:rsid w:val="00472F8B"/>
    <w:rPr>
      <w:i/>
      <w:iCs/>
      <w:color w:val="000000"/>
    </w:rPr>
  </w:style>
  <w:style w:type="character" w:customStyle="1" w:styleId="CitciaChar">
    <w:name w:val="Citácia Char"/>
    <w:link w:val="Citcia"/>
    <w:uiPriority w:val="99"/>
    <w:locked/>
    <w:rsid w:val="00472F8B"/>
    <w:rPr>
      <w:rFonts w:cs="Times New Roman"/>
      <w:i/>
      <w:iCs/>
      <w:color w:val="000000"/>
    </w:rPr>
  </w:style>
  <w:style w:type="paragraph" w:styleId="Zvraznencitcia">
    <w:name w:val="Intense Quote"/>
    <w:basedOn w:val="Normlny"/>
    <w:next w:val="Normlny"/>
    <w:link w:val="ZvraznencitciaChar"/>
    <w:uiPriority w:val="99"/>
    <w:qFormat/>
    <w:rsid w:val="00472F8B"/>
    <w:pPr>
      <w:pBdr>
        <w:bottom w:val="single" w:sz="4" w:space="4" w:color="4F81BD"/>
      </w:pBdr>
      <w:spacing w:before="200" w:after="280"/>
      <w:ind w:left="936" w:right="936"/>
    </w:pPr>
    <w:rPr>
      <w:b/>
      <w:bCs/>
      <w:i/>
      <w:iCs/>
      <w:color w:val="4F81BD"/>
    </w:rPr>
  </w:style>
  <w:style w:type="character" w:customStyle="1" w:styleId="ZvraznencitciaChar">
    <w:name w:val="Zvýraznená citácia Char"/>
    <w:link w:val="Zvraznencitcia"/>
    <w:uiPriority w:val="99"/>
    <w:locked/>
    <w:rsid w:val="00472F8B"/>
    <w:rPr>
      <w:rFonts w:cs="Times New Roman"/>
      <w:b/>
      <w:bCs/>
      <w:i/>
      <w:iCs/>
      <w:color w:val="4F81BD"/>
    </w:rPr>
  </w:style>
  <w:style w:type="character" w:styleId="Jemnzvraznenie">
    <w:name w:val="Subtle Emphasis"/>
    <w:uiPriority w:val="99"/>
    <w:qFormat/>
    <w:rsid w:val="00472F8B"/>
    <w:rPr>
      <w:rFonts w:cs="Times New Roman"/>
      <w:i/>
      <w:iCs/>
      <w:color w:val="808080"/>
    </w:rPr>
  </w:style>
  <w:style w:type="character" w:styleId="Intenzvnezvraznenie">
    <w:name w:val="Intense Emphasis"/>
    <w:uiPriority w:val="99"/>
    <w:qFormat/>
    <w:rsid w:val="00472F8B"/>
    <w:rPr>
      <w:rFonts w:cs="Times New Roman"/>
      <w:b/>
      <w:bCs/>
      <w:i/>
      <w:iCs/>
      <w:color w:val="4F81BD"/>
    </w:rPr>
  </w:style>
  <w:style w:type="character" w:styleId="Jemnodkaz">
    <w:name w:val="Subtle Reference"/>
    <w:uiPriority w:val="99"/>
    <w:qFormat/>
    <w:rsid w:val="00472F8B"/>
    <w:rPr>
      <w:rFonts w:cs="Times New Roman"/>
      <w:smallCaps/>
      <w:color w:val="auto"/>
      <w:u w:val="single"/>
    </w:rPr>
  </w:style>
  <w:style w:type="character" w:styleId="Intenzvnyodkaz">
    <w:name w:val="Intense Reference"/>
    <w:uiPriority w:val="99"/>
    <w:qFormat/>
    <w:rsid w:val="00472F8B"/>
    <w:rPr>
      <w:rFonts w:cs="Times New Roman"/>
      <w:b/>
      <w:bCs/>
      <w:smallCaps/>
      <w:color w:val="auto"/>
      <w:spacing w:val="5"/>
      <w:u w:val="single"/>
    </w:rPr>
  </w:style>
  <w:style w:type="character" w:styleId="Nzovknihy">
    <w:name w:val="Book Title"/>
    <w:uiPriority w:val="99"/>
    <w:qFormat/>
    <w:rsid w:val="00472F8B"/>
    <w:rPr>
      <w:rFonts w:cs="Times New Roman"/>
      <w:b/>
      <w:bCs/>
      <w:smallCaps/>
      <w:spacing w:val="5"/>
    </w:rPr>
  </w:style>
  <w:style w:type="paragraph" w:styleId="Hlavikaobsahu">
    <w:name w:val="TOC Heading"/>
    <w:basedOn w:val="Nadpis1"/>
    <w:next w:val="Normlny"/>
    <w:uiPriority w:val="99"/>
    <w:qFormat/>
    <w:rsid w:val="00472F8B"/>
    <w:pPr>
      <w:outlineLvl w:val="9"/>
    </w:pPr>
  </w:style>
  <w:style w:type="paragraph" w:styleId="Obsah1">
    <w:name w:val="toc 1"/>
    <w:basedOn w:val="Normlny"/>
    <w:next w:val="Normlny"/>
    <w:autoRedefine/>
    <w:uiPriority w:val="39"/>
    <w:rsid w:val="00AA6CAF"/>
    <w:pPr>
      <w:tabs>
        <w:tab w:val="left" w:pos="426"/>
      </w:tabs>
      <w:spacing w:after="240" w:line="480" w:lineRule="auto"/>
      <w:ind w:right="-541"/>
      <w:jc w:val="both"/>
    </w:pPr>
    <w:rPr>
      <w:noProof/>
      <w:sz w:val="24"/>
      <w:szCs w:val="24"/>
    </w:rPr>
  </w:style>
  <w:style w:type="paragraph" w:styleId="Obsah2">
    <w:name w:val="toc 2"/>
    <w:basedOn w:val="Normlny"/>
    <w:next w:val="Normlny"/>
    <w:autoRedefine/>
    <w:uiPriority w:val="39"/>
    <w:rsid w:val="003E3CCA"/>
    <w:pPr>
      <w:tabs>
        <w:tab w:val="left" w:pos="880"/>
        <w:tab w:val="right" w:leader="dot" w:pos="9770"/>
      </w:tabs>
      <w:spacing w:after="100" w:line="240" w:lineRule="auto"/>
      <w:ind w:left="1276" w:hanging="1276"/>
      <w:jc w:val="both"/>
    </w:pPr>
    <w:rPr>
      <w:rFonts w:ascii="Times New Roman" w:hAnsi="Times New Roman"/>
      <w:noProof/>
      <w:sz w:val="24"/>
      <w:szCs w:val="24"/>
    </w:rPr>
  </w:style>
  <w:style w:type="paragraph" w:styleId="Obsah3">
    <w:name w:val="toc 3"/>
    <w:basedOn w:val="Normlny"/>
    <w:next w:val="Normlny"/>
    <w:autoRedefine/>
    <w:uiPriority w:val="39"/>
    <w:rsid w:val="00BB0EAD"/>
    <w:pPr>
      <w:tabs>
        <w:tab w:val="left" w:pos="1320"/>
        <w:tab w:val="right" w:leader="dot" w:pos="9781"/>
      </w:tabs>
      <w:spacing w:after="0" w:line="360" w:lineRule="auto"/>
      <w:ind w:left="1276" w:right="-336" w:hanging="1276"/>
      <w:jc w:val="both"/>
    </w:pPr>
    <w:rPr>
      <w:rFonts w:ascii="Times New Roman" w:hAnsi="Times New Roman" w:cs="Times New Roman"/>
      <w:sz w:val="24"/>
      <w:szCs w:val="24"/>
    </w:rPr>
  </w:style>
  <w:style w:type="character" w:styleId="Hypertextovprepojenie">
    <w:name w:val="Hyperlink"/>
    <w:uiPriority w:val="99"/>
    <w:rsid w:val="00E27C25"/>
    <w:rPr>
      <w:rFonts w:cs="Times New Roman"/>
      <w:color w:val="0000FF"/>
      <w:u w:val="single"/>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rsid w:val="00BE1F31"/>
    <w:pPr>
      <w:tabs>
        <w:tab w:val="center" w:pos="4536"/>
        <w:tab w:val="right" w:pos="9072"/>
      </w:tabs>
      <w:spacing w:after="0" w:line="240" w:lineRule="auto"/>
    </w:p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locked/>
    <w:rsid w:val="00BE1F31"/>
    <w:rPr>
      <w:rFonts w:cs="Times New Roman"/>
    </w:rPr>
  </w:style>
  <w:style w:type="paragraph" w:styleId="Pta">
    <w:name w:val="footer"/>
    <w:basedOn w:val="Normlny"/>
    <w:link w:val="PtaChar"/>
    <w:uiPriority w:val="99"/>
    <w:rsid w:val="00BE1F31"/>
    <w:pPr>
      <w:tabs>
        <w:tab w:val="center" w:pos="4536"/>
        <w:tab w:val="right" w:pos="9072"/>
      </w:tabs>
      <w:spacing w:after="0" w:line="240" w:lineRule="auto"/>
    </w:pPr>
  </w:style>
  <w:style w:type="character" w:customStyle="1" w:styleId="PtaChar">
    <w:name w:val="Päta Char"/>
    <w:link w:val="Pta"/>
    <w:uiPriority w:val="99"/>
    <w:locked/>
    <w:rsid w:val="00BE1F31"/>
    <w:rPr>
      <w:rFonts w:cs="Times New Roman"/>
    </w:rPr>
  </w:style>
  <w:style w:type="character" w:customStyle="1" w:styleId="CharChar4">
    <w:name w:val="Char Char4"/>
    <w:uiPriority w:val="99"/>
    <w:rsid w:val="00A97692"/>
    <w:rPr>
      <w:rFonts w:cs="Times New Roman"/>
      <w:b/>
      <w:bCs/>
      <w:sz w:val="24"/>
      <w:szCs w:val="24"/>
      <w:lang w:val="sk-SK" w:eastAsia="sk-SK"/>
    </w:rPr>
  </w:style>
  <w:style w:type="paragraph" w:customStyle="1" w:styleId="Zkladntext1">
    <w:name w:val="Základní text1"/>
    <w:rsid w:val="008A4EC0"/>
    <w:pPr>
      <w:jc w:val="both"/>
    </w:pPr>
    <w:rPr>
      <w:rFonts w:cs="Times"/>
      <w:sz w:val="24"/>
      <w:szCs w:val="24"/>
    </w:rPr>
  </w:style>
  <w:style w:type="character" w:customStyle="1" w:styleId="EmailStyle73">
    <w:name w:val="EmailStyle73"/>
    <w:uiPriority w:val="99"/>
    <w:semiHidden/>
    <w:rsid w:val="009D5C67"/>
    <w:rPr>
      <w:rFonts w:ascii="Arial" w:hAnsi="Arial" w:cs="Arial"/>
      <w:color w:val="000080"/>
      <w:sz w:val="20"/>
      <w:szCs w:val="20"/>
    </w:rPr>
  </w:style>
  <w:style w:type="character" w:customStyle="1" w:styleId="EmailStyle741">
    <w:name w:val="EmailStyle741"/>
    <w:uiPriority w:val="99"/>
    <w:semiHidden/>
    <w:rsid w:val="00B128BA"/>
    <w:rPr>
      <w:rFonts w:ascii="Arial" w:hAnsi="Arial" w:cs="Arial"/>
      <w:color w:val="000080"/>
      <w:sz w:val="20"/>
      <w:szCs w:val="20"/>
    </w:rPr>
  </w:style>
  <w:style w:type="character" w:customStyle="1" w:styleId="CharChar3">
    <w:name w:val="Char Char3"/>
    <w:uiPriority w:val="99"/>
    <w:rsid w:val="005C4AEF"/>
    <w:rPr>
      <w:rFonts w:ascii="Courier New" w:hAnsi="Courier New" w:cs="Courier New"/>
      <w:color w:val="000000"/>
      <w:sz w:val="20"/>
      <w:szCs w:val="20"/>
    </w:rPr>
  </w:style>
  <w:style w:type="character" w:customStyle="1" w:styleId="longtext">
    <w:name w:val="long_text"/>
    <w:rsid w:val="005C4AEF"/>
    <w:rPr>
      <w:rFonts w:cs="Times New Roman"/>
    </w:rPr>
  </w:style>
  <w:style w:type="character" w:customStyle="1" w:styleId="hps">
    <w:name w:val="hps"/>
    <w:rsid w:val="005C4AEF"/>
    <w:rPr>
      <w:rFonts w:cs="Times New Roman"/>
    </w:rPr>
  </w:style>
  <w:style w:type="character" w:customStyle="1" w:styleId="ListParagraphChar1">
    <w:name w:val="List Paragraph Char1"/>
    <w:uiPriority w:val="99"/>
    <w:locked/>
    <w:rsid w:val="00492673"/>
    <w:rPr>
      <w:rFonts w:cs="Times New Roman"/>
      <w:noProof/>
      <w:sz w:val="24"/>
      <w:szCs w:val="24"/>
      <w:lang w:val="sk-SK" w:eastAsia="en-US" w:bidi="ar-SA"/>
    </w:rPr>
  </w:style>
  <w:style w:type="paragraph" w:styleId="Zarkazkladnhotextu3">
    <w:name w:val="Body Text Indent 3"/>
    <w:basedOn w:val="Normlny"/>
    <w:link w:val="Zarkazkladnhotextu3Char"/>
    <w:uiPriority w:val="99"/>
    <w:locked/>
    <w:rsid w:val="002F4690"/>
    <w:pPr>
      <w:spacing w:after="120"/>
      <w:ind w:left="283"/>
    </w:pPr>
    <w:rPr>
      <w:sz w:val="16"/>
      <w:szCs w:val="16"/>
    </w:rPr>
  </w:style>
  <w:style w:type="character" w:customStyle="1" w:styleId="Zarkazkladnhotextu3Char">
    <w:name w:val="Zarážka základného textu 3 Char"/>
    <w:link w:val="Zarkazkladnhotextu3"/>
    <w:uiPriority w:val="99"/>
    <w:semiHidden/>
    <w:locked/>
    <w:rsid w:val="00724C28"/>
    <w:rPr>
      <w:rFonts w:cs="Times"/>
      <w:sz w:val="16"/>
      <w:szCs w:val="16"/>
      <w:lang w:eastAsia="en-US"/>
    </w:rPr>
  </w:style>
  <w:style w:type="paragraph" w:customStyle="1" w:styleId="Odsekzoznamu1">
    <w:name w:val="Odsek zoznamu1"/>
    <w:basedOn w:val="Normlny"/>
    <w:link w:val="OdsekzoznamuChar"/>
    <w:uiPriority w:val="99"/>
    <w:rsid w:val="008A7E81"/>
    <w:pPr>
      <w:ind w:left="720"/>
      <w:contextualSpacing/>
    </w:pPr>
    <w:rPr>
      <w:rFonts w:ascii="Calibri" w:eastAsia="Times New Roman" w:hAnsi="Calibri" w:cs="Times New Roman"/>
    </w:rPr>
  </w:style>
  <w:style w:type="paragraph" w:styleId="Textpoznmkypodiarou">
    <w:name w:val="footnote text"/>
    <w:aliases w:val="Text poznámky pod čiarou 007"/>
    <w:basedOn w:val="Normlny"/>
    <w:link w:val="TextpoznmkypodiarouChar"/>
    <w:uiPriority w:val="99"/>
    <w:semiHidden/>
    <w:locked/>
    <w:rsid w:val="008A7E81"/>
    <w:pPr>
      <w:spacing w:after="0" w:line="240" w:lineRule="auto"/>
    </w:pPr>
    <w:rPr>
      <w:rFonts w:cs="Times New Roman"/>
      <w:sz w:val="20"/>
      <w:szCs w:val="20"/>
      <w:lang w:val="en-US" w:eastAsia="cs-CZ"/>
    </w:rPr>
  </w:style>
  <w:style w:type="character" w:customStyle="1" w:styleId="FootnoteTextChar">
    <w:name w:val="Footnote Text Char"/>
    <w:aliases w:val="Text poznámky pod čiarou 007 Char"/>
    <w:uiPriority w:val="99"/>
    <w:semiHidden/>
    <w:locked/>
    <w:rsid w:val="000D0BAF"/>
    <w:rPr>
      <w:rFonts w:cs="Times"/>
      <w:sz w:val="20"/>
      <w:szCs w:val="20"/>
      <w:lang w:eastAsia="en-US"/>
    </w:rPr>
  </w:style>
  <w:style w:type="character" w:customStyle="1" w:styleId="TextpoznmkypodiarouChar">
    <w:name w:val="Text poznámky pod čiarou Char"/>
    <w:aliases w:val="Text poznámky pod čiarou 007 Char1"/>
    <w:link w:val="Textpoznmkypodiarou"/>
    <w:uiPriority w:val="99"/>
    <w:semiHidden/>
    <w:locked/>
    <w:rsid w:val="008A7E81"/>
    <w:rPr>
      <w:rFonts w:cs="Times New Roman"/>
      <w:lang w:val="en-US" w:eastAsia="cs-CZ" w:bidi="ar-SA"/>
    </w:rPr>
  </w:style>
  <w:style w:type="character" w:styleId="Odkaznapoznmkupodiarou">
    <w:name w:val="footnote reference"/>
    <w:uiPriority w:val="99"/>
    <w:semiHidden/>
    <w:locked/>
    <w:rsid w:val="008A7E81"/>
    <w:rPr>
      <w:rFonts w:cs="Times New Roman"/>
      <w:vertAlign w:val="superscript"/>
    </w:rPr>
  </w:style>
  <w:style w:type="paragraph" w:customStyle="1" w:styleId="AUZISTENIE">
    <w:name w:val="AU ZISTENIE"/>
    <w:basedOn w:val="Normlny"/>
    <w:uiPriority w:val="99"/>
    <w:rsid w:val="008A7E81"/>
    <w:pPr>
      <w:overflowPunct w:val="0"/>
      <w:autoSpaceDE w:val="0"/>
      <w:autoSpaceDN w:val="0"/>
      <w:adjustRightInd w:val="0"/>
      <w:spacing w:after="0" w:line="240" w:lineRule="auto"/>
      <w:jc w:val="both"/>
      <w:textAlignment w:val="baseline"/>
    </w:pPr>
    <w:rPr>
      <w:rFonts w:cs="Times New Roman"/>
    </w:rPr>
  </w:style>
  <w:style w:type="paragraph" w:styleId="Obyajntext">
    <w:name w:val="Plain Text"/>
    <w:basedOn w:val="Normlny"/>
    <w:link w:val="ObyajntextChar"/>
    <w:uiPriority w:val="99"/>
    <w:locked/>
    <w:rsid w:val="008A7E81"/>
    <w:pPr>
      <w:spacing w:after="0" w:line="240" w:lineRule="auto"/>
    </w:pPr>
    <w:rPr>
      <w:rFonts w:ascii="Consolas" w:eastAsia="Times New Roman" w:hAnsi="Consolas" w:cs="Times New Roman"/>
      <w:sz w:val="21"/>
      <w:szCs w:val="21"/>
    </w:rPr>
  </w:style>
  <w:style w:type="character" w:customStyle="1" w:styleId="PlainTextChar">
    <w:name w:val="Plain Text Char"/>
    <w:uiPriority w:val="99"/>
    <w:semiHidden/>
    <w:locked/>
    <w:rsid w:val="000D0BAF"/>
    <w:rPr>
      <w:rFonts w:ascii="Courier New" w:hAnsi="Courier New" w:cs="Courier New"/>
      <w:sz w:val="20"/>
      <w:szCs w:val="20"/>
      <w:lang w:eastAsia="en-US"/>
    </w:rPr>
  </w:style>
  <w:style w:type="character" w:customStyle="1" w:styleId="ObyajntextChar">
    <w:name w:val="Obyčajný text Char"/>
    <w:link w:val="Obyajntext"/>
    <w:uiPriority w:val="99"/>
    <w:locked/>
    <w:rsid w:val="008A7E81"/>
    <w:rPr>
      <w:rFonts w:ascii="Consolas" w:hAnsi="Consolas" w:cs="Times New Roman"/>
      <w:sz w:val="21"/>
      <w:szCs w:val="21"/>
      <w:lang w:val="sk-SK" w:eastAsia="en-US" w:bidi="ar-SA"/>
    </w:rPr>
  </w:style>
  <w:style w:type="character" w:customStyle="1" w:styleId="OdsekzoznamuChar">
    <w:name w:val="Odsek zoznamu Char"/>
    <w:link w:val="Odsekzoznamu1"/>
    <w:uiPriority w:val="34"/>
    <w:locked/>
    <w:rsid w:val="008C241B"/>
    <w:rPr>
      <w:rFonts w:ascii="Calibri" w:hAnsi="Calibri" w:cs="Times New Roman"/>
      <w:sz w:val="22"/>
      <w:szCs w:val="22"/>
      <w:lang w:val="sk-SK" w:eastAsia="en-US" w:bidi="ar-SA"/>
    </w:rPr>
  </w:style>
  <w:style w:type="paragraph" w:customStyle="1" w:styleId="Odsekzoznamu10">
    <w:name w:val="Odsek zoznamu1"/>
    <w:basedOn w:val="Normlny"/>
    <w:uiPriority w:val="99"/>
    <w:rsid w:val="00007B5F"/>
    <w:pPr>
      <w:ind w:left="720"/>
      <w:contextualSpacing/>
    </w:pPr>
    <w:rPr>
      <w:rFonts w:ascii="Calibri" w:eastAsia="Times New Roman" w:hAnsi="Calibri" w:cs="Times New Roman"/>
    </w:rPr>
  </w:style>
  <w:style w:type="paragraph" w:customStyle="1" w:styleId="CharChar1CharCharCharChar">
    <w:name w:val="Char Char1 Char Char Char Char"/>
    <w:basedOn w:val="Normlny"/>
    <w:uiPriority w:val="99"/>
    <w:rsid w:val="00C83304"/>
    <w:pPr>
      <w:spacing w:after="160" w:line="240" w:lineRule="exact"/>
    </w:pPr>
    <w:rPr>
      <w:rFonts w:ascii="Tahoma" w:hAnsi="Tahoma" w:cs="Tahoma"/>
      <w:sz w:val="20"/>
      <w:szCs w:val="20"/>
      <w:lang w:val="en-US"/>
    </w:rPr>
  </w:style>
  <w:style w:type="paragraph" w:customStyle="1" w:styleId="BodyText21">
    <w:name w:val="Body Text 21"/>
    <w:basedOn w:val="Normlny"/>
    <w:uiPriority w:val="99"/>
    <w:rsid w:val="004E71B3"/>
    <w:pPr>
      <w:tabs>
        <w:tab w:val="left" w:pos="709"/>
      </w:tabs>
      <w:overflowPunct w:val="0"/>
      <w:autoSpaceDE w:val="0"/>
      <w:autoSpaceDN w:val="0"/>
      <w:adjustRightInd w:val="0"/>
      <w:spacing w:after="0" w:line="240" w:lineRule="auto"/>
      <w:ind w:right="-2"/>
      <w:jc w:val="both"/>
      <w:textAlignment w:val="baseline"/>
    </w:pPr>
    <w:rPr>
      <w:rFonts w:ascii="Times New Roman" w:eastAsia="Times New Roman" w:hAnsi="Times New Roman" w:cs="Times New Roman"/>
      <w:sz w:val="24"/>
      <w:szCs w:val="20"/>
      <w:lang w:eastAsia="sk-SK"/>
    </w:rPr>
  </w:style>
  <w:style w:type="character" w:customStyle="1" w:styleId="EmailStyle941">
    <w:name w:val="EmailStyle941"/>
    <w:uiPriority w:val="99"/>
    <w:semiHidden/>
    <w:rsid w:val="004258B7"/>
    <w:rPr>
      <w:rFonts w:ascii="Arial" w:hAnsi="Arial" w:cs="Arial"/>
      <w:color w:val="000080"/>
      <w:sz w:val="20"/>
      <w:szCs w:val="20"/>
    </w:rPr>
  </w:style>
  <w:style w:type="paragraph" w:customStyle="1" w:styleId="CharChar1CharCharCharChar0">
    <w:name w:val="Char Char1 Char Char Char Char"/>
    <w:basedOn w:val="Normlny"/>
    <w:rsid w:val="000B3FCB"/>
    <w:pPr>
      <w:spacing w:after="160" w:line="240" w:lineRule="exact"/>
      <w:ind w:firstLine="720"/>
    </w:pPr>
    <w:rPr>
      <w:rFonts w:ascii="Tahoma" w:eastAsia="Times New Roman" w:hAnsi="Tahoma" w:cs="Times New Roman"/>
      <w:sz w:val="20"/>
      <w:szCs w:val="20"/>
      <w:lang w:val="en-US"/>
    </w:rPr>
  </w:style>
  <w:style w:type="paragraph" w:customStyle="1" w:styleId="Zakladnystyl">
    <w:name w:val="Zakladny styl"/>
    <w:rsid w:val="00797A8B"/>
    <w:rPr>
      <w:rFonts w:ascii="Times New Roman" w:eastAsia="Times New Roman" w:hAnsi="Times New Roman"/>
      <w:sz w:val="24"/>
      <w:szCs w:val="24"/>
    </w:rPr>
  </w:style>
  <w:style w:type="paragraph" w:customStyle="1" w:styleId="listparagraph">
    <w:name w:val="listparagraph"/>
    <w:basedOn w:val="Normlny"/>
    <w:rsid w:val="002936B0"/>
    <w:pPr>
      <w:ind w:left="720"/>
    </w:pPr>
    <w:rPr>
      <w:rFonts w:ascii="Times New Roman" w:eastAsia="Times New Roman" w:hAnsi="Times New Roman" w:cs="Times New Roman"/>
      <w:sz w:val="24"/>
      <w:szCs w:val="24"/>
      <w:lang w:eastAsia="sk-SK"/>
    </w:rPr>
  </w:style>
  <w:style w:type="paragraph" w:customStyle="1" w:styleId="Default">
    <w:name w:val="Default"/>
    <w:rsid w:val="0078104F"/>
    <w:pPr>
      <w:autoSpaceDE w:val="0"/>
      <w:autoSpaceDN w:val="0"/>
      <w:adjustRightInd w:val="0"/>
    </w:pPr>
    <w:rPr>
      <w:rFonts w:ascii="Arial" w:eastAsia="Times New Roman" w:hAnsi="Arial" w:cs="Arial"/>
      <w:color w:val="000000"/>
      <w:sz w:val="24"/>
      <w:szCs w:val="24"/>
    </w:rPr>
  </w:style>
  <w:style w:type="character" w:customStyle="1" w:styleId="FontStyle67">
    <w:name w:val="Font Style67"/>
    <w:rsid w:val="00614C6B"/>
    <w:rPr>
      <w:rFonts w:ascii="Times New Roman" w:hAnsi="Times New Roman" w:cs="Times New Roman"/>
      <w:sz w:val="22"/>
      <w:szCs w:val="22"/>
    </w:rPr>
  </w:style>
  <w:style w:type="paragraph" w:customStyle="1" w:styleId="WW-Zkladntextodsazen2">
    <w:name w:val="WW-Základní text odsazený 2"/>
    <w:basedOn w:val="Normlny"/>
    <w:rsid w:val="004A7C9B"/>
    <w:pPr>
      <w:widowControl w:val="0"/>
      <w:suppressAutoHyphens/>
      <w:spacing w:after="0" w:line="240" w:lineRule="auto"/>
      <w:ind w:firstLine="709"/>
      <w:jc w:val="both"/>
    </w:pPr>
    <w:rPr>
      <w:rFonts w:ascii="Times New Roman" w:eastAsia="Times New Roman" w:hAnsi="Times New Roman" w:cs="Times New Roman"/>
      <w:sz w:val="24"/>
      <w:szCs w:val="20"/>
      <w:lang w:eastAsia="sk-SK"/>
    </w:rPr>
  </w:style>
  <w:style w:type="paragraph" w:customStyle="1" w:styleId="z-BottomofForm">
    <w:name w:val="z-Bottom of Form"/>
    <w:next w:val="Normlny"/>
    <w:hidden/>
    <w:uiPriority w:val="99"/>
    <w:rsid w:val="003A6376"/>
    <w:pPr>
      <w:pBdr>
        <w:top w:val="double" w:sz="2" w:space="0" w:color="000000"/>
      </w:pBdr>
      <w:autoSpaceDE w:val="0"/>
      <w:autoSpaceDN w:val="0"/>
      <w:adjustRightInd w:val="0"/>
      <w:jc w:val="center"/>
    </w:pPr>
    <w:rPr>
      <w:rFonts w:ascii="Arial" w:hAnsi="Arial" w:cs="Arial"/>
      <w:vanish/>
      <w:sz w:val="16"/>
      <w:szCs w:val="16"/>
    </w:rPr>
  </w:style>
  <w:style w:type="paragraph" w:customStyle="1" w:styleId="z-TopofForm">
    <w:name w:val="z-Top of Form"/>
    <w:next w:val="Normlny"/>
    <w:hidden/>
    <w:uiPriority w:val="99"/>
    <w:rsid w:val="003A6376"/>
    <w:pPr>
      <w:pBdr>
        <w:bottom w:val="double" w:sz="2" w:space="0" w:color="000000"/>
      </w:pBdr>
      <w:autoSpaceDE w:val="0"/>
      <w:autoSpaceDN w:val="0"/>
      <w:adjustRightInd w:val="0"/>
      <w:jc w:val="center"/>
    </w:pPr>
    <w:rPr>
      <w:rFonts w:ascii="Arial" w:hAnsi="Arial" w:cs="Arial"/>
      <w:vanish/>
      <w:sz w:val="16"/>
      <w:szCs w:val="16"/>
    </w:rPr>
  </w:style>
  <w:style w:type="character" w:customStyle="1" w:styleId="Textzstupnhosymbolu1">
    <w:name w:val="Text zástupného symbolu1"/>
    <w:semiHidden/>
    <w:rsid w:val="0098744C"/>
    <w:rPr>
      <w:rFonts w:ascii="Times New Roman" w:hAnsi="Times New Roman" w:cs="Times New Roman"/>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6939">
      <w:bodyDiv w:val="1"/>
      <w:marLeft w:val="0"/>
      <w:marRight w:val="0"/>
      <w:marTop w:val="0"/>
      <w:marBottom w:val="0"/>
      <w:divBdr>
        <w:top w:val="none" w:sz="0" w:space="0" w:color="auto"/>
        <w:left w:val="none" w:sz="0" w:space="0" w:color="auto"/>
        <w:bottom w:val="none" w:sz="0" w:space="0" w:color="auto"/>
        <w:right w:val="none" w:sz="0" w:space="0" w:color="auto"/>
      </w:divBdr>
    </w:div>
    <w:div w:id="74131533">
      <w:bodyDiv w:val="1"/>
      <w:marLeft w:val="0"/>
      <w:marRight w:val="0"/>
      <w:marTop w:val="0"/>
      <w:marBottom w:val="0"/>
      <w:divBdr>
        <w:top w:val="none" w:sz="0" w:space="0" w:color="auto"/>
        <w:left w:val="none" w:sz="0" w:space="0" w:color="auto"/>
        <w:bottom w:val="none" w:sz="0" w:space="0" w:color="auto"/>
        <w:right w:val="none" w:sz="0" w:space="0" w:color="auto"/>
      </w:divBdr>
    </w:div>
    <w:div w:id="92632905">
      <w:bodyDiv w:val="1"/>
      <w:marLeft w:val="0"/>
      <w:marRight w:val="0"/>
      <w:marTop w:val="0"/>
      <w:marBottom w:val="0"/>
      <w:divBdr>
        <w:top w:val="none" w:sz="0" w:space="0" w:color="auto"/>
        <w:left w:val="none" w:sz="0" w:space="0" w:color="auto"/>
        <w:bottom w:val="none" w:sz="0" w:space="0" w:color="auto"/>
        <w:right w:val="none" w:sz="0" w:space="0" w:color="auto"/>
      </w:divBdr>
    </w:div>
    <w:div w:id="99111495">
      <w:bodyDiv w:val="1"/>
      <w:marLeft w:val="0"/>
      <w:marRight w:val="0"/>
      <w:marTop w:val="0"/>
      <w:marBottom w:val="0"/>
      <w:divBdr>
        <w:top w:val="none" w:sz="0" w:space="0" w:color="auto"/>
        <w:left w:val="none" w:sz="0" w:space="0" w:color="auto"/>
        <w:bottom w:val="none" w:sz="0" w:space="0" w:color="auto"/>
        <w:right w:val="none" w:sz="0" w:space="0" w:color="auto"/>
      </w:divBdr>
    </w:div>
    <w:div w:id="145560964">
      <w:bodyDiv w:val="1"/>
      <w:marLeft w:val="0"/>
      <w:marRight w:val="0"/>
      <w:marTop w:val="0"/>
      <w:marBottom w:val="0"/>
      <w:divBdr>
        <w:top w:val="none" w:sz="0" w:space="0" w:color="auto"/>
        <w:left w:val="none" w:sz="0" w:space="0" w:color="auto"/>
        <w:bottom w:val="none" w:sz="0" w:space="0" w:color="auto"/>
        <w:right w:val="none" w:sz="0" w:space="0" w:color="auto"/>
      </w:divBdr>
    </w:div>
    <w:div w:id="160702781">
      <w:bodyDiv w:val="1"/>
      <w:marLeft w:val="0"/>
      <w:marRight w:val="0"/>
      <w:marTop w:val="0"/>
      <w:marBottom w:val="0"/>
      <w:divBdr>
        <w:top w:val="none" w:sz="0" w:space="0" w:color="auto"/>
        <w:left w:val="none" w:sz="0" w:space="0" w:color="auto"/>
        <w:bottom w:val="none" w:sz="0" w:space="0" w:color="auto"/>
        <w:right w:val="none" w:sz="0" w:space="0" w:color="auto"/>
      </w:divBdr>
    </w:div>
    <w:div w:id="201065906">
      <w:bodyDiv w:val="1"/>
      <w:marLeft w:val="0"/>
      <w:marRight w:val="0"/>
      <w:marTop w:val="0"/>
      <w:marBottom w:val="0"/>
      <w:divBdr>
        <w:top w:val="none" w:sz="0" w:space="0" w:color="auto"/>
        <w:left w:val="none" w:sz="0" w:space="0" w:color="auto"/>
        <w:bottom w:val="none" w:sz="0" w:space="0" w:color="auto"/>
        <w:right w:val="none" w:sz="0" w:space="0" w:color="auto"/>
      </w:divBdr>
    </w:div>
    <w:div w:id="215508848">
      <w:bodyDiv w:val="1"/>
      <w:marLeft w:val="0"/>
      <w:marRight w:val="0"/>
      <w:marTop w:val="0"/>
      <w:marBottom w:val="0"/>
      <w:divBdr>
        <w:top w:val="none" w:sz="0" w:space="0" w:color="auto"/>
        <w:left w:val="none" w:sz="0" w:space="0" w:color="auto"/>
        <w:bottom w:val="none" w:sz="0" w:space="0" w:color="auto"/>
        <w:right w:val="none" w:sz="0" w:space="0" w:color="auto"/>
      </w:divBdr>
    </w:div>
    <w:div w:id="287977686">
      <w:bodyDiv w:val="1"/>
      <w:marLeft w:val="0"/>
      <w:marRight w:val="0"/>
      <w:marTop w:val="0"/>
      <w:marBottom w:val="0"/>
      <w:divBdr>
        <w:top w:val="none" w:sz="0" w:space="0" w:color="auto"/>
        <w:left w:val="none" w:sz="0" w:space="0" w:color="auto"/>
        <w:bottom w:val="none" w:sz="0" w:space="0" w:color="auto"/>
        <w:right w:val="none" w:sz="0" w:space="0" w:color="auto"/>
      </w:divBdr>
    </w:div>
    <w:div w:id="291329295">
      <w:bodyDiv w:val="1"/>
      <w:marLeft w:val="0"/>
      <w:marRight w:val="0"/>
      <w:marTop w:val="0"/>
      <w:marBottom w:val="0"/>
      <w:divBdr>
        <w:top w:val="none" w:sz="0" w:space="0" w:color="auto"/>
        <w:left w:val="none" w:sz="0" w:space="0" w:color="auto"/>
        <w:bottom w:val="none" w:sz="0" w:space="0" w:color="auto"/>
        <w:right w:val="none" w:sz="0" w:space="0" w:color="auto"/>
      </w:divBdr>
    </w:div>
    <w:div w:id="315426362">
      <w:bodyDiv w:val="1"/>
      <w:marLeft w:val="0"/>
      <w:marRight w:val="0"/>
      <w:marTop w:val="0"/>
      <w:marBottom w:val="0"/>
      <w:divBdr>
        <w:top w:val="none" w:sz="0" w:space="0" w:color="auto"/>
        <w:left w:val="none" w:sz="0" w:space="0" w:color="auto"/>
        <w:bottom w:val="none" w:sz="0" w:space="0" w:color="auto"/>
        <w:right w:val="none" w:sz="0" w:space="0" w:color="auto"/>
      </w:divBdr>
    </w:div>
    <w:div w:id="334570985">
      <w:bodyDiv w:val="1"/>
      <w:marLeft w:val="0"/>
      <w:marRight w:val="0"/>
      <w:marTop w:val="0"/>
      <w:marBottom w:val="0"/>
      <w:divBdr>
        <w:top w:val="none" w:sz="0" w:space="0" w:color="auto"/>
        <w:left w:val="none" w:sz="0" w:space="0" w:color="auto"/>
        <w:bottom w:val="none" w:sz="0" w:space="0" w:color="auto"/>
        <w:right w:val="none" w:sz="0" w:space="0" w:color="auto"/>
      </w:divBdr>
    </w:div>
    <w:div w:id="547180884">
      <w:bodyDiv w:val="1"/>
      <w:marLeft w:val="0"/>
      <w:marRight w:val="0"/>
      <w:marTop w:val="0"/>
      <w:marBottom w:val="0"/>
      <w:divBdr>
        <w:top w:val="none" w:sz="0" w:space="0" w:color="auto"/>
        <w:left w:val="none" w:sz="0" w:space="0" w:color="auto"/>
        <w:bottom w:val="none" w:sz="0" w:space="0" w:color="auto"/>
        <w:right w:val="none" w:sz="0" w:space="0" w:color="auto"/>
      </w:divBdr>
    </w:div>
    <w:div w:id="573205017">
      <w:marLeft w:val="0"/>
      <w:marRight w:val="0"/>
      <w:marTop w:val="0"/>
      <w:marBottom w:val="0"/>
      <w:divBdr>
        <w:top w:val="none" w:sz="0" w:space="0" w:color="auto"/>
        <w:left w:val="none" w:sz="0" w:space="0" w:color="auto"/>
        <w:bottom w:val="none" w:sz="0" w:space="0" w:color="auto"/>
        <w:right w:val="none" w:sz="0" w:space="0" w:color="auto"/>
      </w:divBdr>
    </w:div>
    <w:div w:id="573205018">
      <w:marLeft w:val="0"/>
      <w:marRight w:val="0"/>
      <w:marTop w:val="0"/>
      <w:marBottom w:val="0"/>
      <w:divBdr>
        <w:top w:val="none" w:sz="0" w:space="0" w:color="auto"/>
        <w:left w:val="none" w:sz="0" w:space="0" w:color="auto"/>
        <w:bottom w:val="none" w:sz="0" w:space="0" w:color="auto"/>
        <w:right w:val="none" w:sz="0" w:space="0" w:color="auto"/>
      </w:divBdr>
    </w:div>
    <w:div w:id="573205019">
      <w:marLeft w:val="0"/>
      <w:marRight w:val="0"/>
      <w:marTop w:val="0"/>
      <w:marBottom w:val="0"/>
      <w:divBdr>
        <w:top w:val="none" w:sz="0" w:space="0" w:color="auto"/>
        <w:left w:val="none" w:sz="0" w:space="0" w:color="auto"/>
        <w:bottom w:val="none" w:sz="0" w:space="0" w:color="auto"/>
        <w:right w:val="none" w:sz="0" w:space="0" w:color="auto"/>
      </w:divBdr>
    </w:div>
    <w:div w:id="573205020">
      <w:marLeft w:val="0"/>
      <w:marRight w:val="0"/>
      <w:marTop w:val="0"/>
      <w:marBottom w:val="0"/>
      <w:divBdr>
        <w:top w:val="none" w:sz="0" w:space="0" w:color="auto"/>
        <w:left w:val="none" w:sz="0" w:space="0" w:color="auto"/>
        <w:bottom w:val="none" w:sz="0" w:space="0" w:color="auto"/>
        <w:right w:val="none" w:sz="0" w:space="0" w:color="auto"/>
      </w:divBdr>
    </w:div>
    <w:div w:id="573205021">
      <w:marLeft w:val="0"/>
      <w:marRight w:val="0"/>
      <w:marTop w:val="0"/>
      <w:marBottom w:val="0"/>
      <w:divBdr>
        <w:top w:val="none" w:sz="0" w:space="0" w:color="auto"/>
        <w:left w:val="none" w:sz="0" w:space="0" w:color="auto"/>
        <w:bottom w:val="none" w:sz="0" w:space="0" w:color="auto"/>
        <w:right w:val="none" w:sz="0" w:space="0" w:color="auto"/>
      </w:divBdr>
    </w:div>
    <w:div w:id="573205022">
      <w:marLeft w:val="0"/>
      <w:marRight w:val="0"/>
      <w:marTop w:val="0"/>
      <w:marBottom w:val="0"/>
      <w:divBdr>
        <w:top w:val="none" w:sz="0" w:space="0" w:color="auto"/>
        <w:left w:val="none" w:sz="0" w:space="0" w:color="auto"/>
        <w:bottom w:val="none" w:sz="0" w:space="0" w:color="auto"/>
        <w:right w:val="none" w:sz="0" w:space="0" w:color="auto"/>
      </w:divBdr>
    </w:div>
    <w:div w:id="573205023">
      <w:marLeft w:val="0"/>
      <w:marRight w:val="0"/>
      <w:marTop w:val="0"/>
      <w:marBottom w:val="0"/>
      <w:divBdr>
        <w:top w:val="none" w:sz="0" w:space="0" w:color="auto"/>
        <w:left w:val="none" w:sz="0" w:space="0" w:color="auto"/>
        <w:bottom w:val="none" w:sz="0" w:space="0" w:color="auto"/>
        <w:right w:val="none" w:sz="0" w:space="0" w:color="auto"/>
      </w:divBdr>
    </w:div>
    <w:div w:id="573205024">
      <w:marLeft w:val="0"/>
      <w:marRight w:val="0"/>
      <w:marTop w:val="0"/>
      <w:marBottom w:val="0"/>
      <w:divBdr>
        <w:top w:val="none" w:sz="0" w:space="0" w:color="auto"/>
        <w:left w:val="none" w:sz="0" w:space="0" w:color="auto"/>
        <w:bottom w:val="none" w:sz="0" w:space="0" w:color="auto"/>
        <w:right w:val="none" w:sz="0" w:space="0" w:color="auto"/>
      </w:divBdr>
    </w:div>
    <w:div w:id="573205025">
      <w:marLeft w:val="0"/>
      <w:marRight w:val="0"/>
      <w:marTop w:val="0"/>
      <w:marBottom w:val="0"/>
      <w:divBdr>
        <w:top w:val="none" w:sz="0" w:space="0" w:color="auto"/>
        <w:left w:val="none" w:sz="0" w:space="0" w:color="auto"/>
        <w:bottom w:val="none" w:sz="0" w:space="0" w:color="auto"/>
        <w:right w:val="none" w:sz="0" w:space="0" w:color="auto"/>
      </w:divBdr>
    </w:div>
    <w:div w:id="573205026">
      <w:marLeft w:val="0"/>
      <w:marRight w:val="0"/>
      <w:marTop w:val="0"/>
      <w:marBottom w:val="0"/>
      <w:divBdr>
        <w:top w:val="none" w:sz="0" w:space="0" w:color="auto"/>
        <w:left w:val="none" w:sz="0" w:space="0" w:color="auto"/>
        <w:bottom w:val="none" w:sz="0" w:space="0" w:color="auto"/>
        <w:right w:val="none" w:sz="0" w:space="0" w:color="auto"/>
      </w:divBdr>
    </w:div>
    <w:div w:id="573205027">
      <w:marLeft w:val="0"/>
      <w:marRight w:val="0"/>
      <w:marTop w:val="0"/>
      <w:marBottom w:val="0"/>
      <w:divBdr>
        <w:top w:val="none" w:sz="0" w:space="0" w:color="auto"/>
        <w:left w:val="none" w:sz="0" w:space="0" w:color="auto"/>
        <w:bottom w:val="none" w:sz="0" w:space="0" w:color="auto"/>
        <w:right w:val="none" w:sz="0" w:space="0" w:color="auto"/>
      </w:divBdr>
    </w:div>
    <w:div w:id="573205028">
      <w:marLeft w:val="0"/>
      <w:marRight w:val="0"/>
      <w:marTop w:val="0"/>
      <w:marBottom w:val="0"/>
      <w:divBdr>
        <w:top w:val="none" w:sz="0" w:space="0" w:color="auto"/>
        <w:left w:val="none" w:sz="0" w:space="0" w:color="auto"/>
        <w:bottom w:val="none" w:sz="0" w:space="0" w:color="auto"/>
        <w:right w:val="none" w:sz="0" w:space="0" w:color="auto"/>
      </w:divBdr>
    </w:div>
    <w:div w:id="573205029">
      <w:marLeft w:val="0"/>
      <w:marRight w:val="0"/>
      <w:marTop w:val="0"/>
      <w:marBottom w:val="0"/>
      <w:divBdr>
        <w:top w:val="none" w:sz="0" w:space="0" w:color="auto"/>
        <w:left w:val="none" w:sz="0" w:space="0" w:color="auto"/>
        <w:bottom w:val="none" w:sz="0" w:space="0" w:color="auto"/>
        <w:right w:val="none" w:sz="0" w:space="0" w:color="auto"/>
      </w:divBdr>
    </w:div>
    <w:div w:id="573205030">
      <w:marLeft w:val="0"/>
      <w:marRight w:val="0"/>
      <w:marTop w:val="0"/>
      <w:marBottom w:val="0"/>
      <w:divBdr>
        <w:top w:val="none" w:sz="0" w:space="0" w:color="auto"/>
        <w:left w:val="none" w:sz="0" w:space="0" w:color="auto"/>
        <w:bottom w:val="none" w:sz="0" w:space="0" w:color="auto"/>
        <w:right w:val="none" w:sz="0" w:space="0" w:color="auto"/>
      </w:divBdr>
    </w:div>
    <w:div w:id="573205031">
      <w:marLeft w:val="0"/>
      <w:marRight w:val="0"/>
      <w:marTop w:val="0"/>
      <w:marBottom w:val="0"/>
      <w:divBdr>
        <w:top w:val="none" w:sz="0" w:space="0" w:color="auto"/>
        <w:left w:val="none" w:sz="0" w:space="0" w:color="auto"/>
        <w:bottom w:val="none" w:sz="0" w:space="0" w:color="auto"/>
        <w:right w:val="none" w:sz="0" w:space="0" w:color="auto"/>
      </w:divBdr>
    </w:div>
    <w:div w:id="573205032">
      <w:marLeft w:val="0"/>
      <w:marRight w:val="0"/>
      <w:marTop w:val="0"/>
      <w:marBottom w:val="0"/>
      <w:divBdr>
        <w:top w:val="none" w:sz="0" w:space="0" w:color="auto"/>
        <w:left w:val="none" w:sz="0" w:space="0" w:color="auto"/>
        <w:bottom w:val="none" w:sz="0" w:space="0" w:color="auto"/>
        <w:right w:val="none" w:sz="0" w:space="0" w:color="auto"/>
      </w:divBdr>
    </w:div>
    <w:div w:id="573205033">
      <w:marLeft w:val="0"/>
      <w:marRight w:val="0"/>
      <w:marTop w:val="0"/>
      <w:marBottom w:val="0"/>
      <w:divBdr>
        <w:top w:val="none" w:sz="0" w:space="0" w:color="auto"/>
        <w:left w:val="none" w:sz="0" w:space="0" w:color="auto"/>
        <w:bottom w:val="none" w:sz="0" w:space="0" w:color="auto"/>
        <w:right w:val="none" w:sz="0" w:space="0" w:color="auto"/>
      </w:divBdr>
    </w:div>
    <w:div w:id="573205034">
      <w:marLeft w:val="0"/>
      <w:marRight w:val="0"/>
      <w:marTop w:val="0"/>
      <w:marBottom w:val="0"/>
      <w:divBdr>
        <w:top w:val="none" w:sz="0" w:space="0" w:color="auto"/>
        <w:left w:val="none" w:sz="0" w:space="0" w:color="auto"/>
        <w:bottom w:val="none" w:sz="0" w:space="0" w:color="auto"/>
        <w:right w:val="none" w:sz="0" w:space="0" w:color="auto"/>
      </w:divBdr>
    </w:div>
    <w:div w:id="573205035">
      <w:marLeft w:val="0"/>
      <w:marRight w:val="0"/>
      <w:marTop w:val="0"/>
      <w:marBottom w:val="0"/>
      <w:divBdr>
        <w:top w:val="none" w:sz="0" w:space="0" w:color="auto"/>
        <w:left w:val="none" w:sz="0" w:space="0" w:color="auto"/>
        <w:bottom w:val="none" w:sz="0" w:space="0" w:color="auto"/>
        <w:right w:val="none" w:sz="0" w:space="0" w:color="auto"/>
      </w:divBdr>
    </w:div>
    <w:div w:id="573205036">
      <w:marLeft w:val="0"/>
      <w:marRight w:val="0"/>
      <w:marTop w:val="0"/>
      <w:marBottom w:val="0"/>
      <w:divBdr>
        <w:top w:val="none" w:sz="0" w:space="0" w:color="auto"/>
        <w:left w:val="none" w:sz="0" w:space="0" w:color="auto"/>
        <w:bottom w:val="none" w:sz="0" w:space="0" w:color="auto"/>
        <w:right w:val="none" w:sz="0" w:space="0" w:color="auto"/>
      </w:divBdr>
    </w:div>
    <w:div w:id="573205037">
      <w:marLeft w:val="0"/>
      <w:marRight w:val="0"/>
      <w:marTop w:val="0"/>
      <w:marBottom w:val="0"/>
      <w:divBdr>
        <w:top w:val="none" w:sz="0" w:space="0" w:color="auto"/>
        <w:left w:val="none" w:sz="0" w:space="0" w:color="auto"/>
        <w:bottom w:val="none" w:sz="0" w:space="0" w:color="auto"/>
        <w:right w:val="none" w:sz="0" w:space="0" w:color="auto"/>
      </w:divBdr>
    </w:div>
    <w:div w:id="573205038">
      <w:marLeft w:val="0"/>
      <w:marRight w:val="0"/>
      <w:marTop w:val="0"/>
      <w:marBottom w:val="0"/>
      <w:divBdr>
        <w:top w:val="none" w:sz="0" w:space="0" w:color="auto"/>
        <w:left w:val="none" w:sz="0" w:space="0" w:color="auto"/>
        <w:bottom w:val="none" w:sz="0" w:space="0" w:color="auto"/>
        <w:right w:val="none" w:sz="0" w:space="0" w:color="auto"/>
      </w:divBdr>
    </w:div>
    <w:div w:id="573205039">
      <w:marLeft w:val="0"/>
      <w:marRight w:val="0"/>
      <w:marTop w:val="0"/>
      <w:marBottom w:val="0"/>
      <w:divBdr>
        <w:top w:val="none" w:sz="0" w:space="0" w:color="auto"/>
        <w:left w:val="none" w:sz="0" w:space="0" w:color="auto"/>
        <w:bottom w:val="none" w:sz="0" w:space="0" w:color="auto"/>
        <w:right w:val="none" w:sz="0" w:space="0" w:color="auto"/>
      </w:divBdr>
    </w:div>
    <w:div w:id="573205040">
      <w:marLeft w:val="0"/>
      <w:marRight w:val="0"/>
      <w:marTop w:val="0"/>
      <w:marBottom w:val="0"/>
      <w:divBdr>
        <w:top w:val="none" w:sz="0" w:space="0" w:color="auto"/>
        <w:left w:val="none" w:sz="0" w:space="0" w:color="auto"/>
        <w:bottom w:val="none" w:sz="0" w:space="0" w:color="auto"/>
        <w:right w:val="none" w:sz="0" w:space="0" w:color="auto"/>
      </w:divBdr>
    </w:div>
    <w:div w:id="573205041">
      <w:marLeft w:val="0"/>
      <w:marRight w:val="0"/>
      <w:marTop w:val="0"/>
      <w:marBottom w:val="0"/>
      <w:divBdr>
        <w:top w:val="none" w:sz="0" w:space="0" w:color="auto"/>
        <w:left w:val="none" w:sz="0" w:space="0" w:color="auto"/>
        <w:bottom w:val="none" w:sz="0" w:space="0" w:color="auto"/>
        <w:right w:val="none" w:sz="0" w:space="0" w:color="auto"/>
      </w:divBdr>
    </w:div>
    <w:div w:id="573205042">
      <w:marLeft w:val="0"/>
      <w:marRight w:val="0"/>
      <w:marTop w:val="0"/>
      <w:marBottom w:val="0"/>
      <w:divBdr>
        <w:top w:val="none" w:sz="0" w:space="0" w:color="auto"/>
        <w:left w:val="none" w:sz="0" w:space="0" w:color="auto"/>
        <w:bottom w:val="none" w:sz="0" w:space="0" w:color="auto"/>
        <w:right w:val="none" w:sz="0" w:space="0" w:color="auto"/>
      </w:divBdr>
    </w:div>
    <w:div w:id="573205043">
      <w:marLeft w:val="0"/>
      <w:marRight w:val="0"/>
      <w:marTop w:val="0"/>
      <w:marBottom w:val="0"/>
      <w:divBdr>
        <w:top w:val="none" w:sz="0" w:space="0" w:color="auto"/>
        <w:left w:val="none" w:sz="0" w:space="0" w:color="auto"/>
        <w:bottom w:val="none" w:sz="0" w:space="0" w:color="auto"/>
        <w:right w:val="none" w:sz="0" w:space="0" w:color="auto"/>
      </w:divBdr>
    </w:div>
    <w:div w:id="573205044">
      <w:marLeft w:val="0"/>
      <w:marRight w:val="0"/>
      <w:marTop w:val="0"/>
      <w:marBottom w:val="0"/>
      <w:divBdr>
        <w:top w:val="none" w:sz="0" w:space="0" w:color="auto"/>
        <w:left w:val="none" w:sz="0" w:space="0" w:color="auto"/>
        <w:bottom w:val="none" w:sz="0" w:space="0" w:color="auto"/>
        <w:right w:val="none" w:sz="0" w:space="0" w:color="auto"/>
      </w:divBdr>
    </w:div>
    <w:div w:id="573205045">
      <w:marLeft w:val="0"/>
      <w:marRight w:val="0"/>
      <w:marTop w:val="0"/>
      <w:marBottom w:val="0"/>
      <w:divBdr>
        <w:top w:val="none" w:sz="0" w:space="0" w:color="auto"/>
        <w:left w:val="none" w:sz="0" w:space="0" w:color="auto"/>
        <w:bottom w:val="none" w:sz="0" w:space="0" w:color="auto"/>
        <w:right w:val="none" w:sz="0" w:space="0" w:color="auto"/>
      </w:divBdr>
    </w:div>
    <w:div w:id="573205046">
      <w:marLeft w:val="0"/>
      <w:marRight w:val="0"/>
      <w:marTop w:val="0"/>
      <w:marBottom w:val="0"/>
      <w:divBdr>
        <w:top w:val="none" w:sz="0" w:space="0" w:color="auto"/>
        <w:left w:val="none" w:sz="0" w:space="0" w:color="auto"/>
        <w:bottom w:val="none" w:sz="0" w:space="0" w:color="auto"/>
        <w:right w:val="none" w:sz="0" w:space="0" w:color="auto"/>
      </w:divBdr>
    </w:div>
    <w:div w:id="573205047">
      <w:marLeft w:val="0"/>
      <w:marRight w:val="0"/>
      <w:marTop w:val="0"/>
      <w:marBottom w:val="0"/>
      <w:divBdr>
        <w:top w:val="none" w:sz="0" w:space="0" w:color="auto"/>
        <w:left w:val="none" w:sz="0" w:space="0" w:color="auto"/>
        <w:bottom w:val="none" w:sz="0" w:space="0" w:color="auto"/>
        <w:right w:val="none" w:sz="0" w:space="0" w:color="auto"/>
      </w:divBdr>
    </w:div>
    <w:div w:id="573205048">
      <w:marLeft w:val="0"/>
      <w:marRight w:val="0"/>
      <w:marTop w:val="0"/>
      <w:marBottom w:val="0"/>
      <w:divBdr>
        <w:top w:val="none" w:sz="0" w:space="0" w:color="auto"/>
        <w:left w:val="none" w:sz="0" w:space="0" w:color="auto"/>
        <w:bottom w:val="none" w:sz="0" w:space="0" w:color="auto"/>
        <w:right w:val="none" w:sz="0" w:space="0" w:color="auto"/>
      </w:divBdr>
    </w:div>
    <w:div w:id="573205049">
      <w:marLeft w:val="0"/>
      <w:marRight w:val="0"/>
      <w:marTop w:val="0"/>
      <w:marBottom w:val="0"/>
      <w:divBdr>
        <w:top w:val="none" w:sz="0" w:space="0" w:color="auto"/>
        <w:left w:val="none" w:sz="0" w:space="0" w:color="auto"/>
        <w:bottom w:val="none" w:sz="0" w:space="0" w:color="auto"/>
        <w:right w:val="none" w:sz="0" w:space="0" w:color="auto"/>
      </w:divBdr>
    </w:div>
    <w:div w:id="573205050">
      <w:marLeft w:val="0"/>
      <w:marRight w:val="0"/>
      <w:marTop w:val="0"/>
      <w:marBottom w:val="0"/>
      <w:divBdr>
        <w:top w:val="none" w:sz="0" w:space="0" w:color="auto"/>
        <w:left w:val="none" w:sz="0" w:space="0" w:color="auto"/>
        <w:bottom w:val="none" w:sz="0" w:space="0" w:color="auto"/>
        <w:right w:val="none" w:sz="0" w:space="0" w:color="auto"/>
      </w:divBdr>
    </w:div>
    <w:div w:id="573205051">
      <w:marLeft w:val="0"/>
      <w:marRight w:val="0"/>
      <w:marTop w:val="0"/>
      <w:marBottom w:val="0"/>
      <w:divBdr>
        <w:top w:val="none" w:sz="0" w:space="0" w:color="auto"/>
        <w:left w:val="none" w:sz="0" w:space="0" w:color="auto"/>
        <w:bottom w:val="none" w:sz="0" w:space="0" w:color="auto"/>
        <w:right w:val="none" w:sz="0" w:space="0" w:color="auto"/>
      </w:divBdr>
    </w:div>
    <w:div w:id="573205052">
      <w:marLeft w:val="0"/>
      <w:marRight w:val="0"/>
      <w:marTop w:val="0"/>
      <w:marBottom w:val="0"/>
      <w:divBdr>
        <w:top w:val="none" w:sz="0" w:space="0" w:color="auto"/>
        <w:left w:val="none" w:sz="0" w:space="0" w:color="auto"/>
        <w:bottom w:val="none" w:sz="0" w:space="0" w:color="auto"/>
        <w:right w:val="none" w:sz="0" w:space="0" w:color="auto"/>
      </w:divBdr>
    </w:div>
    <w:div w:id="573205053">
      <w:marLeft w:val="0"/>
      <w:marRight w:val="0"/>
      <w:marTop w:val="0"/>
      <w:marBottom w:val="0"/>
      <w:divBdr>
        <w:top w:val="none" w:sz="0" w:space="0" w:color="auto"/>
        <w:left w:val="none" w:sz="0" w:space="0" w:color="auto"/>
        <w:bottom w:val="none" w:sz="0" w:space="0" w:color="auto"/>
        <w:right w:val="none" w:sz="0" w:space="0" w:color="auto"/>
      </w:divBdr>
    </w:div>
    <w:div w:id="573205054">
      <w:marLeft w:val="0"/>
      <w:marRight w:val="0"/>
      <w:marTop w:val="0"/>
      <w:marBottom w:val="0"/>
      <w:divBdr>
        <w:top w:val="none" w:sz="0" w:space="0" w:color="auto"/>
        <w:left w:val="none" w:sz="0" w:space="0" w:color="auto"/>
        <w:bottom w:val="none" w:sz="0" w:space="0" w:color="auto"/>
        <w:right w:val="none" w:sz="0" w:space="0" w:color="auto"/>
      </w:divBdr>
    </w:div>
    <w:div w:id="573205055">
      <w:marLeft w:val="0"/>
      <w:marRight w:val="0"/>
      <w:marTop w:val="0"/>
      <w:marBottom w:val="0"/>
      <w:divBdr>
        <w:top w:val="none" w:sz="0" w:space="0" w:color="auto"/>
        <w:left w:val="none" w:sz="0" w:space="0" w:color="auto"/>
        <w:bottom w:val="none" w:sz="0" w:space="0" w:color="auto"/>
        <w:right w:val="none" w:sz="0" w:space="0" w:color="auto"/>
      </w:divBdr>
    </w:div>
    <w:div w:id="573205056">
      <w:marLeft w:val="750"/>
      <w:marRight w:val="0"/>
      <w:marTop w:val="0"/>
      <w:marBottom w:val="0"/>
      <w:divBdr>
        <w:top w:val="none" w:sz="0" w:space="0" w:color="auto"/>
        <w:left w:val="none" w:sz="0" w:space="0" w:color="auto"/>
        <w:bottom w:val="none" w:sz="0" w:space="0" w:color="auto"/>
        <w:right w:val="none" w:sz="0" w:space="0" w:color="auto"/>
      </w:divBdr>
    </w:div>
    <w:div w:id="573205057">
      <w:marLeft w:val="750"/>
      <w:marRight w:val="0"/>
      <w:marTop w:val="0"/>
      <w:marBottom w:val="0"/>
      <w:divBdr>
        <w:top w:val="none" w:sz="0" w:space="0" w:color="auto"/>
        <w:left w:val="none" w:sz="0" w:space="0" w:color="auto"/>
        <w:bottom w:val="none" w:sz="0" w:space="0" w:color="auto"/>
        <w:right w:val="none" w:sz="0" w:space="0" w:color="auto"/>
      </w:divBdr>
    </w:div>
    <w:div w:id="573205058">
      <w:marLeft w:val="0"/>
      <w:marRight w:val="0"/>
      <w:marTop w:val="0"/>
      <w:marBottom w:val="0"/>
      <w:divBdr>
        <w:top w:val="none" w:sz="0" w:space="0" w:color="auto"/>
        <w:left w:val="none" w:sz="0" w:space="0" w:color="auto"/>
        <w:bottom w:val="none" w:sz="0" w:space="0" w:color="auto"/>
        <w:right w:val="none" w:sz="0" w:space="0" w:color="auto"/>
      </w:divBdr>
    </w:div>
    <w:div w:id="573205059">
      <w:marLeft w:val="0"/>
      <w:marRight w:val="0"/>
      <w:marTop w:val="0"/>
      <w:marBottom w:val="0"/>
      <w:divBdr>
        <w:top w:val="none" w:sz="0" w:space="0" w:color="auto"/>
        <w:left w:val="none" w:sz="0" w:space="0" w:color="auto"/>
        <w:bottom w:val="none" w:sz="0" w:space="0" w:color="auto"/>
        <w:right w:val="none" w:sz="0" w:space="0" w:color="auto"/>
      </w:divBdr>
    </w:div>
    <w:div w:id="573205060">
      <w:marLeft w:val="0"/>
      <w:marRight w:val="0"/>
      <w:marTop w:val="0"/>
      <w:marBottom w:val="0"/>
      <w:divBdr>
        <w:top w:val="none" w:sz="0" w:space="0" w:color="auto"/>
        <w:left w:val="none" w:sz="0" w:space="0" w:color="auto"/>
        <w:bottom w:val="none" w:sz="0" w:space="0" w:color="auto"/>
        <w:right w:val="none" w:sz="0" w:space="0" w:color="auto"/>
      </w:divBdr>
    </w:div>
    <w:div w:id="573205061">
      <w:marLeft w:val="0"/>
      <w:marRight w:val="0"/>
      <w:marTop w:val="0"/>
      <w:marBottom w:val="0"/>
      <w:divBdr>
        <w:top w:val="none" w:sz="0" w:space="0" w:color="auto"/>
        <w:left w:val="none" w:sz="0" w:space="0" w:color="auto"/>
        <w:bottom w:val="none" w:sz="0" w:space="0" w:color="auto"/>
        <w:right w:val="none" w:sz="0" w:space="0" w:color="auto"/>
      </w:divBdr>
    </w:div>
    <w:div w:id="573205062">
      <w:marLeft w:val="0"/>
      <w:marRight w:val="0"/>
      <w:marTop w:val="0"/>
      <w:marBottom w:val="0"/>
      <w:divBdr>
        <w:top w:val="none" w:sz="0" w:space="0" w:color="auto"/>
        <w:left w:val="none" w:sz="0" w:space="0" w:color="auto"/>
        <w:bottom w:val="none" w:sz="0" w:space="0" w:color="auto"/>
        <w:right w:val="none" w:sz="0" w:space="0" w:color="auto"/>
      </w:divBdr>
    </w:div>
    <w:div w:id="573205063">
      <w:marLeft w:val="0"/>
      <w:marRight w:val="0"/>
      <w:marTop w:val="0"/>
      <w:marBottom w:val="0"/>
      <w:divBdr>
        <w:top w:val="none" w:sz="0" w:space="0" w:color="auto"/>
        <w:left w:val="none" w:sz="0" w:space="0" w:color="auto"/>
        <w:bottom w:val="none" w:sz="0" w:space="0" w:color="auto"/>
        <w:right w:val="none" w:sz="0" w:space="0" w:color="auto"/>
      </w:divBdr>
    </w:div>
    <w:div w:id="573205064">
      <w:marLeft w:val="0"/>
      <w:marRight w:val="0"/>
      <w:marTop w:val="0"/>
      <w:marBottom w:val="0"/>
      <w:divBdr>
        <w:top w:val="none" w:sz="0" w:space="0" w:color="auto"/>
        <w:left w:val="none" w:sz="0" w:space="0" w:color="auto"/>
        <w:bottom w:val="none" w:sz="0" w:space="0" w:color="auto"/>
        <w:right w:val="none" w:sz="0" w:space="0" w:color="auto"/>
      </w:divBdr>
    </w:div>
    <w:div w:id="573205065">
      <w:marLeft w:val="0"/>
      <w:marRight w:val="0"/>
      <w:marTop w:val="0"/>
      <w:marBottom w:val="0"/>
      <w:divBdr>
        <w:top w:val="none" w:sz="0" w:space="0" w:color="auto"/>
        <w:left w:val="none" w:sz="0" w:space="0" w:color="auto"/>
        <w:bottom w:val="none" w:sz="0" w:space="0" w:color="auto"/>
        <w:right w:val="none" w:sz="0" w:space="0" w:color="auto"/>
      </w:divBdr>
    </w:div>
    <w:div w:id="573205066">
      <w:marLeft w:val="0"/>
      <w:marRight w:val="0"/>
      <w:marTop w:val="0"/>
      <w:marBottom w:val="0"/>
      <w:divBdr>
        <w:top w:val="none" w:sz="0" w:space="0" w:color="auto"/>
        <w:left w:val="none" w:sz="0" w:space="0" w:color="auto"/>
        <w:bottom w:val="none" w:sz="0" w:space="0" w:color="auto"/>
        <w:right w:val="none" w:sz="0" w:space="0" w:color="auto"/>
      </w:divBdr>
    </w:div>
    <w:div w:id="573205067">
      <w:marLeft w:val="0"/>
      <w:marRight w:val="0"/>
      <w:marTop w:val="0"/>
      <w:marBottom w:val="0"/>
      <w:divBdr>
        <w:top w:val="none" w:sz="0" w:space="0" w:color="auto"/>
        <w:left w:val="none" w:sz="0" w:space="0" w:color="auto"/>
        <w:bottom w:val="none" w:sz="0" w:space="0" w:color="auto"/>
        <w:right w:val="none" w:sz="0" w:space="0" w:color="auto"/>
      </w:divBdr>
    </w:div>
    <w:div w:id="573205068">
      <w:marLeft w:val="0"/>
      <w:marRight w:val="0"/>
      <w:marTop w:val="0"/>
      <w:marBottom w:val="0"/>
      <w:divBdr>
        <w:top w:val="none" w:sz="0" w:space="0" w:color="auto"/>
        <w:left w:val="none" w:sz="0" w:space="0" w:color="auto"/>
        <w:bottom w:val="none" w:sz="0" w:space="0" w:color="auto"/>
        <w:right w:val="none" w:sz="0" w:space="0" w:color="auto"/>
      </w:divBdr>
    </w:div>
    <w:div w:id="573205069">
      <w:marLeft w:val="0"/>
      <w:marRight w:val="0"/>
      <w:marTop w:val="0"/>
      <w:marBottom w:val="0"/>
      <w:divBdr>
        <w:top w:val="none" w:sz="0" w:space="0" w:color="auto"/>
        <w:left w:val="none" w:sz="0" w:space="0" w:color="auto"/>
        <w:bottom w:val="none" w:sz="0" w:space="0" w:color="auto"/>
        <w:right w:val="none" w:sz="0" w:space="0" w:color="auto"/>
      </w:divBdr>
    </w:div>
    <w:div w:id="573205070">
      <w:marLeft w:val="0"/>
      <w:marRight w:val="0"/>
      <w:marTop w:val="0"/>
      <w:marBottom w:val="0"/>
      <w:divBdr>
        <w:top w:val="none" w:sz="0" w:space="0" w:color="auto"/>
        <w:left w:val="none" w:sz="0" w:space="0" w:color="auto"/>
        <w:bottom w:val="none" w:sz="0" w:space="0" w:color="auto"/>
        <w:right w:val="none" w:sz="0" w:space="0" w:color="auto"/>
      </w:divBdr>
    </w:div>
    <w:div w:id="573205071">
      <w:marLeft w:val="0"/>
      <w:marRight w:val="0"/>
      <w:marTop w:val="0"/>
      <w:marBottom w:val="0"/>
      <w:divBdr>
        <w:top w:val="none" w:sz="0" w:space="0" w:color="auto"/>
        <w:left w:val="none" w:sz="0" w:space="0" w:color="auto"/>
        <w:bottom w:val="none" w:sz="0" w:space="0" w:color="auto"/>
        <w:right w:val="none" w:sz="0" w:space="0" w:color="auto"/>
      </w:divBdr>
    </w:div>
    <w:div w:id="573205072">
      <w:marLeft w:val="0"/>
      <w:marRight w:val="0"/>
      <w:marTop w:val="0"/>
      <w:marBottom w:val="0"/>
      <w:divBdr>
        <w:top w:val="none" w:sz="0" w:space="0" w:color="auto"/>
        <w:left w:val="none" w:sz="0" w:space="0" w:color="auto"/>
        <w:bottom w:val="none" w:sz="0" w:space="0" w:color="auto"/>
        <w:right w:val="none" w:sz="0" w:space="0" w:color="auto"/>
      </w:divBdr>
    </w:div>
    <w:div w:id="573205073">
      <w:marLeft w:val="0"/>
      <w:marRight w:val="0"/>
      <w:marTop w:val="0"/>
      <w:marBottom w:val="0"/>
      <w:divBdr>
        <w:top w:val="none" w:sz="0" w:space="0" w:color="auto"/>
        <w:left w:val="none" w:sz="0" w:space="0" w:color="auto"/>
        <w:bottom w:val="none" w:sz="0" w:space="0" w:color="auto"/>
        <w:right w:val="none" w:sz="0" w:space="0" w:color="auto"/>
      </w:divBdr>
    </w:div>
    <w:div w:id="573205074">
      <w:marLeft w:val="0"/>
      <w:marRight w:val="0"/>
      <w:marTop w:val="0"/>
      <w:marBottom w:val="0"/>
      <w:divBdr>
        <w:top w:val="none" w:sz="0" w:space="0" w:color="auto"/>
        <w:left w:val="none" w:sz="0" w:space="0" w:color="auto"/>
        <w:bottom w:val="none" w:sz="0" w:space="0" w:color="auto"/>
        <w:right w:val="none" w:sz="0" w:space="0" w:color="auto"/>
      </w:divBdr>
    </w:div>
    <w:div w:id="573205075">
      <w:marLeft w:val="0"/>
      <w:marRight w:val="0"/>
      <w:marTop w:val="0"/>
      <w:marBottom w:val="0"/>
      <w:divBdr>
        <w:top w:val="none" w:sz="0" w:space="0" w:color="auto"/>
        <w:left w:val="none" w:sz="0" w:space="0" w:color="auto"/>
        <w:bottom w:val="none" w:sz="0" w:space="0" w:color="auto"/>
        <w:right w:val="none" w:sz="0" w:space="0" w:color="auto"/>
      </w:divBdr>
    </w:div>
    <w:div w:id="573205076">
      <w:marLeft w:val="0"/>
      <w:marRight w:val="0"/>
      <w:marTop w:val="0"/>
      <w:marBottom w:val="0"/>
      <w:divBdr>
        <w:top w:val="none" w:sz="0" w:space="0" w:color="auto"/>
        <w:left w:val="none" w:sz="0" w:space="0" w:color="auto"/>
        <w:bottom w:val="none" w:sz="0" w:space="0" w:color="auto"/>
        <w:right w:val="none" w:sz="0" w:space="0" w:color="auto"/>
      </w:divBdr>
    </w:div>
    <w:div w:id="573205077">
      <w:marLeft w:val="0"/>
      <w:marRight w:val="0"/>
      <w:marTop w:val="0"/>
      <w:marBottom w:val="0"/>
      <w:divBdr>
        <w:top w:val="none" w:sz="0" w:space="0" w:color="auto"/>
        <w:left w:val="none" w:sz="0" w:space="0" w:color="auto"/>
        <w:bottom w:val="none" w:sz="0" w:space="0" w:color="auto"/>
        <w:right w:val="none" w:sz="0" w:space="0" w:color="auto"/>
      </w:divBdr>
    </w:div>
    <w:div w:id="573205078">
      <w:marLeft w:val="0"/>
      <w:marRight w:val="0"/>
      <w:marTop w:val="0"/>
      <w:marBottom w:val="0"/>
      <w:divBdr>
        <w:top w:val="none" w:sz="0" w:space="0" w:color="auto"/>
        <w:left w:val="none" w:sz="0" w:space="0" w:color="auto"/>
        <w:bottom w:val="none" w:sz="0" w:space="0" w:color="auto"/>
        <w:right w:val="none" w:sz="0" w:space="0" w:color="auto"/>
      </w:divBdr>
    </w:div>
    <w:div w:id="573205079">
      <w:marLeft w:val="0"/>
      <w:marRight w:val="0"/>
      <w:marTop w:val="0"/>
      <w:marBottom w:val="0"/>
      <w:divBdr>
        <w:top w:val="none" w:sz="0" w:space="0" w:color="auto"/>
        <w:left w:val="none" w:sz="0" w:space="0" w:color="auto"/>
        <w:bottom w:val="none" w:sz="0" w:space="0" w:color="auto"/>
        <w:right w:val="none" w:sz="0" w:space="0" w:color="auto"/>
      </w:divBdr>
    </w:div>
    <w:div w:id="573205080">
      <w:marLeft w:val="0"/>
      <w:marRight w:val="0"/>
      <w:marTop w:val="0"/>
      <w:marBottom w:val="0"/>
      <w:divBdr>
        <w:top w:val="none" w:sz="0" w:space="0" w:color="auto"/>
        <w:left w:val="none" w:sz="0" w:space="0" w:color="auto"/>
        <w:bottom w:val="none" w:sz="0" w:space="0" w:color="auto"/>
        <w:right w:val="none" w:sz="0" w:space="0" w:color="auto"/>
      </w:divBdr>
    </w:div>
    <w:div w:id="573205081">
      <w:marLeft w:val="0"/>
      <w:marRight w:val="0"/>
      <w:marTop w:val="0"/>
      <w:marBottom w:val="0"/>
      <w:divBdr>
        <w:top w:val="none" w:sz="0" w:space="0" w:color="auto"/>
        <w:left w:val="none" w:sz="0" w:space="0" w:color="auto"/>
        <w:bottom w:val="none" w:sz="0" w:space="0" w:color="auto"/>
        <w:right w:val="none" w:sz="0" w:space="0" w:color="auto"/>
      </w:divBdr>
    </w:div>
    <w:div w:id="573205082">
      <w:marLeft w:val="0"/>
      <w:marRight w:val="0"/>
      <w:marTop w:val="0"/>
      <w:marBottom w:val="0"/>
      <w:divBdr>
        <w:top w:val="none" w:sz="0" w:space="0" w:color="auto"/>
        <w:left w:val="none" w:sz="0" w:space="0" w:color="auto"/>
        <w:bottom w:val="none" w:sz="0" w:space="0" w:color="auto"/>
        <w:right w:val="none" w:sz="0" w:space="0" w:color="auto"/>
      </w:divBdr>
    </w:div>
    <w:div w:id="573205083">
      <w:marLeft w:val="0"/>
      <w:marRight w:val="0"/>
      <w:marTop w:val="0"/>
      <w:marBottom w:val="0"/>
      <w:divBdr>
        <w:top w:val="none" w:sz="0" w:space="0" w:color="auto"/>
        <w:left w:val="none" w:sz="0" w:space="0" w:color="auto"/>
        <w:bottom w:val="none" w:sz="0" w:space="0" w:color="auto"/>
        <w:right w:val="none" w:sz="0" w:space="0" w:color="auto"/>
      </w:divBdr>
    </w:div>
    <w:div w:id="573205084">
      <w:marLeft w:val="0"/>
      <w:marRight w:val="0"/>
      <w:marTop w:val="0"/>
      <w:marBottom w:val="0"/>
      <w:divBdr>
        <w:top w:val="none" w:sz="0" w:space="0" w:color="auto"/>
        <w:left w:val="none" w:sz="0" w:space="0" w:color="auto"/>
        <w:bottom w:val="none" w:sz="0" w:space="0" w:color="auto"/>
        <w:right w:val="none" w:sz="0" w:space="0" w:color="auto"/>
      </w:divBdr>
    </w:div>
    <w:div w:id="573205085">
      <w:marLeft w:val="0"/>
      <w:marRight w:val="0"/>
      <w:marTop w:val="0"/>
      <w:marBottom w:val="0"/>
      <w:divBdr>
        <w:top w:val="none" w:sz="0" w:space="0" w:color="auto"/>
        <w:left w:val="none" w:sz="0" w:space="0" w:color="auto"/>
        <w:bottom w:val="none" w:sz="0" w:space="0" w:color="auto"/>
        <w:right w:val="none" w:sz="0" w:space="0" w:color="auto"/>
      </w:divBdr>
    </w:div>
    <w:div w:id="573205086">
      <w:marLeft w:val="0"/>
      <w:marRight w:val="0"/>
      <w:marTop w:val="0"/>
      <w:marBottom w:val="0"/>
      <w:divBdr>
        <w:top w:val="none" w:sz="0" w:space="0" w:color="auto"/>
        <w:left w:val="none" w:sz="0" w:space="0" w:color="auto"/>
        <w:bottom w:val="none" w:sz="0" w:space="0" w:color="auto"/>
        <w:right w:val="none" w:sz="0" w:space="0" w:color="auto"/>
      </w:divBdr>
    </w:div>
    <w:div w:id="573205087">
      <w:marLeft w:val="0"/>
      <w:marRight w:val="0"/>
      <w:marTop w:val="0"/>
      <w:marBottom w:val="0"/>
      <w:divBdr>
        <w:top w:val="none" w:sz="0" w:space="0" w:color="auto"/>
        <w:left w:val="none" w:sz="0" w:space="0" w:color="auto"/>
        <w:bottom w:val="none" w:sz="0" w:space="0" w:color="auto"/>
        <w:right w:val="none" w:sz="0" w:space="0" w:color="auto"/>
      </w:divBdr>
    </w:div>
    <w:div w:id="573205088">
      <w:marLeft w:val="0"/>
      <w:marRight w:val="0"/>
      <w:marTop w:val="0"/>
      <w:marBottom w:val="0"/>
      <w:divBdr>
        <w:top w:val="none" w:sz="0" w:space="0" w:color="auto"/>
        <w:left w:val="none" w:sz="0" w:space="0" w:color="auto"/>
        <w:bottom w:val="none" w:sz="0" w:space="0" w:color="auto"/>
        <w:right w:val="none" w:sz="0" w:space="0" w:color="auto"/>
      </w:divBdr>
    </w:div>
    <w:div w:id="573205089">
      <w:marLeft w:val="0"/>
      <w:marRight w:val="0"/>
      <w:marTop w:val="0"/>
      <w:marBottom w:val="0"/>
      <w:divBdr>
        <w:top w:val="none" w:sz="0" w:space="0" w:color="auto"/>
        <w:left w:val="none" w:sz="0" w:space="0" w:color="auto"/>
        <w:bottom w:val="none" w:sz="0" w:space="0" w:color="auto"/>
        <w:right w:val="none" w:sz="0" w:space="0" w:color="auto"/>
      </w:divBdr>
    </w:div>
    <w:div w:id="573205090">
      <w:marLeft w:val="0"/>
      <w:marRight w:val="0"/>
      <w:marTop w:val="0"/>
      <w:marBottom w:val="0"/>
      <w:divBdr>
        <w:top w:val="none" w:sz="0" w:space="0" w:color="auto"/>
        <w:left w:val="none" w:sz="0" w:space="0" w:color="auto"/>
        <w:bottom w:val="none" w:sz="0" w:space="0" w:color="auto"/>
        <w:right w:val="none" w:sz="0" w:space="0" w:color="auto"/>
      </w:divBdr>
    </w:div>
    <w:div w:id="573205091">
      <w:marLeft w:val="0"/>
      <w:marRight w:val="0"/>
      <w:marTop w:val="0"/>
      <w:marBottom w:val="0"/>
      <w:divBdr>
        <w:top w:val="none" w:sz="0" w:space="0" w:color="auto"/>
        <w:left w:val="none" w:sz="0" w:space="0" w:color="auto"/>
        <w:bottom w:val="none" w:sz="0" w:space="0" w:color="auto"/>
        <w:right w:val="none" w:sz="0" w:space="0" w:color="auto"/>
      </w:divBdr>
    </w:div>
    <w:div w:id="573205092">
      <w:marLeft w:val="0"/>
      <w:marRight w:val="0"/>
      <w:marTop w:val="0"/>
      <w:marBottom w:val="0"/>
      <w:divBdr>
        <w:top w:val="none" w:sz="0" w:space="0" w:color="auto"/>
        <w:left w:val="none" w:sz="0" w:space="0" w:color="auto"/>
        <w:bottom w:val="none" w:sz="0" w:space="0" w:color="auto"/>
        <w:right w:val="none" w:sz="0" w:space="0" w:color="auto"/>
      </w:divBdr>
    </w:div>
    <w:div w:id="573205093">
      <w:marLeft w:val="0"/>
      <w:marRight w:val="0"/>
      <w:marTop w:val="0"/>
      <w:marBottom w:val="0"/>
      <w:divBdr>
        <w:top w:val="none" w:sz="0" w:space="0" w:color="auto"/>
        <w:left w:val="none" w:sz="0" w:space="0" w:color="auto"/>
        <w:bottom w:val="none" w:sz="0" w:space="0" w:color="auto"/>
        <w:right w:val="none" w:sz="0" w:space="0" w:color="auto"/>
      </w:divBdr>
    </w:div>
    <w:div w:id="573205094">
      <w:marLeft w:val="0"/>
      <w:marRight w:val="0"/>
      <w:marTop w:val="0"/>
      <w:marBottom w:val="0"/>
      <w:divBdr>
        <w:top w:val="none" w:sz="0" w:space="0" w:color="auto"/>
        <w:left w:val="none" w:sz="0" w:space="0" w:color="auto"/>
        <w:bottom w:val="none" w:sz="0" w:space="0" w:color="auto"/>
        <w:right w:val="none" w:sz="0" w:space="0" w:color="auto"/>
      </w:divBdr>
    </w:div>
    <w:div w:id="573205095">
      <w:marLeft w:val="0"/>
      <w:marRight w:val="0"/>
      <w:marTop w:val="0"/>
      <w:marBottom w:val="0"/>
      <w:divBdr>
        <w:top w:val="none" w:sz="0" w:space="0" w:color="auto"/>
        <w:left w:val="none" w:sz="0" w:space="0" w:color="auto"/>
        <w:bottom w:val="none" w:sz="0" w:space="0" w:color="auto"/>
        <w:right w:val="none" w:sz="0" w:space="0" w:color="auto"/>
      </w:divBdr>
    </w:div>
    <w:div w:id="573205096">
      <w:marLeft w:val="0"/>
      <w:marRight w:val="0"/>
      <w:marTop w:val="0"/>
      <w:marBottom w:val="0"/>
      <w:divBdr>
        <w:top w:val="none" w:sz="0" w:space="0" w:color="auto"/>
        <w:left w:val="none" w:sz="0" w:space="0" w:color="auto"/>
        <w:bottom w:val="none" w:sz="0" w:space="0" w:color="auto"/>
        <w:right w:val="none" w:sz="0" w:space="0" w:color="auto"/>
      </w:divBdr>
    </w:div>
    <w:div w:id="573205097">
      <w:marLeft w:val="0"/>
      <w:marRight w:val="0"/>
      <w:marTop w:val="0"/>
      <w:marBottom w:val="0"/>
      <w:divBdr>
        <w:top w:val="none" w:sz="0" w:space="0" w:color="auto"/>
        <w:left w:val="none" w:sz="0" w:space="0" w:color="auto"/>
        <w:bottom w:val="none" w:sz="0" w:space="0" w:color="auto"/>
        <w:right w:val="none" w:sz="0" w:space="0" w:color="auto"/>
      </w:divBdr>
    </w:div>
    <w:div w:id="573205098">
      <w:marLeft w:val="0"/>
      <w:marRight w:val="0"/>
      <w:marTop w:val="0"/>
      <w:marBottom w:val="0"/>
      <w:divBdr>
        <w:top w:val="none" w:sz="0" w:space="0" w:color="auto"/>
        <w:left w:val="none" w:sz="0" w:space="0" w:color="auto"/>
        <w:bottom w:val="none" w:sz="0" w:space="0" w:color="auto"/>
        <w:right w:val="none" w:sz="0" w:space="0" w:color="auto"/>
      </w:divBdr>
    </w:div>
    <w:div w:id="573205099">
      <w:marLeft w:val="0"/>
      <w:marRight w:val="0"/>
      <w:marTop w:val="0"/>
      <w:marBottom w:val="0"/>
      <w:divBdr>
        <w:top w:val="none" w:sz="0" w:space="0" w:color="auto"/>
        <w:left w:val="none" w:sz="0" w:space="0" w:color="auto"/>
        <w:bottom w:val="none" w:sz="0" w:space="0" w:color="auto"/>
        <w:right w:val="none" w:sz="0" w:space="0" w:color="auto"/>
      </w:divBdr>
    </w:div>
    <w:div w:id="573205100">
      <w:marLeft w:val="0"/>
      <w:marRight w:val="0"/>
      <w:marTop w:val="0"/>
      <w:marBottom w:val="0"/>
      <w:divBdr>
        <w:top w:val="none" w:sz="0" w:space="0" w:color="auto"/>
        <w:left w:val="none" w:sz="0" w:space="0" w:color="auto"/>
        <w:bottom w:val="none" w:sz="0" w:space="0" w:color="auto"/>
        <w:right w:val="none" w:sz="0" w:space="0" w:color="auto"/>
      </w:divBdr>
    </w:div>
    <w:div w:id="573205101">
      <w:marLeft w:val="0"/>
      <w:marRight w:val="0"/>
      <w:marTop w:val="0"/>
      <w:marBottom w:val="0"/>
      <w:divBdr>
        <w:top w:val="none" w:sz="0" w:space="0" w:color="auto"/>
        <w:left w:val="none" w:sz="0" w:space="0" w:color="auto"/>
        <w:bottom w:val="none" w:sz="0" w:space="0" w:color="auto"/>
        <w:right w:val="none" w:sz="0" w:space="0" w:color="auto"/>
      </w:divBdr>
    </w:div>
    <w:div w:id="573205102">
      <w:marLeft w:val="0"/>
      <w:marRight w:val="0"/>
      <w:marTop w:val="0"/>
      <w:marBottom w:val="0"/>
      <w:divBdr>
        <w:top w:val="none" w:sz="0" w:space="0" w:color="auto"/>
        <w:left w:val="none" w:sz="0" w:space="0" w:color="auto"/>
        <w:bottom w:val="none" w:sz="0" w:space="0" w:color="auto"/>
        <w:right w:val="none" w:sz="0" w:space="0" w:color="auto"/>
      </w:divBdr>
    </w:div>
    <w:div w:id="573205103">
      <w:marLeft w:val="0"/>
      <w:marRight w:val="0"/>
      <w:marTop w:val="0"/>
      <w:marBottom w:val="0"/>
      <w:divBdr>
        <w:top w:val="none" w:sz="0" w:space="0" w:color="auto"/>
        <w:left w:val="none" w:sz="0" w:space="0" w:color="auto"/>
        <w:bottom w:val="none" w:sz="0" w:space="0" w:color="auto"/>
        <w:right w:val="none" w:sz="0" w:space="0" w:color="auto"/>
      </w:divBdr>
    </w:div>
    <w:div w:id="573205104">
      <w:marLeft w:val="0"/>
      <w:marRight w:val="0"/>
      <w:marTop w:val="0"/>
      <w:marBottom w:val="0"/>
      <w:divBdr>
        <w:top w:val="none" w:sz="0" w:space="0" w:color="auto"/>
        <w:left w:val="none" w:sz="0" w:space="0" w:color="auto"/>
        <w:bottom w:val="none" w:sz="0" w:space="0" w:color="auto"/>
        <w:right w:val="none" w:sz="0" w:space="0" w:color="auto"/>
      </w:divBdr>
    </w:div>
    <w:div w:id="573205105">
      <w:marLeft w:val="0"/>
      <w:marRight w:val="0"/>
      <w:marTop w:val="0"/>
      <w:marBottom w:val="0"/>
      <w:divBdr>
        <w:top w:val="none" w:sz="0" w:space="0" w:color="auto"/>
        <w:left w:val="none" w:sz="0" w:space="0" w:color="auto"/>
        <w:bottom w:val="none" w:sz="0" w:space="0" w:color="auto"/>
        <w:right w:val="none" w:sz="0" w:space="0" w:color="auto"/>
      </w:divBdr>
    </w:div>
    <w:div w:id="573205106">
      <w:marLeft w:val="0"/>
      <w:marRight w:val="0"/>
      <w:marTop w:val="0"/>
      <w:marBottom w:val="0"/>
      <w:divBdr>
        <w:top w:val="none" w:sz="0" w:space="0" w:color="auto"/>
        <w:left w:val="none" w:sz="0" w:space="0" w:color="auto"/>
        <w:bottom w:val="none" w:sz="0" w:space="0" w:color="auto"/>
        <w:right w:val="none" w:sz="0" w:space="0" w:color="auto"/>
      </w:divBdr>
    </w:div>
    <w:div w:id="573205107">
      <w:marLeft w:val="0"/>
      <w:marRight w:val="0"/>
      <w:marTop w:val="0"/>
      <w:marBottom w:val="0"/>
      <w:divBdr>
        <w:top w:val="none" w:sz="0" w:space="0" w:color="auto"/>
        <w:left w:val="none" w:sz="0" w:space="0" w:color="auto"/>
        <w:bottom w:val="none" w:sz="0" w:space="0" w:color="auto"/>
        <w:right w:val="none" w:sz="0" w:space="0" w:color="auto"/>
      </w:divBdr>
    </w:div>
    <w:div w:id="573205108">
      <w:marLeft w:val="0"/>
      <w:marRight w:val="0"/>
      <w:marTop w:val="0"/>
      <w:marBottom w:val="0"/>
      <w:divBdr>
        <w:top w:val="none" w:sz="0" w:space="0" w:color="auto"/>
        <w:left w:val="none" w:sz="0" w:space="0" w:color="auto"/>
        <w:bottom w:val="none" w:sz="0" w:space="0" w:color="auto"/>
        <w:right w:val="none" w:sz="0" w:space="0" w:color="auto"/>
      </w:divBdr>
    </w:div>
    <w:div w:id="573205109">
      <w:marLeft w:val="0"/>
      <w:marRight w:val="0"/>
      <w:marTop w:val="0"/>
      <w:marBottom w:val="0"/>
      <w:divBdr>
        <w:top w:val="none" w:sz="0" w:space="0" w:color="auto"/>
        <w:left w:val="none" w:sz="0" w:space="0" w:color="auto"/>
        <w:bottom w:val="none" w:sz="0" w:space="0" w:color="auto"/>
        <w:right w:val="none" w:sz="0" w:space="0" w:color="auto"/>
      </w:divBdr>
    </w:div>
    <w:div w:id="573205110">
      <w:marLeft w:val="0"/>
      <w:marRight w:val="0"/>
      <w:marTop w:val="0"/>
      <w:marBottom w:val="0"/>
      <w:divBdr>
        <w:top w:val="none" w:sz="0" w:space="0" w:color="auto"/>
        <w:left w:val="none" w:sz="0" w:space="0" w:color="auto"/>
        <w:bottom w:val="none" w:sz="0" w:space="0" w:color="auto"/>
        <w:right w:val="none" w:sz="0" w:space="0" w:color="auto"/>
      </w:divBdr>
    </w:div>
    <w:div w:id="573205111">
      <w:marLeft w:val="0"/>
      <w:marRight w:val="0"/>
      <w:marTop w:val="0"/>
      <w:marBottom w:val="0"/>
      <w:divBdr>
        <w:top w:val="none" w:sz="0" w:space="0" w:color="auto"/>
        <w:left w:val="none" w:sz="0" w:space="0" w:color="auto"/>
        <w:bottom w:val="none" w:sz="0" w:space="0" w:color="auto"/>
        <w:right w:val="none" w:sz="0" w:space="0" w:color="auto"/>
      </w:divBdr>
    </w:div>
    <w:div w:id="573205112">
      <w:marLeft w:val="0"/>
      <w:marRight w:val="0"/>
      <w:marTop w:val="0"/>
      <w:marBottom w:val="0"/>
      <w:divBdr>
        <w:top w:val="none" w:sz="0" w:space="0" w:color="auto"/>
        <w:left w:val="none" w:sz="0" w:space="0" w:color="auto"/>
        <w:bottom w:val="none" w:sz="0" w:space="0" w:color="auto"/>
        <w:right w:val="none" w:sz="0" w:space="0" w:color="auto"/>
      </w:divBdr>
    </w:div>
    <w:div w:id="598611299">
      <w:bodyDiv w:val="1"/>
      <w:marLeft w:val="0"/>
      <w:marRight w:val="0"/>
      <w:marTop w:val="0"/>
      <w:marBottom w:val="0"/>
      <w:divBdr>
        <w:top w:val="none" w:sz="0" w:space="0" w:color="auto"/>
        <w:left w:val="none" w:sz="0" w:space="0" w:color="auto"/>
        <w:bottom w:val="none" w:sz="0" w:space="0" w:color="auto"/>
        <w:right w:val="none" w:sz="0" w:space="0" w:color="auto"/>
      </w:divBdr>
    </w:div>
    <w:div w:id="619262029">
      <w:bodyDiv w:val="1"/>
      <w:marLeft w:val="0"/>
      <w:marRight w:val="0"/>
      <w:marTop w:val="0"/>
      <w:marBottom w:val="0"/>
      <w:divBdr>
        <w:top w:val="none" w:sz="0" w:space="0" w:color="auto"/>
        <w:left w:val="none" w:sz="0" w:space="0" w:color="auto"/>
        <w:bottom w:val="none" w:sz="0" w:space="0" w:color="auto"/>
        <w:right w:val="none" w:sz="0" w:space="0" w:color="auto"/>
      </w:divBdr>
    </w:div>
    <w:div w:id="695470044">
      <w:bodyDiv w:val="1"/>
      <w:marLeft w:val="0"/>
      <w:marRight w:val="0"/>
      <w:marTop w:val="0"/>
      <w:marBottom w:val="0"/>
      <w:divBdr>
        <w:top w:val="none" w:sz="0" w:space="0" w:color="auto"/>
        <w:left w:val="none" w:sz="0" w:space="0" w:color="auto"/>
        <w:bottom w:val="none" w:sz="0" w:space="0" w:color="auto"/>
        <w:right w:val="none" w:sz="0" w:space="0" w:color="auto"/>
      </w:divBdr>
    </w:div>
    <w:div w:id="705836904">
      <w:bodyDiv w:val="1"/>
      <w:marLeft w:val="0"/>
      <w:marRight w:val="0"/>
      <w:marTop w:val="0"/>
      <w:marBottom w:val="0"/>
      <w:divBdr>
        <w:top w:val="none" w:sz="0" w:space="0" w:color="auto"/>
        <w:left w:val="none" w:sz="0" w:space="0" w:color="auto"/>
        <w:bottom w:val="none" w:sz="0" w:space="0" w:color="auto"/>
        <w:right w:val="none" w:sz="0" w:space="0" w:color="auto"/>
      </w:divBdr>
    </w:div>
    <w:div w:id="844517565">
      <w:bodyDiv w:val="1"/>
      <w:marLeft w:val="0"/>
      <w:marRight w:val="0"/>
      <w:marTop w:val="0"/>
      <w:marBottom w:val="0"/>
      <w:divBdr>
        <w:top w:val="none" w:sz="0" w:space="0" w:color="auto"/>
        <w:left w:val="none" w:sz="0" w:space="0" w:color="auto"/>
        <w:bottom w:val="none" w:sz="0" w:space="0" w:color="auto"/>
        <w:right w:val="none" w:sz="0" w:space="0" w:color="auto"/>
      </w:divBdr>
    </w:div>
    <w:div w:id="851650416">
      <w:bodyDiv w:val="1"/>
      <w:marLeft w:val="0"/>
      <w:marRight w:val="0"/>
      <w:marTop w:val="0"/>
      <w:marBottom w:val="0"/>
      <w:divBdr>
        <w:top w:val="none" w:sz="0" w:space="0" w:color="auto"/>
        <w:left w:val="none" w:sz="0" w:space="0" w:color="auto"/>
        <w:bottom w:val="none" w:sz="0" w:space="0" w:color="auto"/>
        <w:right w:val="none" w:sz="0" w:space="0" w:color="auto"/>
      </w:divBdr>
    </w:div>
    <w:div w:id="901984355">
      <w:bodyDiv w:val="1"/>
      <w:marLeft w:val="0"/>
      <w:marRight w:val="0"/>
      <w:marTop w:val="0"/>
      <w:marBottom w:val="0"/>
      <w:divBdr>
        <w:top w:val="none" w:sz="0" w:space="0" w:color="auto"/>
        <w:left w:val="none" w:sz="0" w:space="0" w:color="auto"/>
        <w:bottom w:val="none" w:sz="0" w:space="0" w:color="auto"/>
        <w:right w:val="none" w:sz="0" w:space="0" w:color="auto"/>
      </w:divBdr>
    </w:div>
    <w:div w:id="1095325239">
      <w:bodyDiv w:val="1"/>
      <w:marLeft w:val="0"/>
      <w:marRight w:val="0"/>
      <w:marTop w:val="0"/>
      <w:marBottom w:val="0"/>
      <w:divBdr>
        <w:top w:val="none" w:sz="0" w:space="0" w:color="auto"/>
        <w:left w:val="none" w:sz="0" w:space="0" w:color="auto"/>
        <w:bottom w:val="none" w:sz="0" w:space="0" w:color="auto"/>
        <w:right w:val="none" w:sz="0" w:space="0" w:color="auto"/>
      </w:divBdr>
    </w:div>
    <w:div w:id="1137185321">
      <w:bodyDiv w:val="1"/>
      <w:marLeft w:val="0"/>
      <w:marRight w:val="0"/>
      <w:marTop w:val="0"/>
      <w:marBottom w:val="0"/>
      <w:divBdr>
        <w:top w:val="none" w:sz="0" w:space="0" w:color="auto"/>
        <w:left w:val="none" w:sz="0" w:space="0" w:color="auto"/>
        <w:bottom w:val="none" w:sz="0" w:space="0" w:color="auto"/>
        <w:right w:val="none" w:sz="0" w:space="0" w:color="auto"/>
      </w:divBdr>
    </w:div>
    <w:div w:id="1170949670">
      <w:bodyDiv w:val="1"/>
      <w:marLeft w:val="0"/>
      <w:marRight w:val="0"/>
      <w:marTop w:val="0"/>
      <w:marBottom w:val="0"/>
      <w:divBdr>
        <w:top w:val="none" w:sz="0" w:space="0" w:color="auto"/>
        <w:left w:val="none" w:sz="0" w:space="0" w:color="auto"/>
        <w:bottom w:val="none" w:sz="0" w:space="0" w:color="auto"/>
        <w:right w:val="none" w:sz="0" w:space="0" w:color="auto"/>
      </w:divBdr>
    </w:div>
    <w:div w:id="1401249316">
      <w:bodyDiv w:val="1"/>
      <w:marLeft w:val="0"/>
      <w:marRight w:val="0"/>
      <w:marTop w:val="0"/>
      <w:marBottom w:val="0"/>
      <w:divBdr>
        <w:top w:val="none" w:sz="0" w:space="0" w:color="auto"/>
        <w:left w:val="none" w:sz="0" w:space="0" w:color="auto"/>
        <w:bottom w:val="none" w:sz="0" w:space="0" w:color="auto"/>
        <w:right w:val="none" w:sz="0" w:space="0" w:color="auto"/>
      </w:divBdr>
    </w:div>
    <w:div w:id="1516646810">
      <w:bodyDiv w:val="1"/>
      <w:marLeft w:val="0"/>
      <w:marRight w:val="0"/>
      <w:marTop w:val="0"/>
      <w:marBottom w:val="0"/>
      <w:divBdr>
        <w:top w:val="none" w:sz="0" w:space="0" w:color="auto"/>
        <w:left w:val="none" w:sz="0" w:space="0" w:color="auto"/>
        <w:bottom w:val="none" w:sz="0" w:space="0" w:color="auto"/>
        <w:right w:val="none" w:sz="0" w:space="0" w:color="auto"/>
      </w:divBdr>
      <w:divsChild>
        <w:div w:id="1739089343">
          <w:marLeft w:val="0"/>
          <w:marRight w:val="0"/>
          <w:marTop w:val="0"/>
          <w:marBottom w:val="0"/>
          <w:divBdr>
            <w:top w:val="none" w:sz="0" w:space="0" w:color="auto"/>
            <w:left w:val="none" w:sz="0" w:space="0" w:color="auto"/>
            <w:bottom w:val="none" w:sz="0" w:space="0" w:color="auto"/>
            <w:right w:val="none" w:sz="0" w:space="0" w:color="auto"/>
          </w:divBdr>
        </w:div>
        <w:div w:id="1864132409">
          <w:marLeft w:val="0"/>
          <w:marRight w:val="0"/>
          <w:marTop w:val="0"/>
          <w:marBottom w:val="0"/>
          <w:divBdr>
            <w:top w:val="none" w:sz="0" w:space="0" w:color="auto"/>
            <w:left w:val="none" w:sz="0" w:space="0" w:color="auto"/>
            <w:bottom w:val="none" w:sz="0" w:space="0" w:color="auto"/>
            <w:right w:val="none" w:sz="0" w:space="0" w:color="auto"/>
          </w:divBdr>
        </w:div>
        <w:div w:id="511456503">
          <w:marLeft w:val="0"/>
          <w:marRight w:val="0"/>
          <w:marTop w:val="0"/>
          <w:marBottom w:val="0"/>
          <w:divBdr>
            <w:top w:val="none" w:sz="0" w:space="0" w:color="auto"/>
            <w:left w:val="none" w:sz="0" w:space="0" w:color="auto"/>
            <w:bottom w:val="none" w:sz="0" w:space="0" w:color="auto"/>
            <w:right w:val="none" w:sz="0" w:space="0" w:color="auto"/>
          </w:divBdr>
        </w:div>
        <w:div w:id="95947276">
          <w:marLeft w:val="0"/>
          <w:marRight w:val="0"/>
          <w:marTop w:val="0"/>
          <w:marBottom w:val="0"/>
          <w:divBdr>
            <w:top w:val="none" w:sz="0" w:space="0" w:color="auto"/>
            <w:left w:val="none" w:sz="0" w:space="0" w:color="auto"/>
            <w:bottom w:val="none" w:sz="0" w:space="0" w:color="auto"/>
            <w:right w:val="none" w:sz="0" w:space="0" w:color="auto"/>
          </w:divBdr>
        </w:div>
        <w:div w:id="101652657">
          <w:marLeft w:val="0"/>
          <w:marRight w:val="0"/>
          <w:marTop w:val="0"/>
          <w:marBottom w:val="0"/>
          <w:divBdr>
            <w:top w:val="none" w:sz="0" w:space="0" w:color="auto"/>
            <w:left w:val="none" w:sz="0" w:space="0" w:color="auto"/>
            <w:bottom w:val="none" w:sz="0" w:space="0" w:color="auto"/>
            <w:right w:val="none" w:sz="0" w:space="0" w:color="auto"/>
          </w:divBdr>
        </w:div>
        <w:div w:id="1041126804">
          <w:marLeft w:val="0"/>
          <w:marRight w:val="0"/>
          <w:marTop w:val="0"/>
          <w:marBottom w:val="0"/>
          <w:divBdr>
            <w:top w:val="none" w:sz="0" w:space="0" w:color="auto"/>
            <w:left w:val="none" w:sz="0" w:space="0" w:color="auto"/>
            <w:bottom w:val="none" w:sz="0" w:space="0" w:color="auto"/>
            <w:right w:val="none" w:sz="0" w:space="0" w:color="auto"/>
          </w:divBdr>
        </w:div>
        <w:div w:id="626620497">
          <w:marLeft w:val="0"/>
          <w:marRight w:val="0"/>
          <w:marTop w:val="0"/>
          <w:marBottom w:val="0"/>
          <w:divBdr>
            <w:top w:val="none" w:sz="0" w:space="0" w:color="auto"/>
            <w:left w:val="none" w:sz="0" w:space="0" w:color="auto"/>
            <w:bottom w:val="none" w:sz="0" w:space="0" w:color="auto"/>
            <w:right w:val="none" w:sz="0" w:space="0" w:color="auto"/>
          </w:divBdr>
        </w:div>
        <w:div w:id="1556743576">
          <w:marLeft w:val="0"/>
          <w:marRight w:val="0"/>
          <w:marTop w:val="0"/>
          <w:marBottom w:val="0"/>
          <w:divBdr>
            <w:top w:val="none" w:sz="0" w:space="0" w:color="auto"/>
            <w:left w:val="none" w:sz="0" w:space="0" w:color="auto"/>
            <w:bottom w:val="none" w:sz="0" w:space="0" w:color="auto"/>
            <w:right w:val="none" w:sz="0" w:space="0" w:color="auto"/>
          </w:divBdr>
        </w:div>
        <w:div w:id="591821160">
          <w:marLeft w:val="0"/>
          <w:marRight w:val="0"/>
          <w:marTop w:val="0"/>
          <w:marBottom w:val="0"/>
          <w:divBdr>
            <w:top w:val="none" w:sz="0" w:space="0" w:color="auto"/>
            <w:left w:val="none" w:sz="0" w:space="0" w:color="auto"/>
            <w:bottom w:val="none" w:sz="0" w:space="0" w:color="auto"/>
            <w:right w:val="none" w:sz="0" w:space="0" w:color="auto"/>
          </w:divBdr>
        </w:div>
        <w:div w:id="990207753">
          <w:marLeft w:val="0"/>
          <w:marRight w:val="0"/>
          <w:marTop w:val="0"/>
          <w:marBottom w:val="0"/>
          <w:divBdr>
            <w:top w:val="none" w:sz="0" w:space="0" w:color="auto"/>
            <w:left w:val="none" w:sz="0" w:space="0" w:color="auto"/>
            <w:bottom w:val="none" w:sz="0" w:space="0" w:color="auto"/>
            <w:right w:val="none" w:sz="0" w:space="0" w:color="auto"/>
          </w:divBdr>
        </w:div>
        <w:div w:id="167715909">
          <w:marLeft w:val="0"/>
          <w:marRight w:val="0"/>
          <w:marTop w:val="0"/>
          <w:marBottom w:val="0"/>
          <w:divBdr>
            <w:top w:val="none" w:sz="0" w:space="0" w:color="auto"/>
            <w:left w:val="none" w:sz="0" w:space="0" w:color="auto"/>
            <w:bottom w:val="none" w:sz="0" w:space="0" w:color="auto"/>
            <w:right w:val="none" w:sz="0" w:space="0" w:color="auto"/>
          </w:divBdr>
        </w:div>
        <w:div w:id="1859611314">
          <w:marLeft w:val="0"/>
          <w:marRight w:val="0"/>
          <w:marTop w:val="0"/>
          <w:marBottom w:val="0"/>
          <w:divBdr>
            <w:top w:val="none" w:sz="0" w:space="0" w:color="auto"/>
            <w:left w:val="none" w:sz="0" w:space="0" w:color="auto"/>
            <w:bottom w:val="none" w:sz="0" w:space="0" w:color="auto"/>
            <w:right w:val="none" w:sz="0" w:space="0" w:color="auto"/>
          </w:divBdr>
        </w:div>
      </w:divsChild>
    </w:div>
    <w:div w:id="1546523149">
      <w:bodyDiv w:val="1"/>
      <w:marLeft w:val="0"/>
      <w:marRight w:val="0"/>
      <w:marTop w:val="0"/>
      <w:marBottom w:val="0"/>
      <w:divBdr>
        <w:top w:val="none" w:sz="0" w:space="0" w:color="auto"/>
        <w:left w:val="none" w:sz="0" w:space="0" w:color="auto"/>
        <w:bottom w:val="none" w:sz="0" w:space="0" w:color="auto"/>
        <w:right w:val="none" w:sz="0" w:space="0" w:color="auto"/>
      </w:divBdr>
    </w:div>
    <w:div w:id="1575045800">
      <w:bodyDiv w:val="1"/>
      <w:marLeft w:val="0"/>
      <w:marRight w:val="0"/>
      <w:marTop w:val="0"/>
      <w:marBottom w:val="0"/>
      <w:divBdr>
        <w:top w:val="none" w:sz="0" w:space="0" w:color="auto"/>
        <w:left w:val="none" w:sz="0" w:space="0" w:color="auto"/>
        <w:bottom w:val="none" w:sz="0" w:space="0" w:color="auto"/>
        <w:right w:val="none" w:sz="0" w:space="0" w:color="auto"/>
      </w:divBdr>
    </w:div>
    <w:div w:id="1576238586">
      <w:bodyDiv w:val="1"/>
      <w:marLeft w:val="0"/>
      <w:marRight w:val="0"/>
      <w:marTop w:val="0"/>
      <w:marBottom w:val="0"/>
      <w:divBdr>
        <w:top w:val="none" w:sz="0" w:space="0" w:color="auto"/>
        <w:left w:val="none" w:sz="0" w:space="0" w:color="auto"/>
        <w:bottom w:val="none" w:sz="0" w:space="0" w:color="auto"/>
        <w:right w:val="none" w:sz="0" w:space="0" w:color="auto"/>
      </w:divBdr>
    </w:div>
    <w:div w:id="1585601529">
      <w:bodyDiv w:val="1"/>
      <w:marLeft w:val="0"/>
      <w:marRight w:val="0"/>
      <w:marTop w:val="0"/>
      <w:marBottom w:val="0"/>
      <w:divBdr>
        <w:top w:val="none" w:sz="0" w:space="0" w:color="auto"/>
        <w:left w:val="none" w:sz="0" w:space="0" w:color="auto"/>
        <w:bottom w:val="none" w:sz="0" w:space="0" w:color="auto"/>
        <w:right w:val="none" w:sz="0" w:space="0" w:color="auto"/>
      </w:divBdr>
    </w:div>
    <w:div w:id="1588415418">
      <w:bodyDiv w:val="1"/>
      <w:marLeft w:val="0"/>
      <w:marRight w:val="0"/>
      <w:marTop w:val="0"/>
      <w:marBottom w:val="0"/>
      <w:divBdr>
        <w:top w:val="none" w:sz="0" w:space="0" w:color="auto"/>
        <w:left w:val="none" w:sz="0" w:space="0" w:color="auto"/>
        <w:bottom w:val="none" w:sz="0" w:space="0" w:color="auto"/>
        <w:right w:val="none" w:sz="0" w:space="0" w:color="auto"/>
      </w:divBdr>
    </w:div>
    <w:div w:id="1598249709">
      <w:bodyDiv w:val="1"/>
      <w:marLeft w:val="0"/>
      <w:marRight w:val="0"/>
      <w:marTop w:val="0"/>
      <w:marBottom w:val="0"/>
      <w:divBdr>
        <w:top w:val="none" w:sz="0" w:space="0" w:color="auto"/>
        <w:left w:val="none" w:sz="0" w:space="0" w:color="auto"/>
        <w:bottom w:val="none" w:sz="0" w:space="0" w:color="auto"/>
        <w:right w:val="none" w:sz="0" w:space="0" w:color="auto"/>
      </w:divBdr>
    </w:div>
    <w:div w:id="1624074097">
      <w:bodyDiv w:val="1"/>
      <w:marLeft w:val="0"/>
      <w:marRight w:val="0"/>
      <w:marTop w:val="0"/>
      <w:marBottom w:val="0"/>
      <w:divBdr>
        <w:top w:val="none" w:sz="0" w:space="0" w:color="auto"/>
        <w:left w:val="none" w:sz="0" w:space="0" w:color="auto"/>
        <w:bottom w:val="none" w:sz="0" w:space="0" w:color="auto"/>
        <w:right w:val="none" w:sz="0" w:space="0" w:color="auto"/>
      </w:divBdr>
    </w:div>
    <w:div w:id="1651516689">
      <w:bodyDiv w:val="1"/>
      <w:marLeft w:val="0"/>
      <w:marRight w:val="0"/>
      <w:marTop w:val="0"/>
      <w:marBottom w:val="0"/>
      <w:divBdr>
        <w:top w:val="none" w:sz="0" w:space="0" w:color="auto"/>
        <w:left w:val="none" w:sz="0" w:space="0" w:color="auto"/>
        <w:bottom w:val="none" w:sz="0" w:space="0" w:color="auto"/>
        <w:right w:val="none" w:sz="0" w:space="0" w:color="auto"/>
      </w:divBdr>
    </w:div>
    <w:div w:id="1805460299">
      <w:bodyDiv w:val="1"/>
      <w:marLeft w:val="0"/>
      <w:marRight w:val="0"/>
      <w:marTop w:val="0"/>
      <w:marBottom w:val="0"/>
      <w:divBdr>
        <w:top w:val="none" w:sz="0" w:space="0" w:color="auto"/>
        <w:left w:val="none" w:sz="0" w:space="0" w:color="auto"/>
        <w:bottom w:val="none" w:sz="0" w:space="0" w:color="auto"/>
        <w:right w:val="none" w:sz="0" w:space="0" w:color="auto"/>
      </w:divBdr>
    </w:div>
    <w:div w:id="1822651696">
      <w:bodyDiv w:val="1"/>
      <w:marLeft w:val="0"/>
      <w:marRight w:val="0"/>
      <w:marTop w:val="0"/>
      <w:marBottom w:val="0"/>
      <w:divBdr>
        <w:top w:val="none" w:sz="0" w:space="0" w:color="auto"/>
        <w:left w:val="none" w:sz="0" w:space="0" w:color="auto"/>
        <w:bottom w:val="none" w:sz="0" w:space="0" w:color="auto"/>
        <w:right w:val="none" w:sz="0" w:space="0" w:color="auto"/>
      </w:divBdr>
    </w:div>
    <w:div w:id="1823615222">
      <w:bodyDiv w:val="1"/>
      <w:marLeft w:val="0"/>
      <w:marRight w:val="0"/>
      <w:marTop w:val="0"/>
      <w:marBottom w:val="0"/>
      <w:divBdr>
        <w:top w:val="none" w:sz="0" w:space="0" w:color="auto"/>
        <w:left w:val="none" w:sz="0" w:space="0" w:color="auto"/>
        <w:bottom w:val="none" w:sz="0" w:space="0" w:color="auto"/>
        <w:right w:val="none" w:sz="0" w:space="0" w:color="auto"/>
      </w:divBdr>
    </w:div>
    <w:div w:id="1843008920">
      <w:bodyDiv w:val="1"/>
      <w:marLeft w:val="0"/>
      <w:marRight w:val="0"/>
      <w:marTop w:val="0"/>
      <w:marBottom w:val="0"/>
      <w:divBdr>
        <w:top w:val="none" w:sz="0" w:space="0" w:color="auto"/>
        <w:left w:val="none" w:sz="0" w:space="0" w:color="auto"/>
        <w:bottom w:val="none" w:sz="0" w:space="0" w:color="auto"/>
        <w:right w:val="none" w:sz="0" w:space="0" w:color="auto"/>
      </w:divBdr>
    </w:div>
    <w:div w:id="1977641482">
      <w:bodyDiv w:val="1"/>
      <w:marLeft w:val="0"/>
      <w:marRight w:val="0"/>
      <w:marTop w:val="0"/>
      <w:marBottom w:val="0"/>
      <w:divBdr>
        <w:top w:val="none" w:sz="0" w:space="0" w:color="auto"/>
        <w:left w:val="none" w:sz="0" w:space="0" w:color="auto"/>
        <w:bottom w:val="none" w:sz="0" w:space="0" w:color="auto"/>
        <w:right w:val="none" w:sz="0" w:space="0" w:color="auto"/>
      </w:divBdr>
    </w:div>
    <w:div w:id="2061592345">
      <w:bodyDiv w:val="1"/>
      <w:marLeft w:val="0"/>
      <w:marRight w:val="0"/>
      <w:marTop w:val="0"/>
      <w:marBottom w:val="0"/>
      <w:divBdr>
        <w:top w:val="none" w:sz="0" w:space="0" w:color="auto"/>
        <w:left w:val="none" w:sz="0" w:space="0" w:color="auto"/>
        <w:bottom w:val="none" w:sz="0" w:space="0" w:color="auto"/>
        <w:right w:val="none" w:sz="0" w:space="0" w:color="auto"/>
      </w:divBdr>
    </w:div>
    <w:div w:id="2088260072">
      <w:bodyDiv w:val="1"/>
      <w:marLeft w:val="0"/>
      <w:marRight w:val="0"/>
      <w:marTop w:val="0"/>
      <w:marBottom w:val="0"/>
      <w:divBdr>
        <w:top w:val="none" w:sz="0" w:space="0" w:color="auto"/>
        <w:left w:val="none" w:sz="0" w:space="0" w:color="auto"/>
        <w:bottom w:val="none" w:sz="0" w:space="0" w:color="auto"/>
        <w:right w:val="none" w:sz="0" w:space="0" w:color="auto"/>
      </w:divBdr>
    </w:div>
    <w:div w:id="21176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4D418-1819-41FA-A117-57439CE1A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27698</Words>
  <Characters>157885</Characters>
  <Application>Microsoft Office Word</Application>
  <DocSecurity>0</DocSecurity>
  <Lines>1315</Lines>
  <Paragraphs>370</Paragraphs>
  <ScaleCrop>false</ScaleCrop>
  <HeadingPairs>
    <vt:vector size="6" baseType="variant">
      <vt:variant>
        <vt:lpstr>Názov</vt:lpstr>
      </vt:variant>
      <vt:variant>
        <vt:i4>1</vt:i4>
      </vt:variant>
      <vt:variant>
        <vt:lpstr>Nadpisy</vt:lpstr>
      </vt:variant>
      <vt:variant>
        <vt:i4>11</vt:i4>
      </vt:variant>
      <vt:variant>
        <vt:lpstr>Title</vt:lpstr>
      </vt:variant>
      <vt:variant>
        <vt:i4>1</vt:i4>
      </vt:variant>
    </vt:vector>
  </HeadingPairs>
  <TitlesOfParts>
    <vt:vector size="13" baseType="lpstr">
      <vt:lpstr/>
      <vt:lpstr>Správa o hospodárení kapitoly</vt:lpstr>
      <vt:lpstr>    Súhrnná charakteristika kapitoly a  jej hospodárenia  v hodnotenom rozpočtovom r</vt:lpstr>
      <vt:lpstr>        Charakteristika činnosti kapitoly</vt:lpstr>
      <vt:lpstr>        Výsledok rozpočtového hospodárenia kapitoly</vt:lpstr>
      <vt:lpstr>        Zhodnotenie plnenia záväzných ukazovateľov rozpočtu kapitoly</vt:lpstr>
      <vt:lpstr>    Príjmy kapitoly							   v eurách</vt:lpstr>
      <vt:lpstr>        Príjmy kapitoly podľa ekonomickej klasifikácie</vt:lpstr>
      <vt:lpstr>        1.2.2.  Prostriedky prijaté z rozpočtu Európskej únie a iné prostriedky zo   zah</vt:lpstr>
      <vt:lpstr>    Výdavky kapitoly		</vt:lpstr>
      <vt:lpstr>    </vt:lpstr>
      <vt:lpstr>        1.3.1. 	Výdavky kapitoly podľa ekonomickej klasifikácie</vt:lpstr>
      <vt:lpstr/>
    </vt:vector>
  </TitlesOfParts>
  <Company>MH SR</Company>
  <LinksUpToDate>false</LinksUpToDate>
  <CharactersWithSpaces>185213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Rapant</dc:creator>
  <cp:lastModifiedBy>Kasickova Darina</cp:lastModifiedBy>
  <cp:revision>2</cp:revision>
  <cp:lastPrinted>2016-04-18T11:57:00Z</cp:lastPrinted>
  <dcterms:created xsi:type="dcterms:W3CDTF">2016-04-19T12:18:00Z</dcterms:created>
  <dcterms:modified xsi:type="dcterms:W3CDTF">2016-04-19T12:18:00Z</dcterms:modified>
</cp:coreProperties>
</file>