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ind w:left="720"/>
              <w:contextualSpacing/>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bookmarkStart w:id="0" w:name="_GoBack"/>
            <w:bookmarkEnd w:id="0"/>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644DE" w:rsidRPr="002644DE" w:rsidRDefault="002644DE" w:rsidP="002644DE">
      <w:pPr>
        <w:spacing w:after="0" w:line="240" w:lineRule="auto"/>
        <w:jc w:val="center"/>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lastRenderedPageBreak/>
        <w:t>Metodický postup pre analýzu sociálnych vplyvov</w:t>
      </w:r>
    </w:p>
    <w:p w:rsidR="002644DE" w:rsidRPr="002644DE" w:rsidRDefault="002644DE" w:rsidP="002644DE">
      <w:pPr>
        <w:spacing w:after="0" w:line="240" w:lineRule="auto"/>
        <w:jc w:val="both"/>
        <w:rPr>
          <w:rFonts w:ascii="Times New Roman" w:eastAsia="Times New Roman" w:hAnsi="Times New Roman" w:cs="Times New Roman"/>
          <w:b/>
          <w:sz w:val="24"/>
          <w:szCs w:val="24"/>
          <w:lang w:eastAsia="sk-SK"/>
        </w:rPr>
      </w:pPr>
    </w:p>
    <w:p w:rsidR="002644DE" w:rsidRPr="002644DE" w:rsidRDefault="002644DE" w:rsidP="002644DE">
      <w:pPr>
        <w:spacing w:after="240" w:line="240" w:lineRule="auto"/>
        <w:jc w:val="both"/>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Všeobecne</w:t>
      </w:r>
    </w:p>
    <w:p w:rsidR="002644DE" w:rsidRPr="002644DE" w:rsidRDefault="002644DE" w:rsidP="002644DE">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Hlavným dôvodom identifikovania sociálnych vplyvov a vypracovania analýzy sociálnych vplyvov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2644DE">
        <w:rPr>
          <w:rFonts w:ascii="Times New Roman" w:eastAsia="Times New Roman" w:hAnsi="Times New Roman" w:cs="Times New Roman"/>
          <w:sz w:val="24"/>
          <w:szCs w:val="24"/>
          <w:vertAlign w:val="superscript"/>
          <w:lang w:eastAsia="sk-SK"/>
        </w:rPr>
        <w:footnoteReference w:id="1"/>
      </w:r>
      <w:r w:rsidRPr="002644DE">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2644DE">
        <w:rPr>
          <w:rFonts w:ascii="Times New Roman" w:eastAsia="Times New Roman" w:hAnsi="Times New Roman" w:cs="Times New Roman"/>
          <w:sz w:val="20"/>
          <w:szCs w:val="20"/>
          <w:lang w:eastAsia="sk-SK"/>
        </w:rPr>
        <w:t xml:space="preserve"> </w:t>
      </w:r>
      <w:r w:rsidRPr="002644DE">
        <w:rPr>
          <w:rFonts w:ascii="Times New Roman" w:eastAsia="Times New Roman" w:hAnsi="Times New Roman" w:cs="Times New Roman"/>
          <w:sz w:val="24"/>
          <w:szCs w:val="24"/>
          <w:lang w:eastAsia="sk-SK"/>
        </w:rPr>
        <w:t>sociálnej inklúzie</w:t>
      </w:r>
      <w:r w:rsidRPr="002644DE">
        <w:rPr>
          <w:rFonts w:ascii="Times New Roman" w:eastAsia="Times New Roman" w:hAnsi="Times New Roman" w:cs="Times New Roman"/>
          <w:sz w:val="24"/>
          <w:szCs w:val="24"/>
          <w:vertAlign w:val="superscript"/>
          <w:lang w:eastAsia="sk-SK"/>
        </w:rPr>
        <w:footnoteReference w:id="2"/>
      </w:r>
      <w:r w:rsidRPr="002644DE">
        <w:rPr>
          <w:rFonts w:ascii="Times New Roman" w:eastAsia="Times New Roman" w:hAnsi="Times New Roman" w:cs="Times New Roman"/>
          <w:sz w:val="24"/>
          <w:szCs w:val="24"/>
          <w:lang w:eastAsia="sk-SK"/>
        </w:rPr>
        <w:t xml:space="preserve"> a kohézie</w:t>
      </w:r>
      <w:r w:rsidRPr="002644DE">
        <w:rPr>
          <w:rFonts w:ascii="Times New Roman" w:eastAsia="Times New Roman" w:hAnsi="Times New Roman" w:cs="Times New Roman"/>
          <w:i/>
          <w:sz w:val="20"/>
          <w:szCs w:val="20"/>
          <w:lang w:eastAsia="sk-SK"/>
        </w:rPr>
        <w:t>,</w:t>
      </w:r>
      <w:r w:rsidRPr="002644DE">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2644DE" w:rsidRPr="002644DE" w:rsidRDefault="002644DE" w:rsidP="002644DE">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szCs w:val="24"/>
          <w:lang w:eastAsia="sk-SK"/>
        </w:rPr>
        <w:tab/>
        <w:t>Pri vypracúvaní  analýzy sociálnych vplyvov môže predkladateľ vychádzať najmä z </w:t>
      </w:r>
      <w:r w:rsidRPr="002644DE">
        <w:rPr>
          <w:rFonts w:ascii="Times New Roman" w:eastAsia="Times New Roman" w:hAnsi="Times New Roman" w:cs="Times New Roman"/>
          <w:sz w:val="24"/>
          <w:lang w:eastAsia="sk-SK"/>
        </w:rPr>
        <w:t>nasledovných zdrojov údajov:</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Štatistika rodinných účtov</w:t>
      </w:r>
      <w:r w:rsidRPr="002644DE">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Zisťovanie o príjmoch a životných podmienkach domácností</w:t>
      </w:r>
      <w:r w:rsidRPr="002644DE">
        <w:rPr>
          <w:rFonts w:ascii="Times New Roman" w:eastAsia="Times New Roman" w:hAnsi="Times New Roman" w:cs="Times New Roman"/>
          <w:sz w:val="24"/>
          <w:lang w:eastAsia="sk-SK"/>
        </w:rPr>
        <w:t xml:space="preserve"> </w:t>
      </w:r>
      <w:r w:rsidRPr="002644DE">
        <w:rPr>
          <w:rFonts w:ascii="Times New Roman" w:eastAsia="Times New Roman" w:hAnsi="Times New Roman" w:cs="Times New Roman"/>
          <w:b/>
          <w:sz w:val="24"/>
          <w:lang w:eastAsia="sk-SK"/>
        </w:rPr>
        <w:t xml:space="preserve">EU SILC </w:t>
      </w:r>
      <w:r w:rsidRPr="002644DE">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r w:rsidRPr="002644DE">
        <w:t xml:space="preserve"> </w:t>
      </w:r>
      <w:r w:rsidRPr="002644DE">
        <w:rPr>
          <w:rFonts w:ascii="Times New Roman" w:eastAsia="Times New Roman" w:hAnsi="Times New Roman" w:cs="Times New Roman"/>
          <w:sz w:val="24"/>
          <w:lang w:eastAsia="sk-SK"/>
        </w:rPr>
        <w:t xml:space="preserve">Raz ročne Štatistický úrad SR vydáva aj  publikáciu EU SILC – Indikátory chudoby a sociálneho vylúčenia. </w:t>
      </w:r>
    </w:p>
    <w:p w:rsidR="002644DE" w:rsidRPr="002644DE" w:rsidRDefault="002644DE" w:rsidP="002644DE">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b/>
          <w:sz w:val="24"/>
          <w:szCs w:val="24"/>
          <w:lang w:eastAsia="sk-SK"/>
        </w:rPr>
        <w:t>Sčítanie obyvateľstva, domov a bytov</w:t>
      </w:r>
      <w:r w:rsidRPr="002644DE">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 </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 xml:space="preserve">Indexy spotrebiteľských cien </w:t>
      </w:r>
      <w:r w:rsidRPr="002644DE">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w:t>
      </w:r>
      <w:r w:rsidRPr="002644DE">
        <w:rPr>
          <w:rFonts w:ascii="Times New Roman" w:eastAsia="Times New Roman" w:hAnsi="Times New Roman" w:cs="Times New Roman"/>
          <w:sz w:val="24"/>
          <w:lang w:eastAsia="sk-SK"/>
        </w:rPr>
        <w:lastRenderedPageBreak/>
        <w:t>nych skupín, ako sú napr. dôchodcovia, zamestnanci podľa počtu detí, nízkopríjmové domácnosti. Okrem toho časové rady údajov o spotrebiteľských cenách sú dostupné aj elektronicky na internetovej stránke Štatistického úradu SR.</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Zdroje údajov o vývoji zamestnanosti /nezamestnanosti,</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ktoré zverejňuje tak</w:t>
      </w:r>
      <w:r w:rsidRPr="002644DE">
        <w:rPr>
          <w:rFonts w:ascii="Times New Roman" w:eastAsia="Times New Roman" w:hAnsi="Times New Roman" w:cs="Times New Roman"/>
          <w:i/>
          <w:sz w:val="24"/>
          <w:lang w:eastAsia="sk-SK"/>
        </w:rPr>
        <w:t xml:space="preserve"> </w:t>
      </w:r>
      <w:r w:rsidRPr="002644DE">
        <w:rPr>
          <w:rFonts w:ascii="Times New Roman" w:eastAsia="Times New Roman" w:hAnsi="Times New Roman" w:cs="Times New Roman"/>
          <w:sz w:val="24"/>
          <w:lang w:eastAsia="sk-SK"/>
        </w:rPr>
        <w:t>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Raz ročne uskutočňuje Štatistický úrad SR  zisťovanie o úplných nákladoch práce  a tiež vydáva publikáciu Zamestnanci a mzdové prostriedky v hospodárstve SR.</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Ministerstva práce, sociálnych vecí a rodiny SR</w:t>
      </w:r>
      <w:r w:rsidRPr="002644DE">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2644DE" w:rsidRPr="002644DE" w:rsidRDefault="002644DE" w:rsidP="002644DE">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Administratívne zdroje údajov Sociálnej poisťovne</w:t>
      </w:r>
      <w:r w:rsidRPr="002644DE">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2644DE" w:rsidRPr="002644DE" w:rsidRDefault="002644DE" w:rsidP="002644DE">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rovnosti žien a mužov</w:t>
      </w:r>
      <w:r w:rsidRPr="002644DE">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2644DE" w:rsidRPr="002644DE" w:rsidRDefault="002644DE" w:rsidP="002644DE">
      <w:pPr>
        <w:tabs>
          <w:tab w:val="left" w:pos="851"/>
          <w:tab w:val="left" w:pos="1191"/>
          <w:tab w:val="left" w:pos="1531"/>
        </w:tabs>
        <w:spacing w:after="0" w:line="240" w:lineRule="auto"/>
        <w:ind w:left="720"/>
        <w:jc w:val="both"/>
        <w:rPr>
          <w:rFonts w:ascii="Times New Roman" w:eastAsia="Times New Roman" w:hAnsi="Times New Roman" w:cs="Times New Roman"/>
          <w:sz w:val="24"/>
          <w:lang w:eastAsia="sk-SK"/>
        </w:rPr>
      </w:pPr>
    </w:p>
    <w:p w:rsidR="002644DE" w:rsidRPr="002644DE" w:rsidRDefault="002644DE" w:rsidP="002644DE">
      <w:pPr>
        <w:spacing w:before="120" w:after="240" w:line="240" w:lineRule="auto"/>
        <w:jc w:val="both"/>
        <w:outlineLvl w:val="0"/>
        <w:rPr>
          <w:rFonts w:ascii="Times New Roman" w:eastAsia="Times New Roman" w:hAnsi="Times New Roman" w:cs="Times New Roman"/>
          <w:b/>
          <w:sz w:val="28"/>
          <w:szCs w:val="28"/>
          <w:lang w:eastAsia="sk-SK"/>
        </w:rPr>
      </w:pPr>
      <w:r w:rsidRPr="002644DE">
        <w:rPr>
          <w:rFonts w:ascii="Times New Roman" w:eastAsia="Times New Roman" w:hAnsi="Times New Roman" w:cs="Times New Roman"/>
          <w:b/>
          <w:sz w:val="28"/>
          <w:szCs w:val="28"/>
          <w:lang w:eastAsia="sk-SK"/>
        </w:rPr>
        <w:t>Identifikácia sociálnych vplyvov v doložke vybraných vplyvov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–analýzy sociálnych vplyvov;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2644DE">
        <w:rPr>
          <w:rFonts w:ascii="Times New Roman" w:eastAsia="Times New Roman" w:hAnsi="Times New Roman" w:cs="Times New Roman"/>
          <w:sz w:val="24"/>
          <w:lang w:eastAsia="sk-SK"/>
        </w:rPr>
        <w:t xml:space="preserve">Ak má predkladaný materiál negatívne vplyvy na hospodárenie domácností, zamestnanosť </w:t>
      </w:r>
      <w:r w:rsidRPr="002644DE">
        <w:rPr>
          <w:rFonts w:ascii="Times New Roman" w:eastAsia="Times New Roman" w:hAnsi="Times New Roman" w:cs="Times New Roman"/>
          <w:sz w:val="24"/>
          <w:szCs w:val="24"/>
          <w:lang w:eastAsia="sk-SK"/>
        </w:rPr>
        <w:t>alebo prehlbuje existujúce nerovnosti</w:t>
      </w:r>
      <w:r w:rsidRPr="002644DE">
        <w:rPr>
          <w:rFonts w:ascii="Times New Roman" w:eastAsia="Times New Roman" w:hAnsi="Times New Roman" w:cs="Times New Roman"/>
          <w:sz w:val="24"/>
          <w:lang w:eastAsia="sk-SK"/>
        </w:rPr>
        <w:t xml:space="preserve"> či </w:t>
      </w:r>
      <w:r w:rsidRPr="002644DE">
        <w:rPr>
          <w:rFonts w:ascii="Times New Roman" w:eastAsia="Times New Roman" w:hAnsi="Times New Roman" w:cs="Times New Roman"/>
          <w:sz w:val="24"/>
          <w:szCs w:val="24"/>
          <w:lang w:eastAsia="sk-SK"/>
        </w:rPr>
        <w:t xml:space="preserve">zhoršuje prístup k zdrojom, právam, tovarom a službám istých skupín obyvateľstva </w:t>
      </w:r>
      <w:r w:rsidRPr="002644DE">
        <w:rPr>
          <w:rFonts w:ascii="Times New Roman" w:eastAsia="Times New Roman" w:hAnsi="Times New Roman" w:cs="Times New Roman"/>
          <w:sz w:val="24"/>
          <w:lang w:eastAsia="sk-SK"/>
        </w:rPr>
        <w:t xml:space="preserve">a napriek tomu sa predkladá na rokovanie vlády, </w:t>
      </w:r>
      <w:r w:rsidRPr="002644DE">
        <w:rPr>
          <w:rFonts w:ascii="Times New Roman" w:eastAsia="Times New Roman" w:hAnsi="Times New Roman" w:cs="Times New Roman"/>
          <w:sz w:val="24"/>
          <w:szCs w:val="24"/>
          <w:lang w:eastAsia="sk-SK"/>
        </w:rPr>
        <w:t>predkladateľ môže navrhnúť opatrenia, ktoré by mohli tento potenciálny stav kompenzovať.</w:t>
      </w:r>
    </w:p>
    <w:p w:rsidR="002644DE" w:rsidRPr="002644DE" w:rsidRDefault="002644DE" w:rsidP="002644DE">
      <w:pPr>
        <w:spacing w:after="0" w:line="240" w:lineRule="auto"/>
        <w:outlineLvl w:val="0"/>
        <w:rPr>
          <w:rFonts w:ascii="Times New Roman" w:eastAsia="Times New Roman" w:hAnsi="Times New Roman" w:cs="Times New Roman"/>
          <w:b/>
          <w:sz w:val="28"/>
          <w:szCs w:val="28"/>
          <w:u w:val="single"/>
          <w:lang w:eastAsia="sk-SK"/>
        </w:rPr>
      </w:pPr>
      <w:r w:rsidRPr="002644DE">
        <w:rPr>
          <w:rFonts w:ascii="Times New Roman" w:eastAsia="Times New Roman" w:hAnsi="Times New Roman" w:cs="Times New Roman"/>
          <w:b/>
          <w:sz w:val="28"/>
          <w:szCs w:val="28"/>
          <w:u w:val="single"/>
          <w:lang w:eastAsia="sk-SK"/>
        </w:rPr>
        <w:t>Analýza sociálnych vplyvov</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analýzy sociálnych vplyvov. Ak v niektorej z hodnotených  oblastí sociálnych vplyvov (body 4.1-4.4) </w:t>
      </w:r>
      <w:r w:rsidRPr="002644DE">
        <w:rPr>
          <w:rFonts w:ascii="Times New Roman" w:eastAsia="Times New Roman" w:hAnsi="Times New Roman" w:cs="Times New Roman"/>
          <w:sz w:val="24"/>
          <w:szCs w:val="24"/>
          <w:lang w:eastAsia="sk-SK"/>
        </w:rPr>
        <w:lastRenderedPageBreak/>
        <w:t xml:space="preserve">nebol identifikovaný vplyv, predkladateľ v príslušnom riadku analýzy uvedie poznámku „Bez vplyvu.“. Nasledovný postup uvádza kroky pre vypracovanie analýzy sociálnych vplyvov. </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 xml:space="preserve">Zhodnotenie vplyvov na hospodárenie domácností </w:t>
      </w:r>
    </w:p>
    <w:p w:rsidR="002644DE" w:rsidRPr="002644DE" w:rsidRDefault="002644DE" w:rsidP="002644DE">
      <w:pPr>
        <w:spacing w:before="240"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2644DE" w:rsidRPr="002644DE" w:rsidRDefault="002644DE" w:rsidP="002644DE">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2644DE" w:rsidRPr="002644DE" w:rsidRDefault="002644DE" w:rsidP="002644DE">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inflácia, a pod.), požiadavka na výdavky domácností kapitálového typu (napr. nákup bezpečnostných doplnkov do automobilových vozidiel ako sú sedačky pre maloleté deti, stavebné úpravy alebo nákup meračov spotreby energií atď.),</w:t>
      </w:r>
    </w:p>
    <w:p w:rsidR="002644DE" w:rsidRPr="002644DE" w:rsidRDefault="002644DE" w:rsidP="002644DE">
      <w:pPr>
        <w:numPr>
          <w:ilvl w:val="0"/>
          <w:numId w:val="4"/>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zlepšenie alebo zhoršenie prístupu k nákupným možnostiam tovarov a služieb </w:t>
      </w:r>
      <w:r w:rsidRPr="002644DE">
        <w:rPr>
          <w:rFonts w:ascii="Times New Roman" w:eastAsia="Times New Roman" w:hAnsi="Times New Roman" w:cs="Times New Roman"/>
          <w:sz w:val="24"/>
          <w:szCs w:val="24"/>
          <w:lang w:eastAsia="sk-SK"/>
        </w:rPr>
        <w:br/>
        <w:t>pre domácnosti.</w:t>
      </w:r>
    </w:p>
    <w:p w:rsidR="002644DE" w:rsidRPr="002644DE" w:rsidRDefault="002644DE" w:rsidP="002644DE">
      <w:pPr>
        <w:tabs>
          <w:tab w:val="left" w:pos="0"/>
        </w:tabs>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2644DE">
        <w:rPr>
          <w:rFonts w:ascii="Times New Roman" w:eastAsia="Times New Roman" w:hAnsi="Times New Roman" w:cs="Times New Roman"/>
          <w:i/>
          <w:sz w:val="24"/>
          <w:szCs w:val="24"/>
          <w:lang w:eastAsia="sk-SK"/>
        </w:rPr>
        <w:t xml:space="preserve">. </w:t>
      </w:r>
      <w:r w:rsidRPr="002644DE">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Zároveň sa treba zamerať na posúdenie vplyvu na domácnosti, ktoré čelia zvýšenému riziku chudoby a sociálneho vylúčenia: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nezamestnanými členmi,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starších ľudí (nad 65 rokov alebo dôchodcov),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členmi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domácnosti žijúce v marginalizovaných rómskych komunitách,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príslušníkov tretích krajín, azylanti, žiadatelia o azyl,</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Možno tiež uvažovať nad tým, že predpokladaná zmena môže nastať v rôznom časovom období (napr. ihneď, do 3 rokov, po 3 rokoch) a že daná zmena sa môže uskutočniť s rôznou pravdepodobnosťou (s nízkou až veľkou pravdepodobnosťou).</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 xml:space="preserve">zmenu (rast alebo pokles) príjmov / výdavkov za každú ovplyvnenú skupinu v eurách </w:t>
      </w:r>
      <w:r w:rsidRPr="002644DE">
        <w:rPr>
          <w:rFonts w:ascii="Times New Roman" w:eastAsia="Times New Roman" w:hAnsi="Times New Roman" w:cs="Times New Roman"/>
          <w:sz w:val="24"/>
          <w:szCs w:val="24"/>
          <w:lang w:eastAsia="sk-SK"/>
        </w:rPr>
        <w:br/>
        <w:t>a/alebo v % v predpokladanom časovom období,</w:t>
      </w:r>
    </w:p>
    <w:p w:rsidR="002644DE" w:rsidRPr="002644DE" w:rsidRDefault="002644DE" w:rsidP="002644DE">
      <w:pPr>
        <w:numPr>
          <w:ilvl w:val="0"/>
          <w:numId w:val="2"/>
        </w:num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2644DE" w:rsidRPr="002644DE" w:rsidRDefault="002644DE" w:rsidP="002644DE">
      <w:pPr>
        <w:spacing w:after="12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Pri významných vplyvoch na hospodárenie domácností predkladateľ:</w:t>
      </w:r>
    </w:p>
    <w:p w:rsidR="002644DE" w:rsidRPr="002644DE" w:rsidRDefault="002644DE" w:rsidP="002644DE">
      <w:pPr>
        <w:numPr>
          <w:ilvl w:val="0"/>
          <w:numId w:val="8"/>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na základe súčasného stavu výšky príjmov alebo výdavkov jednotlivých ovplyvnených skupín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zvýšenie výdavkov, vypočíta podiel výdavkov na príjme jednotlivca/domácnosti,</w:t>
      </w:r>
    </w:p>
    <w:p w:rsidR="002644DE" w:rsidRPr="002644DE" w:rsidRDefault="002644DE" w:rsidP="002644DE">
      <w:pPr>
        <w:numPr>
          <w:ilvl w:val="0"/>
          <w:numId w:val="8"/>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2644DE" w:rsidRPr="002644DE" w:rsidRDefault="002644DE" w:rsidP="002644DE">
      <w:pPr>
        <w:numPr>
          <w:ilvl w:val="0"/>
          <w:numId w:val="8"/>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2644DE">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2644DE" w:rsidRPr="002644DE" w:rsidRDefault="002644DE" w:rsidP="002644DE">
      <w:pPr>
        <w:spacing w:before="240" w:after="120" w:line="240" w:lineRule="auto"/>
        <w:ind w:left="360"/>
        <w:jc w:val="both"/>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sz w:val="24"/>
          <w:szCs w:val="24"/>
          <w:lang w:eastAsia="sk-SK"/>
        </w:rPr>
        <w:t>Pod prístupom k zdrojom, právam, tovarom a službám sa rozumie najmä prístup k:</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pomoci pri úhrade výdavkov súvisiacich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k formálnemu i neformálnemu vzdelávaniu a celoživotnému vzdelávaniu,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bývaniu a súvisiacim základným komunálnym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doprave,</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ďalším službám najmä službám všeobecného záujmu a tovarom,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spravodlivosti, právnej ochrane, právnym službám,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informáciám,</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k iným právam (napr. politickým).</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12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či návrh má vplyv na niektorú zo zraniteľných skupín obyvateľstva alebo skupín v riziku chudoby a sociálneho vylúčenia,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nezamestnaní, najmä dlhodobo nezamestnaní, mladí nezamestnaní a nezamestnaní nad 50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deti (0 – 17),</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mladí ľudia (18 – 25 rokov),</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starší ľudia, napr. ľudia vo veku nad 65 rokov alebo dôchodcovia,</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ľudia so zdravotným postihnutím,</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marginalizované rómske komunity </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domácnosti s 3 a viac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jednorodičovské domácnosti s deťmi (neúplné rodiny, ktoré tvoria najmä osamelé matky s deťmi),</w:t>
      </w:r>
    </w:p>
    <w:p w:rsidR="002644DE" w:rsidRPr="002644DE" w:rsidRDefault="002644DE" w:rsidP="002644DE">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príslušníci tretích krajín, azylanti, žiadatelia o azyl,</w:t>
      </w:r>
    </w:p>
    <w:p w:rsidR="002644DE" w:rsidRPr="002644DE" w:rsidRDefault="002644DE" w:rsidP="002644DE">
      <w:pPr>
        <w:numPr>
          <w:ilvl w:val="0"/>
          <w:numId w:val="3"/>
        </w:numPr>
        <w:spacing w:after="6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2644DE" w:rsidRPr="002644DE" w:rsidRDefault="002644DE" w:rsidP="002644DE">
      <w:pPr>
        <w:spacing w:after="12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1"/>
          <w:numId w:val="5"/>
        </w:numPr>
        <w:spacing w:after="0" w:line="240" w:lineRule="auto"/>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rovnosť príležitostí a rovnosť  žien a mužov</w:t>
      </w:r>
    </w:p>
    <w:p w:rsidR="002644DE" w:rsidRPr="002644DE" w:rsidRDefault="002644DE" w:rsidP="002644DE">
      <w:pPr>
        <w:spacing w:before="240"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b/>
        <w:t xml:space="preserve">Posúdenie možného vplyvu na rovnosť príležitostí a rovnosť žien a mužov znamená posúdiť či predkladaný návrh rešpektuje povinnosť rovnakého zaobchádzania na základe pohlavia, rasy, etnického pôvodu, náboženského vyznania, viery, zdravotného postihnutia, veku, sexuálnej orientácie či iného statusu. Predkladateľ preto </w:t>
      </w:r>
      <w:r w:rsidRPr="002644DE">
        <w:rPr>
          <w:rFonts w:ascii="Times New Roman" w:eastAsia="Times New Roman" w:hAnsi="Times New Roman" w:cs="Times New Roman"/>
          <w:sz w:val="24"/>
          <w:szCs w:val="24"/>
          <w:lang w:eastAsia="sk-SK"/>
        </w:rPr>
        <w:lastRenderedPageBreak/>
        <w:t xml:space="preserve">musí pri posudzovaní dodržiavania povinnosti rovnakého zaobchádzania tieto faktory vziať do úvahy pri posudzovaní výsledného vplyvu návrhu. Tento vplyv môže byť: </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pozitívny, pomáha nerovnosť znížiť (resp. podporuje rovnosť),</w:t>
      </w:r>
    </w:p>
    <w:p w:rsidR="002644DE" w:rsidRPr="002644DE" w:rsidRDefault="002644DE" w:rsidP="002644DE">
      <w:pPr>
        <w:numPr>
          <w:ilvl w:val="0"/>
          <w:numId w:val="3"/>
        </w:numPr>
        <w:spacing w:after="0" w:line="240" w:lineRule="auto"/>
        <w:ind w:left="896" w:hanging="357"/>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žiadny, zachováva nezmenený stav (nemá vplyv),</w:t>
      </w:r>
    </w:p>
    <w:p w:rsidR="002644DE" w:rsidRPr="002644DE" w:rsidRDefault="002644DE" w:rsidP="002644DE">
      <w:pPr>
        <w:numPr>
          <w:ilvl w:val="0"/>
          <w:numId w:val="3"/>
        </w:numPr>
        <w:spacing w:after="120" w:line="240" w:lineRule="auto"/>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negatívny, prehlbuje nerovnosť (resp. bude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 rámci identifikovania </w:t>
      </w:r>
      <w:r w:rsidRPr="002644DE">
        <w:rPr>
          <w:rFonts w:ascii="Times New Roman" w:eastAsia="Times New Roman" w:hAnsi="Times New Roman" w:cs="Times New Roman"/>
          <w:b/>
          <w:sz w:val="24"/>
          <w:szCs w:val="24"/>
          <w:lang w:eastAsia="sk-SK"/>
        </w:rPr>
        <w:t>vplyvu na rovnosť príležitostí</w:t>
      </w:r>
      <w:r w:rsidRPr="002644DE">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či iného statusu alebo môže viesť k nepriamej diskriminácii. Ak áno, predkladateľ uvedie, skupiny, ktoré môžu byť takto ovplyvnené a stručne popíše v čom môže diskriminácia spočívať.</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vplyvu na rovnosť príležitostí je potrebná, aby sa predkladateľ vyhol aj možným nezamýšľaným negatívnym dosahom (znevýhodneniam) na ktorúkoľvek zo skupín chránenú v rámci legislatívy vzťahujúcej sa k rovnosti príležitostí a neodôvodnenej diskriminácii. Analýza má potvrdiť, že je zabezpečená formálna rovnosť (</w:t>
      </w:r>
      <w:r w:rsidRPr="002644DE">
        <w:rPr>
          <w:rFonts w:ascii="Times New Roman" w:eastAsia="Times New Roman" w:hAnsi="Times New Roman" w:cs="Times New Roman"/>
          <w:i/>
          <w:sz w:val="24"/>
          <w:szCs w:val="24"/>
          <w:lang w:eastAsia="sk-SK"/>
        </w:rPr>
        <w:t>de jure</w:t>
      </w:r>
      <w:r w:rsidRPr="002644DE">
        <w:rPr>
          <w:rFonts w:ascii="Times New Roman" w:eastAsia="Times New Roman" w:hAnsi="Times New Roman" w:cs="Times New Roman"/>
          <w:sz w:val="24"/>
          <w:szCs w:val="24"/>
          <w:lang w:eastAsia="sk-SK"/>
        </w:rPr>
        <w:t>) ako aj materiálna rovnosť (</w:t>
      </w:r>
      <w:r w:rsidRPr="002644DE">
        <w:rPr>
          <w:rFonts w:ascii="Times New Roman" w:eastAsia="Times New Roman" w:hAnsi="Times New Roman" w:cs="Times New Roman"/>
          <w:i/>
          <w:sz w:val="24"/>
          <w:szCs w:val="24"/>
          <w:lang w:eastAsia="sk-SK"/>
        </w:rPr>
        <w:t>de facto</w:t>
      </w:r>
      <w:r w:rsidRPr="002644DE">
        <w:rPr>
          <w:rFonts w:ascii="Times New Roman" w:eastAsia="Times New Roman" w:hAnsi="Times New Roman" w:cs="Times New Roman"/>
          <w:sz w:val="24"/>
          <w:szCs w:val="24"/>
          <w:lang w:eastAsia="sk-SK"/>
        </w:rPr>
        <w:t>),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je chápaná ako opatrenia potrebné pre jedincov vyžadujúcich zvýšenú ochranu alebo podporu, ktoré nespôsobujú žiadnu ujmu v právnom postavení jednotlivcov, a ktoré by mali viesť k zníženiu neodôvodnenej diskriminácie a naplneniu rovnosti.</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6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Medzi oblasti hodnotenia vplyvu na rovnosť príležitostí:</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zamestnanosť,</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zamestnaniu, samozamestnaniu a vykonávaniu povolania,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odbornému vzdelávaniu, školeniam,</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pracovné podmienky, prepúšťanie a odmeňovanie,</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členstvo v odborových organizáciách zamestnancov a organizáciách zamestnávateľov,</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sociálna ochrana,</w:t>
      </w:r>
    </w:p>
    <w:p w:rsidR="002644DE" w:rsidRPr="002644DE" w:rsidRDefault="002644DE" w:rsidP="002644DE">
      <w:pPr>
        <w:numPr>
          <w:ilvl w:val="0"/>
          <w:numId w:val="3"/>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vzdelávanie,</w:t>
      </w:r>
    </w:p>
    <w:p w:rsidR="002644DE" w:rsidRPr="002644DE" w:rsidRDefault="002644DE" w:rsidP="002644DE">
      <w:pPr>
        <w:numPr>
          <w:ilvl w:val="0"/>
          <w:numId w:val="3"/>
        </w:numPr>
        <w:spacing w:after="120" w:line="240" w:lineRule="auto"/>
        <w:ind w:left="896" w:hanging="35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prístup k tovarom a službám.</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Pri skúmaní </w:t>
      </w:r>
      <w:r w:rsidRPr="002644DE">
        <w:rPr>
          <w:rFonts w:ascii="Times New Roman" w:eastAsia="Times New Roman" w:hAnsi="Times New Roman" w:cs="Times New Roman"/>
          <w:b/>
          <w:sz w:val="24"/>
          <w:szCs w:val="24"/>
          <w:lang w:eastAsia="sk-SK"/>
        </w:rPr>
        <w:t>vplyvov na rovnosť  žien a mužov</w:t>
      </w:r>
      <w:r w:rsidRPr="002644DE">
        <w:rPr>
          <w:rFonts w:ascii="Times New Roman" w:eastAsia="Times New Roman" w:hAnsi="Times New Roman" w:cs="Times New Roman"/>
          <w:sz w:val="24"/>
          <w:szCs w:val="24"/>
          <w:lang w:eastAsia="sk-SK"/>
        </w:rPr>
        <w:t xml:space="preserve"> sa identifikuje, či návrh podporuje vzájomnú rovnosť žien a mužov a rovnosť príležitostí alebo môže viesť k zväčšovaniu nerovností.</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rozdielneho vplyvu na ženy a mužov by mala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rozdielnych vplyvov na ženy a mužov treba vziať do úvahy existujúce rozdiely medzi ženami a mužmi , ktoré sú relevantné vo vzťahu k danej politike, najmä pokiaľ ide o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lastRenderedPageBreak/>
        <w:t>normy, hodnoty, postoje a správanie sa, ktoré ovplyvňujú tradičné roly žien a mužov,</w:t>
      </w:r>
    </w:p>
    <w:p w:rsidR="002644DE" w:rsidRPr="002644DE" w:rsidRDefault="002644DE" w:rsidP="002644DE">
      <w:pPr>
        <w:numPr>
          <w:ilvl w:val="0"/>
          <w:numId w:val="6"/>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práva, ktoré sa vzťahujú k priamej alebo nepriamej diskriminácii na základe pohlavia, ľudské práva.</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Analýza rozdielov  vo vplyve na ženy a mužov znamená porovnanie a zhodnotenie údajov v uvedených oblastiach rozdelených podľa pohlavia, súčasnú situáciu a trendy s očakávaným vývojom, ktorý vyplýva zo zavedenia novej politiky.</w:t>
      </w:r>
    </w:p>
    <w:p w:rsidR="002644DE" w:rsidRPr="002644DE" w:rsidRDefault="002644DE" w:rsidP="002644DE">
      <w:pPr>
        <w:spacing w:after="60" w:line="240" w:lineRule="auto"/>
        <w:ind w:firstLine="539"/>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Posudzovanie rozdielneho vplyvu na ženy a mužov (tzv. </w:t>
      </w:r>
      <w:r w:rsidRPr="002644DE">
        <w:rPr>
          <w:rFonts w:ascii="Times New Roman" w:eastAsia="Times New Roman" w:hAnsi="Times New Roman" w:cs="Times New Roman"/>
          <w:i/>
          <w:sz w:val="24"/>
          <w:szCs w:val="24"/>
          <w:lang w:eastAsia="sk-SK"/>
        </w:rPr>
        <w:t>gender mainstreaming</w:t>
      </w:r>
      <w:r w:rsidRPr="002644DE">
        <w:rPr>
          <w:rFonts w:ascii="Times New Roman" w:eastAsia="Times New Roman" w:hAnsi="Times New Roman" w:cs="Times New Roman"/>
          <w:sz w:val="24"/>
          <w:szCs w:val="24"/>
          <w:lang w:eastAsia="sk-SK"/>
        </w:rPr>
        <w:t>) je záväzkom na úrovni EÚ a znamená, že perspektíva rovnosti žien a mužov a rovnosti príležitostí by mala byť integrovaná do všetkých politík na každej úrovni ich vývoja – tvorba, implementácia, monitoring a evaluácia. Rovnosť  žien a mužov by mala byť podporená v každej politickej oblasti, najmä v oblastiach:</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slobodného výberu povolania a ekonomickej činnosti,</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vyrovnávania ekonomickej nezávislosti,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zosúladenie pracovného, súkromného a rodinného života,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podpora rovnosti príležitostí pri participácii na rozhodovaní,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boj proti domácemu násiliu,  násiliu na ženách  a obchodovaniu s ľuďmi, </w:t>
      </w:r>
    </w:p>
    <w:p w:rsidR="002644DE" w:rsidRPr="002644DE" w:rsidRDefault="002644DE" w:rsidP="002644DE">
      <w:pPr>
        <w:numPr>
          <w:ilvl w:val="0"/>
          <w:numId w:val="12"/>
        </w:numPr>
        <w:spacing w:after="0" w:line="240" w:lineRule="auto"/>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2"/>
        </w:numPr>
        <w:spacing w:after="60" w:line="240" w:lineRule="auto"/>
        <w:ind w:left="714" w:hanging="357"/>
        <w:contextualSpacing/>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rešpektovanie osobných preferencií pri výbere povolania a zosúlaďovania pracovného a rodinného života.</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Posúdenie možného vplyvu predkladaného materiálu z pohľadu </w:t>
      </w:r>
      <w:r w:rsidRPr="002644DE">
        <w:rPr>
          <w:rFonts w:ascii="Times New Roman" w:eastAsia="Times New Roman" w:hAnsi="Times New Roman" w:cs="Times New Roman"/>
          <w:i/>
          <w:sz w:val="24"/>
          <w:szCs w:val="24"/>
          <w:lang w:eastAsia="sk-SK"/>
        </w:rPr>
        <w:t>gender mainstreamingu</w:t>
      </w:r>
      <w:r w:rsidRPr="002644DE">
        <w:rPr>
          <w:rFonts w:ascii="Times New Roman" w:eastAsia="Times New Roman" w:hAnsi="Times New Roman" w:cs="Times New Roman"/>
          <w:sz w:val="24"/>
          <w:szCs w:val="24"/>
          <w:lang w:eastAsia="sk-SK"/>
        </w:rPr>
        <w:t xml:space="preserve"> (viď vyššie), znamená preskúmanie, či ženy a muži majú právo slobodne rozvíjať svoje osobné schopnosti a vykonávať slobodný výber možností bez akýchkoľvek neodôvodnených obmedzení alebo bariér pre účasť na ekonomickom, politickom a sociálnom živote spoločnosti na základe pohlavia. Znamená tiež, že sa podporuje možnosť žien a mužov sa slobodne rozhodnúť, ako sa rozhodnú narábať so svojím životom, že sa budú rešpektovať ich životné voľby či ich rozdielne potreby.</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Podobne ako pri analýze vplyvov na prístup k zdrojom, právam, tovarom a službám aj v tomto prípade treba vziať do úvahy špecifické problémy konkrétnych skupín a možné potreby, skúsenosti alebo priority potenciálne ovplyvnených skupín vo vzťahu k predkladanému materiálu. </w:t>
      </w:r>
    </w:p>
    <w:p w:rsidR="002644DE" w:rsidRPr="002644DE" w:rsidRDefault="002644DE" w:rsidP="002644DE">
      <w:pPr>
        <w:spacing w:after="0" w:line="240" w:lineRule="auto"/>
        <w:ind w:firstLine="357"/>
        <w:jc w:val="both"/>
        <w:rPr>
          <w:rFonts w:ascii="Times New Roman" w:eastAsia="Times New Roman" w:hAnsi="Times New Roman" w:cs="Times New Roman"/>
          <w:b/>
          <w:sz w:val="24"/>
          <w:szCs w:val="24"/>
          <w:lang w:eastAsia="sk-SK"/>
        </w:rPr>
      </w:pPr>
    </w:p>
    <w:p w:rsidR="002644DE" w:rsidRPr="002644DE" w:rsidRDefault="002644DE" w:rsidP="002644DE">
      <w:pPr>
        <w:numPr>
          <w:ilvl w:val="1"/>
          <w:numId w:val="5"/>
        </w:numPr>
        <w:spacing w:before="120" w:after="0" w:line="240" w:lineRule="auto"/>
        <w:ind w:left="357" w:hanging="357"/>
        <w:rPr>
          <w:rFonts w:ascii="Times New Roman" w:eastAsia="Times New Roman" w:hAnsi="Times New Roman" w:cs="Times New Roman"/>
          <w:b/>
          <w:sz w:val="24"/>
          <w:szCs w:val="24"/>
          <w:lang w:eastAsia="sk-SK"/>
        </w:rPr>
      </w:pPr>
      <w:r w:rsidRPr="002644DE">
        <w:rPr>
          <w:rFonts w:ascii="Times New Roman" w:eastAsia="Times New Roman" w:hAnsi="Times New Roman" w:cs="Times New Roman"/>
          <w:b/>
          <w:sz w:val="24"/>
          <w:szCs w:val="24"/>
          <w:lang w:eastAsia="sk-SK"/>
        </w:rPr>
        <w:t>Zhodnotenie vplyvov na zamestnanosť a trh práce</w:t>
      </w:r>
    </w:p>
    <w:p w:rsidR="002644DE" w:rsidRPr="002644DE" w:rsidRDefault="002644DE" w:rsidP="002644DE">
      <w:pPr>
        <w:spacing w:before="240"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prípade zhodnotenia vplyvov na zamestnanosť, ide o zodpovedanie na nasledovné otázky:</w:t>
      </w: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Uľahčuje návrh vznik nových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Vedie návrh priamo k zániku pracovných miest?</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dopyt po práci?</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dosah na fungovanie trhu práce?</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7"/>
        </w:num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Ovplyvňuje návrh špecifické vekové skupiny zamestnancov?</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2644DE" w:rsidRPr="002644DE" w:rsidRDefault="002644DE" w:rsidP="002644DE">
      <w:pPr>
        <w:spacing w:after="0" w:line="240" w:lineRule="auto"/>
        <w:ind w:firstLine="540"/>
        <w:jc w:val="both"/>
        <w:rPr>
          <w:rFonts w:ascii="Times New Roman" w:eastAsia="Times New Roman" w:hAnsi="Times New Roman" w:cs="Times New Roman"/>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Otázka č. 1 </w:t>
      </w:r>
      <w:r w:rsidRPr="002644DE">
        <w:rPr>
          <w:rFonts w:ascii="Times New Roman" w:eastAsia="Times New Roman" w:hAnsi="Times New Roman" w:cs="Times New Roman"/>
          <w:i/>
          <w:sz w:val="24"/>
          <w:szCs w:val="24"/>
          <w:lang w:eastAsia="sk-SK"/>
        </w:rPr>
        <w:t>Uľahčuje návrh vznik nových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Vplyv návrhu môže byť vyjadrený ako absolútny počet pracovných miest, ktoré návrh podporí (odhad, interval) s rozlíšením krátkodobého a dlhodobého efektu </w:t>
      </w:r>
      <w:r w:rsidRPr="002644DE">
        <w:rPr>
          <w:rFonts w:ascii="Times New Roman" w:eastAsia="Times New Roman" w:hAnsi="Times New Roman" w:cs="Times New Roman"/>
          <w:sz w:val="24"/>
          <w:szCs w:val="24"/>
          <w:lang w:eastAsia="sk-SK"/>
        </w:rPr>
        <w:lastRenderedPageBreak/>
        <w:t>v konkrétnych sektoroch hospodárstva (sekciách/odvetviach ekonomických činností). Pre identifikovanie vplyvu v konkrétnych sekciách či odvetviach ekonomických činností je možné použiť Štatistickú klasifikáciu ekonomických činností (Rev. 2 2008).</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r w:rsidRPr="002644DE">
        <w:rPr>
          <w:rFonts w:ascii="Times New Roman" w:eastAsia="Times New Roman" w:hAnsi="Times New Roman" w:cs="Times New Roman"/>
          <w:bCs/>
          <w:sz w:val="24"/>
          <w:szCs w:val="24"/>
          <w:lang w:eastAsia="sk-SK"/>
        </w:rPr>
        <w:t xml:space="preserve">Otázka č. 2 </w:t>
      </w:r>
      <w:r w:rsidRPr="002644DE">
        <w:rPr>
          <w:rFonts w:ascii="Times New Roman" w:eastAsia="Times New Roman" w:hAnsi="Times New Roman" w:cs="Times New Roman"/>
          <w:i/>
          <w:sz w:val="24"/>
          <w:szCs w:val="24"/>
          <w:lang w:eastAsia="sk-SK"/>
        </w:rPr>
        <w:t>Vedie návrh priamo k zániku pracovných miest?</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3 </w:t>
      </w:r>
      <w:r w:rsidRPr="002644DE">
        <w:rPr>
          <w:rFonts w:ascii="Times New Roman" w:eastAsia="Times New Roman" w:hAnsi="Times New Roman" w:cs="Times New Roman"/>
          <w:i/>
          <w:sz w:val="24"/>
          <w:szCs w:val="24"/>
          <w:lang w:eastAsia="sk-SK"/>
        </w:rPr>
        <w:t>Ovplyvňuje návrh dopyt po práci?</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4 </w:t>
      </w:r>
      <w:r w:rsidRPr="002644DE">
        <w:rPr>
          <w:rFonts w:ascii="Times New Roman" w:eastAsia="Times New Roman" w:hAnsi="Times New Roman" w:cs="Times New Roman"/>
          <w:i/>
          <w:sz w:val="24"/>
          <w:szCs w:val="24"/>
          <w:lang w:eastAsia="sk-SK"/>
        </w:rPr>
        <w:t>Má návrh dosah na fungovanie trhu práce?</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 xml:space="preserve">Ponuka práce môže byť ovplyvnená rôznymi premennými napr. úrovňou miezd (absolútnou či relatívnou t.j. v porovnaní s úrovňou miezd v inom sektore), ale aj </w:t>
      </w:r>
      <w:r w:rsidRPr="002644DE">
        <w:rPr>
          <w:rFonts w:ascii="Times New Roman" w:eastAsia="Times New Roman" w:hAnsi="Times New Roman" w:cs="Times New Roman"/>
          <w:sz w:val="24"/>
          <w:szCs w:val="24"/>
          <w:lang w:eastAsia="sk-SK"/>
        </w:rPr>
        <w:lastRenderedPageBreak/>
        <w:t>inštitucionálnym nastavením, ako je zosúladenie pracovného a súkromného života alebo uľahčovanie rôznych foriem mobility.</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5 </w:t>
      </w:r>
      <w:r w:rsidRPr="002644DE">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0" w:line="240" w:lineRule="auto"/>
        <w:jc w:val="both"/>
        <w:rPr>
          <w:rFonts w:ascii="Times New Roman" w:eastAsia="Times New Roman" w:hAnsi="Times New Roman" w:cs="Times New Roman"/>
          <w:i/>
          <w:sz w:val="24"/>
          <w:szCs w:val="24"/>
          <w:lang w:eastAsia="sk-SK"/>
        </w:rPr>
      </w:pPr>
      <w:r w:rsidRPr="002644DE">
        <w:rPr>
          <w:rFonts w:ascii="Times New Roman" w:eastAsia="Times New Roman" w:hAnsi="Times New Roman" w:cs="Times New Roman"/>
          <w:bCs/>
          <w:sz w:val="24"/>
          <w:szCs w:val="24"/>
          <w:lang w:eastAsia="sk-SK"/>
        </w:rPr>
        <w:t xml:space="preserve">Otázka č. 6 </w:t>
      </w:r>
      <w:r w:rsidRPr="002644DE">
        <w:rPr>
          <w:rFonts w:ascii="Times New Roman" w:eastAsia="Times New Roman" w:hAnsi="Times New Roman" w:cs="Times New Roman"/>
          <w:i/>
          <w:sz w:val="24"/>
          <w:szCs w:val="24"/>
          <w:lang w:eastAsia="sk-SK"/>
        </w:rPr>
        <w:t>Ovplyvňuje návrh špecifické vekové skupiny zamestnancov?</w:t>
      </w:r>
    </w:p>
    <w:p w:rsidR="002644DE" w:rsidRPr="002644DE" w:rsidRDefault="002644DE" w:rsidP="002644DE">
      <w:pPr>
        <w:numPr>
          <w:ilvl w:val="0"/>
          <w:numId w:val="13"/>
        </w:numPr>
        <w:spacing w:after="0" w:line="240" w:lineRule="auto"/>
        <w:ind w:left="284" w:hanging="284"/>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2644DE" w:rsidRPr="002644DE" w:rsidRDefault="002644DE" w:rsidP="002644DE">
      <w:pPr>
        <w:spacing w:after="0" w:line="240" w:lineRule="auto"/>
        <w:jc w:val="both"/>
        <w:rPr>
          <w:rFonts w:ascii="Times New Roman" w:eastAsia="Times New Roman" w:hAnsi="Times New Roman" w:cs="Times New Roman"/>
          <w:bCs/>
          <w:sz w:val="24"/>
          <w:szCs w:val="24"/>
          <w:lang w:eastAsia="sk-SK"/>
        </w:rPr>
      </w:pPr>
    </w:p>
    <w:p w:rsidR="002644DE" w:rsidRPr="002644DE" w:rsidRDefault="002644DE" w:rsidP="002644DE">
      <w:pPr>
        <w:spacing w:after="120" w:line="240" w:lineRule="auto"/>
        <w:ind w:firstLine="567"/>
        <w:jc w:val="both"/>
        <w:rPr>
          <w:rFonts w:ascii="Times New Roman" w:eastAsia="Times New Roman" w:hAnsi="Times New Roman" w:cs="Times New Roman"/>
          <w:sz w:val="24"/>
          <w:szCs w:val="24"/>
          <w:lang w:eastAsia="sk-SK"/>
        </w:rPr>
      </w:pPr>
      <w:r w:rsidRPr="002644DE">
        <w:rPr>
          <w:rFonts w:ascii="Times New Roman" w:eastAsia="Times New Roman" w:hAnsi="Times New Roman" w:cs="Times New Roman"/>
          <w:sz w:val="24"/>
          <w:szCs w:val="24"/>
          <w:lang w:eastAsia="sk-SK"/>
        </w:rPr>
        <w:t>Vplyvmi na zamestnanosť je potrebné sa zaoberať najmä pri zmene štruktúry trhu práce.</w:t>
      </w:r>
      <w:r w:rsidRPr="002644DE">
        <w:rPr>
          <w:rFonts w:ascii="Times New Roman" w:eastAsia="Times New Roman" w:hAnsi="Times New Roman" w:cs="Times New Roman"/>
          <w:b/>
          <w:sz w:val="24"/>
          <w:szCs w:val="24"/>
          <w:lang w:eastAsia="sk-SK"/>
        </w:rPr>
        <w:t xml:space="preserve"> </w:t>
      </w:r>
      <w:r w:rsidRPr="002644DE">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2644DE" w:rsidRPr="002644DE" w:rsidRDefault="002644DE" w:rsidP="002644DE">
      <w:pPr>
        <w:spacing w:after="0" w:line="240" w:lineRule="auto"/>
        <w:ind w:firstLine="567"/>
        <w:jc w:val="both"/>
        <w:outlineLvl w:val="0"/>
        <w:rPr>
          <w:rFonts w:ascii="Times New Roman" w:eastAsia="Times New Roman" w:hAnsi="Times New Roman" w:cs="Times New Roman"/>
          <w:bCs/>
          <w:sz w:val="24"/>
          <w:szCs w:val="20"/>
          <w:lang w:eastAsia="sk-SK"/>
        </w:rPr>
      </w:pPr>
      <w:r w:rsidRPr="002644DE">
        <w:rPr>
          <w:rFonts w:ascii="Times New Roman" w:eastAsia="Times New Roman" w:hAnsi="Times New Roman" w:cs="Times New Roman"/>
          <w:bCs/>
          <w:sz w:val="24"/>
          <w:szCs w:val="20"/>
          <w:lang w:eastAsia="sk-SK"/>
        </w:rPr>
        <w:t>S cieľom získať predstavu o rozsahu vplyvov na zamestnanosť v niektorých prípadoch môže byť dôležité definovať počet podnikov vrátane živnostníkov, ktorí budú v skutočnosti ovplyvnení. Okrem informácií o samotnom počte ovplyvnených podnikov je potrebné disponovať aj informáciami o veľkostnej kategórii (podľa počtu zamestnaných) ovplyvnených podnikov (mikro, malý, stredný a veľký podnik).</w:t>
      </w:r>
    </w:p>
    <w:p w:rsidR="002644DE" w:rsidRPr="002644DE" w:rsidRDefault="002644DE" w:rsidP="002644DE">
      <w:pPr>
        <w:spacing w:after="0" w:line="240" w:lineRule="auto"/>
        <w:ind w:firstLine="567"/>
        <w:jc w:val="both"/>
        <w:rPr>
          <w:u w:val="single"/>
        </w:rPr>
      </w:pPr>
      <w:r w:rsidRPr="002644DE">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hyperlink r:id="rId12" w:history="1">
        <w:r w:rsidRPr="002644DE">
          <w:rPr>
            <w:color w:val="0000FF"/>
            <w:szCs w:val="20"/>
            <w:u w:val="single"/>
          </w:rPr>
          <w:t xml:space="preserve">http://portal.statistics.sk/showdoc.do?docid=1924. </w:t>
        </w:r>
      </w:hyperlink>
    </w:p>
    <w:p w:rsidR="00274130" w:rsidRDefault="00636449" w:rsidP="002644DE"/>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E7" w:rsidRDefault="007E57E7" w:rsidP="002644DE">
      <w:pPr>
        <w:spacing w:after="0" w:line="240" w:lineRule="auto"/>
      </w:pPr>
      <w:r>
        <w:separator/>
      </w:r>
    </w:p>
  </w:endnote>
  <w:endnote w:type="continuationSeparator" w:id="0">
    <w:p w:rsidR="007E57E7" w:rsidRDefault="007E57E7"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3644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636449">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E7" w:rsidRDefault="007E57E7" w:rsidP="002644DE">
      <w:pPr>
        <w:spacing w:after="0" w:line="240" w:lineRule="auto"/>
      </w:pPr>
      <w:r>
        <w:separator/>
      </w:r>
    </w:p>
  </w:footnote>
  <w:footnote w:type="continuationSeparator" w:id="0">
    <w:p w:rsidR="007E57E7" w:rsidRDefault="007E57E7" w:rsidP="002644DE">
      <w:pPr>
        <w:spacing w:after="0" w:line="240" w:lineRule="auto"/>
      </w:pPr>
      <w:r>
        <w:continuationSeparator/>
      </w:r>
    </w:p>
  </w:footnote>
  <w:footnote w:id="1">
    <w:p w:rsidR="002644DE" w:rsidRPr="00227A26" w:rsidRDefault="002644DE" w:rsidP="002644DE">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2644DE" w:rsidRDefault="002644DE" w:rsidP="002644DE">
      <w:pPr>
        <w:pStyle w:val="Textpoznmkypodiarou"/>
      </w:pPr>
      <w:r w:rsidRPr="00227A26">
        <w:rPr>
          <w:rStyle w:val="Odkaznapoznmkupodiarou"/>
          <w:rFonts w:ascii="Times New Roman" w:hAnsi="Times New Roman"/>
        </w:rPr>
        <w:footnoteRef/>
      </w:r>
      <w:r w:rsidRPr="00227A26">
        <w:rPr>
          <w:rFonts w:ascii="Times New Roman" w:hAnsi="Times New Roman"/>
        </w:rPr>
        <w:t xml:space="preserve"> </w:t>
      </w:r>
      <w:r w:rsidRPr="00227A26">
        <w:rPr>
          <w:rFonts w:ascii="Times New Roman" w:hAnsi="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2644DE"/>
    <w:rsid w:val="00382021"/>
    <w:rsid w:val="0040256B"/>
    <w:rsid w:val="00433C47"/>
    <w:rsid w:val="00636449"/>
    <w:rsid w:val="007E57E7"/>
    <w:rsid w:val="007F6319"/>
    <w:rsid w:val="008801B5"/>
    <w:rsid w:val="0095188C"/>
    <w:rsid w:val="009E09F7"/>
    <w:rsid w:val="00BD141A"/>
    <w:rsid w:val="00DD3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E853"/>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statistics.sk/showdoc.do?docid=19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5922</Words>
  <Characters>33759</Characters>
  <Application>Microsoft Office Word</Application>
  <DocSecurity>4</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2</cp:revision>
  <dcterms:created xsi:type="dcterms:W3CDTF">2021-06-01T05:10:00Z</dcterms:created>
  <dcterms:modified xsi:type="dcterms:W3CDTF">2021-06-01T05:10:00Z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