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B8" w:rsidRPr="00384990" w:rsidRDefault="00A23867" w:rsidP="00A732FA">
      <w:pPr>
        <w:pStyle w:val="Nzov"/>
        <w:tabs>
          <w:tab w:val="left" w:pos="9072"/>
        </w:tabs>
        <w:ind w:right="1"/>
        <w:jc w:val="left"/>
        <w:rPr>
          <w:szCs w:val="24"/>
        </w:rPr>
      </w:pPr>
      <w:r>
        <w:rPr>
          <w:noProof/>
          <w:lang w:eastAsia="sk-SK"/>
        </w:rPr>
        <w:drawing>
          <wp:anchor distT="0" distB="0" distL="114300" distR="114300" simplePos="0" relativeHeight="251658240" behindDoc="1" locked="0" layoutInCell="1" allowOverlap="1">
            <wp:simplePos x="0" y="0"/>
            <wp:positionH relativeFrom="column">
              <wp:posOffset>5036185</wp:posOffset>
            </wp:positionH>
            <wp:positionV relativeFrom="paragraph">
              <wp:posOffset>55245</wp:posOffset>
            </wp:positionV>
            <wp:extent cx="1194435" cy="803910"/>
            <wp:effectExtent l="0" t="0" r="5715"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803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7216" behindDoc="1" locked="0" layoutInCell="1" allowOverlap="0">
            <wp:simplePos x="0" y="0"/>
            <wp:positionH relativeFrom="column">
              <wp:posOffset>27940</wp:posOffset>
            </wp:positionH>
            <wp:positionV relativeFrom="paragraph">
              <wp:posOffset>-20955</wp:posOffset>
            </wp:positionV>
            <wp:extent cx="879475" cy="1129030"/>
            <wp:effectExtent l="0" t="0" r="0" b="0"/>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475" cy="1129030"/>
                    </a:xfrm>
                    <a:prstGeom prst="rect">
                      <a:avLst/>
                    </a:prstGeom>
                    <a:noFill/>
                  </pic:spPr>
                </pic:pic>
              </a:graphicData>
            </a:graphic>
            <wp14:sizeRelH relativeFrom="page">
              <wp14:pctWidth>0</wp14:pctWidth>
            </wp14:sizeRelH>
            <wp14:sizeRelV relativeFrom="page">
              <wp14:pctHeight>0</wp14:pctHeight>
            </wp14:sizeRelV>
          </wp:anchor>
        </w:drawing>
      </w:r>
    </w:p>
    <w:p w:rsidR="00B21EB8" w:rsidRPr="007F7181" w:rsidRDefault="00B21EB8" w:rsidP="00A732FA">
      <w:pPr>
        <w:tabs>
          <w:tab w:val="left" w:pos="9072"/>
        </w:tabs>
        <w:spacing w:after="0" w:line="240" w:lineRule="auto"/>
        <w:ind w:right="1"/>
        <w:jc w:val="center"/>
        <w:rPr>
          <w:b/>
          <w:sz w:val="30"/>
          <w:szCs w:val="30"/>
        </w:rPr>
      </w:pPr>
      <w:r w:rsidRPr="007F7181">
        <w:rPr>
          <w:b/>
          <w:sz w:val="30"/>
          <w:szCs w:val="30"/>
        </w:rPr>
        <w:t>Ministerstvo hospodárstva</w:t>
      </w:r>
      <w:r>
        <w:rPr>
          <w:b/>
          <w:sz w:val="30"/>
          <w:szCs w:val="30"/>
        </w:rPr>
        <w:t xml:space="preserve"> </w:t>
      </w:r>
      <w:r w:rsidRPr="007F7181">
        <w:rPr>
          <w:b/>
          <w:sz w:val="30"/>
          <w:szCs w:val="30"/>
        </w:rPr>
        <w:t>S</w:t>
      </w:r>
      <w:r>
        <w:rPr>
          <w:b/>
          <w:sz w:val="30"/>
          <w:szCs w:val="30"/>
        </w:rPr>
        <w:t>lovenskej republiky</w:t>
      </w:r>
    </w:p>
    <w:p w:rsidR="00B21EB8" w:rsidRPr="007F7181" w:rsidRDefault="00B21EB8" w:rsidP="00A732FA">
      <w:pPr>
        <w:tabs>
          <w:tab w:val="left" w:pos="9072"/>
        </w:tabs>
        <w:spacing w:before="120" w:after="0" w:line="240" w:lineRule="auto"/>
        <w:jc w:val="center"/>
        <w:rPr>
          <w:b/>
          <w:sz w:val="26"/>
          <w:szCs w:val="26"/>
        </w:rPr>
      </w:pPr>
      <w:r w:rsidRPr="007F7181">
        <w:rPr>
          <w:b/>
          <w:sz w:val="26"/>
          <w:szCs w:val="26"/>
        </w:rPr>
        <w:t>Riadiaci orgán pre Operačný program</w:t>
      </w:r>
      <w:r>
        <w:rPr>
          <w:b/>
          <w:sz w:val="26"/>
          <w:szCs w:val="26"/>
        </w:rPr>
        <w:br/>
        <w:t>Konkurencieschopnosť a hospodársky rast</w:t>
      </w:r>
    </w:p>
    <w:p w:rsidR="00B21EB8" w:rsidRPr="007F7181" w:rsidRDefault="00B21EB8" w:rsidP="00A732FA">
      <w:pPr>
        <w:tabs>
          <w:tab w:val="left" w:pos="9072"/>
        </w:tabs>
        <w:ind w:right="1"/>
        <w:jc w:val="center"/>
        <w:rPr>
          <w:b/>
        </w:rPr>
      </w:pPr>
    </w:p>
    <w:p w:rsidR="00B21EB8" w:rsidRDefault="00B21EB8" w:rsidP="00A732FA">
      <w:pPr>
        <w:tabs>
          <w:tab w:val="left" w:pos="9072"/>
        </w:tabs>
        <w:ind w:right="1"/>
        <w:jc w:val="center"/>
        <w:rPr>
          <w:b/>
          <w:sz w:val="48"/>
          <w:szCs w:val="48"/>
        </w:rPr>
      </w:pPr>
    </w:p>
    <w:p w:rsidR="00B21EB8" w:rsidRDefault="00B21EB8" w:rsidP="00A732FA">
      <w:pPr>
        <w:tabs>
          <w:tab w:val="left" w:pos="9072"/>
        </w:tabs>
        <w:ind w:right="1"/>
        <w:jc w:val="center"/>
        <w:rPr>
          <w:b/>
          <w:sz w:val="48"/>
          <w:szCs w:val="48"/>
        </w:rPr>
      </w:pPr>
    </w:p>
    <w:p w:rsidR="00B21EB8" w:rsidRPr="00384990" w:rsidRDefault="00B21EB8" w:rsidP="00A732FA">
      <w:pPr>
        <w:tabs>
          <w:tab w:val="left" w:pos="9072"/>
        </w:tabs>
        <w:ind w:right="1"/>
        <w:jc w:val="center"/>
        <w:rPr>
          <w:b/>
          <w:sz w:val="48"/>
          <w:szCs w:val="48"/>
        </w:rPr>
      </w:pPr>
    </w:p>
    <w:p w:rsidR="00B21EB8" w:rsidRPr="00384990" w:rsidRDefault="00B21EB8" w:rsidP="00A732FA">
      <w:pPr>
        <w:tabs>
          <w:tab w:val="left" w:pos="9072"/>
        </w:tabs>
        <w:spacing w:after="0" w:line="240" w:lineRule="auto"/>
        <w:ind w:right="1"/>
        <w:jc w:val="center"/>
        <w:rPr>
          <w:b/>
          <w:sz w:val="38"/>
          <w:szCs w:val="38"/>
        </w:rPr>
      </w:pPr>
      <w:r w:rsidRPr="00384990">
        <w:rPr>
          <w:b/>
          <w:sz w:val="38"/>
          <w:szCs w:val="38"/>
        </w:rPr>
        <w:t xml:space="preserve">Oznámenie o strategickom dokumente </w:t>
      </w:r>
    </w:p>
    <w:p w:rsidR="00B21EB8" w:rsidRPr="00384990" w:rsidRDefault="00B21EB8" w:rsidP="00A732FA">
      <w:pPr>
        <w:tabs>
          <w:tab w:val="left" w:pos="9072"/>
        </w:tabs>
        <w:spacing w:after="0" w:line="240" w:lineRule="auto"/>
        <w:ind w:right="1"/>
        <w:jc w:val="center"/>
        <w:rPr>
          <w:b/>
          <w:sz w:val="38"/>
          <w:szCs w:val="38"/>
        </w:rPr>
      </w:pPr>
      <w:r w:rsidRPr="00384990">
        <w:rPr>
          <w:sz w:val="38"/>
          <w:szCs w:val="38"/>
        </w:rPr>
        <w:t>podľa zákona č. 24/2006 Z. z. o posudzovaní vplyvov na</w:t>
      </w:r>
      <w:r w:rsidRPr="00913E33">
        <w:rPr>
          <w:sz w:val="36"/>
          <w:szCs w:val="36"/>
        </w:rPr>
        <w:t> </w:t>
      </w:r>
      <w:r w:rsidRPr="00384990">
        <w:rPr>
          <w:sz w:val="38"/>
          <w:szCs w:val="38"/>
        </w:rPr>
        <w:t>životné prostredie a o zmene a doplnení niektorých zákonov v znení neskorších predpisov</w:t>
      </w:r>
    </w:p>
    <w:p w:rsidR="00B21EB8" w:rsidRPr="00384990" w:rsidRDefault="00B21EB8" w:rsidP="00A732FA">
      <w:pPr>
        <w:tabs>
          <w:tab w:val="left" w:pos="9072"/>
        </w:tabs>
        <w:spacing w:after="0" w:line="240" w:lineRule="auto"/>
        <w:ind w:right="1"/>
        <w:rPr>
          <w:b/>
        </w:rPr>
      </w:pPr>
    </w:p>
    <w:p w:rsidR="00B21EB8" w:rsidRPr="00384990" w:rsidRDefault="00B21EB8" w:rsidP="00A732FA">
      <w:pPr>
        <w:tabs>
          <w:tab w:val="left" w:pos="9072"/>
        </w:tabs>
        <w:spacing w:after="0" w:line="240" w:lineRule="auto"/>
        <w:ind w:right="1"/>
        <w:rPr>
          <w:b/>
        </w:rPr>
      </w:pPr>
    </w:p>
    <w:p w:rsidR="00B21EB8" w:rsidRPr="00384990" w:rsidRDefault="00B21EB8" w:rsidP="00A732FA">
      <w:pPr>
        <w:tabs>
          <w:tab w:val="left" w:pos="9072"/>
        </w:tabs>
        <w:spacing w:after="0" w:line="240" w:lineRule="auto"/>
        <w:ind w:right="1"/>
        <w:rPr>
          <w:b/>
        </w:rPr>
      </w:pPr>
    </w:p>
    <w:p w:rsidR="00B21EB8" w:rsidRPr="005C7F85" w:rsidRDefault="00B21EB8" w:rsidP="00A732FA">
      <w:pPr>
        <w:tabs>
          <w:tab w:val="left" w:pos="9072"/>
          <w:tab w:val="left" w:pos="9214"/>
        </w:tabs>
        <w:spacing w:after="0" w:line="240" w:lineRule="auto"/>
        <w:ind w:right="1"/>
        <w:jc w:val="center"/>
        <w:rPr>
          <w:b/>
          <w:sz w:val="34"/>
          <w:szCs w:val="34"/>
        </w:rPr>
      </w:pPr>
      <w:r w:rsidRPr="007F7181">
        <w:rPr>
          <w:b/>
          <w:sz w:val="34"/>
          <w:szCs w:val="34"/>
        </w:rPr>
        <w:t xml:space="preserve">Revízia Operačného programu </w:t>
      </w:r>
      <w:r>
        <w:rPr>
          <w:b/>
          <w:sz w:val="34"/>
          <w:szCs w:val="34"/>
        </w:rPr>
        <w:t>Konkurencieschopnosť a hospodársky rast</w:t>
      </w:r>
      <w:r w:rsidRPr="007F7181">
        <w:rPr>
          <w:b/>
          <w:sz w:val="34"/>
          <w:szCs w:val="34"/>
        </w:rPr>
        <w:t xml:space="preserve"> </w:t>
      </w:r>
      <w:r w:rsidR="00A57965">
        <w:rPr>
          <w:b/>
          <w:sz w:val="34"/>
          <w:szCs w:val="34"/>
        </w:rPr>
        <w:t xml:space="preserve">– verzia </w:t>
      </w:r>
      <w:r w:rsidR="00376EDD">
        <w:rPr>
          <w:b/>
          <w:sz w:val="34"/>
          <w:szCs w:val="34"/>
        </w:rPr>
        <w:t>7</w:t>
      </w:r>
      <w:r>
        <w:rPr>
          <w:b/>
          <w:sz w:val="34"/>
          <w:szCs w:val="34"/>
        </w:rPr>
        <w:t>.</w:t>
      </w:r>
      <w:r w:rsidR="001D2B01">
        <w:rPr>
          <w:b/>
          <w:sz w:val="34"/>
          <w:szCs w:val="34"/>
        </w:rPr>
        <w:t>1</w:t>
      </w:r>
    </w:p>
    <w:p w:rsidR="00B21EB8" w:rsidRDefault="00B21EB8" w:rsidP="00A732FA">
      <w:pPr>
        <w:tabs>
          <w:tab w:val="left" w:pos="9072"/>
        </w:tabs>
        <w:ind w:right="1"/>
      </w:pPr>
    </w:p>
    <w:p w:rsidR="00B21EB8" w:rsidRPr="00384990" w:rsidRDefault="00B21EB8" w:rsidP="00A732FA">
      <w:pPr>
        <w:tabs>
          <w:tab w:val="left" w:pos="9072"/>
        </w:tabs>
        <w:spacing w:after="0" w:line="240" w:lineRule="auto"/>
        <w:ind w:right="1"/>
        <w:jc w:val="center"/>
        <w:rPr>
          <w:b/>
          <w:sz w:val="38"/>
          <w:szCs w:val="38"/>
        </w:rPr>
      </w:pPr>
      <w:r w:rsidRPr="00384990">
        <w:rPr>
          <w:b/>
          <w:sz w:val="38"/>
          <w:szCs w:val="38"/>
        </w:rPr>
        <w:t>- zisťovacie konanie</w:t>
      </w:r>
    </w:p>
    <w:p w:rsidR="00B21EB8" w:rsidRDefault="00B21EB8" w:rsidP="00A732FA">
      <w:pPr>
        <w:tabs>
          <w:tab w:val="left" w:pos="9072"/>
        </w:tabs>
        <w:ind w:right="1"/>
      </w:pPr>
    </w:p>
    <w:p w:rsidR="00B21EB8" w:rsidRDefault="00B21EB8" w:rsidP="00A732FA">
      <w:pPr>
        <w:tabs>
          <w:tab w:val="left" w:pos="9072"/>
        </w:tabs>
        <w:ind w:right="1"/>
      </w:pPr>
    </w:p>
    <w:p w:rsidR="00B21EB8" w:rsidRPr="00384990" w:rsidRDefault="00A23867" w:rsidP="00A732FA">
      <w:pPr>
        <w:tabs>
          <w:tab w:val="left" w:pos="9072"/>
        </w:tabs>
        <w:ind w:right="1"/>
        <w:jc w:val="center"/>
        <w:rPr>
          <w:b/>
          <w:bCs/>
          <w:color w:val="231F20"/>
          <w:sz w:val="28"/>
          <w:szCs w:val="28"/>
        </w:rPr>
      </w:pPr>
      <w:r>
        <w:rPr>
          <w:noProof/>
          <w:lang w:eastAsia="sk-SK"/>
        </w:rPr>
        <w:drawing>
          <wp:inline distT="0" distB="0" distL="0" distR="0">
            <wp:extent cx="5312410" cy="1419225"/>
            <wp:effectExtent l="0" t="0" r="254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2410" cy="1419225"/>
                    </a:xfrm>
                    <a:prstGeom prst="rect">
                      <a:avLst/>
                    </a:prstGeom>
                    <a:noFill/>
                    <a:ln>
                      <a:noFill/>
                    </a:ln>
                  </pic:spPr>
                </pic:pic>
              </a:graphicData>
            </a:graphic>
          </wp:inline>
        </w:drawing>
      </w:r>
      <w:r w:rsidR="00B21EB8">
        <w:rPr>
          <w:b/>
          <w:bCs/>
          <w:color w:val="231F20"/>
          <w:sz w:val="28"/>
          <w:szCs w:val="28"/>
        </w:rPr>
        <w:br w:type="page"/>
      </w:r>
      <w:r w:rsidR="00B21EB8" w:rsidRPr="00384990">
        <w:rPr>
          <w:b/>
          <w:bCs/>
          <w:color w:val="231F20"/>
          <w:sz w:val="28"/>
          <w:szCs w:val="28"/>
        </w:rPr>
        <w:lastRenderedPageBreak/>
        <w:t>I. Základné údaje o obstarávateľovi</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r w:rsidRPr="00384990">
        <w:rPr>
          <w:b/>
          <w:bCs/>
          <w:i/>
          <w:iCs/>
          <w:color w:val="231F20"/>
        </w:rPr>
        <w:t xml:space="preserve">1. Názov: </w:t>
      </w:r>
    </w:p>
    <w:p w:rsidR="00B21EB8" w:rsidRPr="00965E20" w:rsidRDefault="00B21EB8" w:rsidP="00A732FA">
      <w:pPr>
        <w:widowControl w:val="0"/>
        <w:tabs>
          <w:tab w:val="left" w:pos="9072"/>
        </w:tabs>
        <w:autoSpaceDE w:val="0"/>
        <w:autoSpaceDN w:val="0"/>
        <w:adjustRightInd w:val="0"/>
        <w:spacing w:before="120" w:after="0" w:line="240" w:lineRule="auto"/>
        <w:jc w:val="both"/>
        <w:rPr>
          <w:color w:val="231F20"/>
        </w:rPr>
      </w:pPr>
      <w:r w:rsidRPr="00384990">
        <w:rPr>
          <w:color w:val="231F20"/>
        </w:rPr>
        <w:t xml:space="preserve">Ministerstvo </w:t>
      </w:r>
      <w:r>
        <w:rPr>
          <w:color w:val="231F20"/>
        </w:rPr>
        <w:t xml:space="preserve">hospodárstva </w:t>
      </w:r>
      <w:r w:rsidRPr="00384990">
        <w:rPr>
          <w:color w:val="231F20"/>
        </w:rPr>
        <w:t>Slovenskej republiky</w:t>
      </w:r>
    </w:p>
    <w:p w:rsidR="00B21EB8" w:rsidRDefault="00B21EB8" w:rsidP="00A732FA">
      <w:pPr>
        <w:widowControl w:val="0"/>
        <w:tabs>
          <w:tab w:val="left" w:pos="9072"/>
        </w:tabs>
        <w:autoSpaceDE w:val="0"/>
        <w:autoSpaceDN w:val="0"/>
        <w:adjustRightInd w:val="0"/>
        <w:spacing w:after="0" w:line="240" w:lineRule="auto"/>
        <w:ind w:right="1" w:firstLine="720"/>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firstLine="720"/>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color w:val="231F20"/>
        </w:rPr>
      </w:pPr>
      <w:r w:rsidRPr="00384990">
        <w:rPr>
          <w:b/>
          <w:bCs/>
          <w:i/>
          <w:iCs/>
          <w:color w:val="231F20"/>
        </w:rPr>
        <w:t>2. Identifikačné číslo:</w:t>
      </w:r>
      <w:r w:rsidRPr="00384990">
        <w:rPr>
          <w:color w:val="231F20"/>
        </w:rPr>
        <w:t xml:space="preserve"> </w:t>
      </w:r>
    </w:p>
    <w:p w:rsidR="00B21EB8" w:rsidRPr="00384990" w:rsidRDefault="00B21EB8" w:rsidP="00A732FA">
      <w:pPr>
        <w:widowControl w:val="0"/>
        <w:tabs>
          <w:tab w:val="left" w:pos="9072"/>
        </w:tabs>
        <w:autoSpaceDE w:val="0"/>
        <w:autoSpaceDN w:val="0"/>
        <w:adjustRightInd w:val="0"/>
        <w:spacing w:before="120" w:after="0" w:line="240" w:lineRule="auto"/>
        <w:jc w:val="both"/>
        <w:rPr>
          <w:color w:val="231F20"/>
        </w:rPr>
      </w:pPr>
      <w:r w:rsidRPr="00384990">
        <w:rPr>
          <w:color w:val="231F20"/>
        </w:rPr>
        <w:t xml:space="preserve">00 </w:t>
      </w:r>
      <w:r>
        <w:rPr>
          <w:color w:val="231F20"/>
        </w:rPr>
        <w:t>686 832</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r w:rsidRPr="00384990">
        <w:rPr>
          <w:b/>
          <w:bCs/>
          <w:i/>
          <w:iCs/>
          <w:color w:val="231F20"/>
        </w:rPr>
        <w:t xml:space="preserve">3. Adresa sídla: </w:t>
      </w:r>
    </w:p>
    <w:p w:rsidR="00B21EB8" w:rsidRPr="00384990" w:rsidRDefault="00B21EB8" w:rsidP="00A732FA">
      <w:pPr>
        <w:widowControl w:val="0"/>
        <w:tabs>
          <w:tab w:val="left" w:pos="9072"/>
        </w:tabs>
        <w:autoSpaceDE w:val="0"/>
        <w:autoSpaceDN w:val="0"/>
        <w:adjustRightInd w:val="0"/>
        <w:spacing w:before="120" w:after="0" w:line="240" w:lineRule="auto"/>
        <w:jc w:val="both"/>
        <w:rPr>
          <w:color w:val="231F20"/>
        </w:rPr>
      </w:pPr>
      <w:r>
        <w:rPr>
          <w:color w:val="231F20"/>
        </w:rPr>
        <w:t>Mierová</w:t>
      </w:r>
      <w:r w:rsidRPr="00384990">
        <w:rPr>
          <w:color w:val="231F20"/>
        </w:rPr>
        <w:t xml:space="preserve"> 1</w:t>
      </w:r>
      <w:r>
        <w:rPr>
          <w:color w:val="231F20"/>
        </w:rPr>
        <w:t>9</w:t>
      </w:r>
    </w:p>
    <w:p w:rsidR="00B21EB8" w:rsidRPr="00384990" w:rsidRDefault="00B21EB8" w:rsidP="00A732FA">
      <w:pPr>
        <w:widowControl w:val="0"/>
        <w:tabs>
          <w:tab w:val="left" w:pos="9072"/>
        </w:tabs>
        <w:autoSpaceDE w:val="0"/>
        <w:autoSpaceDN w:val="0"/>
        <w:adjustRightInd w:val="0"/>
        <w:spacing w:after="0" w:line="240" w:lineRule="auto"/>
        <w:ind w:right="1"/>
        <w:jc w:val="both"/>
        <w:rPr>
          <w:color w:val="231F20"/>
        </w:rPr>
      </w:pPr>
      <w:r w:rsidRPr="00384990">
        <w:rPr>
          <w:color w:val="231F20"/>
        </w:rPr>
        <w:t>82</w:t>
      </w:r>
      <w:r>
        <w:rPr>
          <w:color w:val="231F20"/>
        </w:rPr>
        <w:t>7</w:t>
      </w:r>
      <w:r w:rsidRPr="00384990">
        <w:rPr>
          <w:color w:val="231F20"/>
        </w:rPr>
        <w:t xml:space="preserve"> </w:t>
      </w:r>
      <w:r>
        <w:rPr>
          <w:color w:val="231F20"/>
        </w:rPr>
        <w:t>15</w:t>
      </w:r>
      <w:r w:rsidRPr="00384990">
        <w:rPr>
          <w:color w:val="231F20"/>
        </w:rPr>
        <w:t xml:space="preserve"> </w:t>
      </w:r>
      <w:r>
        <w:rPr>
          <w:color w:val="231F20"/>
        </w:rPr>
        <w:t xml:space="preserve"> </w:t>
      </w:r>
      <w:r w:rsidRPr="00384990">
        <w:rPr>
          <w:color w:val="231F20"/>
        </w:rPr>
        <w:t xml:space="preserve">Bratislava </w:t>
      </w:r>
      <w:r>
        <w:rPr>
          <w:color w:val="231F20"/>
        </w:rPr>
        <w:t>2</w:t>
      </w:r>
      <w:r w:rsidRPr="00384990">
        <w:rPr>
          <w:color w:val="231F20"/>
        </w:rPr>
        <w:t>1</w:t>
      </w:r>
      <w:r>
        <w:rPr>
          <w:color w:val="231F20"/>
        </w:rPr>
        <w:t>2</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r w:rsidRPr="00384990">
        <w:rPr>
          <w:b/>
          <w:bCs/>
          <w:i/>
          <w:iCs/>
          <w:color w:val="231F20"/>
        </w:rPr>
        <w:t xml:space="preserve">4. Meno, priezvisko, adresa, telefónne číslo a iné kontaktné údaje oprávneného zástupcu obstarávateľa: </w:t>
      </w:r>
    </w:p>
    <w:p w:rsidR="00B21EB8" w:rsidRPr="00384990" w:rsidRDefault="00376EDD" w:rsidP="00A732FA">
      <w:pPr>
        <w:widowControl w:val="0"/>
        <w:tabs>
          <w:tab w:val="left" w:pos="9072"/>
        </w:tabs>
        <w:autoSpaceDE w:val="0"/>
        <w:autoSpaceDN w:val="0"/>
        <w:adjustRightInd w:val="0"/>
        <w:spacing w:before="120" w:after="0" w:line="240" w:lineRule="auto"/>
        <w:rPr>
          <w:color w:val="231F20"/>
        </w:rPr>
      </w:pPr>
      <w:r>
        <w:rPr>
          <w:color w:val="231F20"/>
        </w:rPr>
        <w:t>Mg</w:t>
      </w:r>
      <w:r w:rsidR="00B21EB8">
        <w:rPr>
          <w:color w:val="231F20"/>
        </w:rPr>
        <w:t>r</w:t>
      </w:r>
      <w:r w:rsidR="00B21EB8" w:rsidRPr="00384990">
        <w:rPr>
          <w:color w:val="231F20"/>
        </w:rPr>
        <w:t xml:space="preserve">. </w:t>
      </w:r>
      <w:r w:rsidR="001C4FC5">
        <w:rPr>
          <w:color w:val="231F20"/>
        </w:rPr>
        <w:t>Roderik Klinda</w:t>
      </w:r>
    </w:p>
    <w:p w:rsidR="00B21EB8" w:rsidRDefault="00B21EB8" w:rsidP="00A732FA">
      <w:pPr>
        <w:widowControl w:val="0"/>
        <w:tabs>
          <w:tab w:val="left" w:pos="9072"/>
        </w:tabs>
        <w:autoSpaceDE w:val="0"/>
        <w:autoSpaceDN w:val="0"/>
        <w:adjustRightInd w:val="0"/>
        <w:spacing w:after="0" w:line="240" w:lineRule="auto"/>
        <w:ind w:right="1"/>
        <w:rPr>
          <w:color w:val="231F20"/>
        </w:rPr>
      </w:pPr>
      <w:r w:rsidRPr="00384990">
        <w:rPr>
          <w:color w:val="231F20"/>
        </w:rPr>
        <w:t>generáln</w:t>
      </w:r>
      <w:r>
        <w:rPr>
          <w:color w:val="231F20"/>
        </w:rPr>
        <w:t>y</w:t>
      </w:r>
      <w:r w:rsidRPr="00384990">
        <w:rPr>
          <w:color w:val="231F20"/>
        </w:rPr>
        <w:t xml:space="preserve"> riaditeľ </w:t>
      </w:r>
    </w:p>
    <w:p w:rsidR="00B21EB8" w:rsidRDefault="00B21EB8" w:rsidP="00A732FA">
      <w:pPr>
        <w:widowControl w:val="0"/>
        <w:tabs>
          <w:tab w:val="left" w:pos="9072"/>
        </w:tabs>
        <w:autoSpaceDE w:val="0"/>
        <w:autoSpaceDN w:val="0"/>
        <w:adjustRightInd w:val="0"/>
        <w:spacing w:after="0" w:line="240" w:lineRule="auto"/>
        <w:ind w:right="1"/>
        <w:rPr>
          <w:color w:val="231F20"/>
        </w:rPr>
      </w:pPr>
      <w:r w:rsidRPr="00384990">
        <w:rPr>
          <w:color w:val="231F20"/>
        </w:rPr>
        <w:t>sekci</w:t>
      </w:r>
      <w:r>
        <w:rPr>
          <w:color w:val="231F20"/>
        </w:rPr>
        <w:t>a podporných</w:t>
      </w:r>
      <w:r w:rsidRPr="00384990">
        <w:rPr>
          <w:color w:val="231F20"/>
        </w:rPr>
        <w:t xml:space="preserve"> programov </w:t>
      </w:r>
    </w:p>
    <w:p w:rsidR="00B21EB8" w:rsidRPr="00965E20" w:rsidRDefault="00B21EB8" w:rsidP="00A732FA">
      <w:pPr>
        <w:widowControl w:val="0"/>
        <w:tabs>
          <w:tab w:val="left" w:pos="9072"/>
        </w:tabs>
        <w:autoSpaceDE w:val="0"/>
        <w:autoSpaceDN w:val="0"/>
        <w:adjustRightInd w:val="0"/>
        <w:spacing w:after="0" w:line="240" w:lineRule="auto"/>
        <w:ind w:right="1"/>
        <w:jc w:val="both"/>
        <w:rPr>
          <w:color w:val="231F20"/>
        </w:rPr>
      </w:pPr>
      <w:r w:rsidRPr="00384990">
        <w:rPr>
          <w:color w:val="231F20"/>
        </w:rPr>
        <w:t xml:space="preserve">Ministerstvo </w:t>
      </w:r>
      <w:r>
        <w:rPr>
          <w:color w:val="231F20"/>
        </w:rPr>
        <w:t xml:space="preserve">hospodárstva </w:t>
      </w:r>
      <w:r w:rsidRPr="00384990">
        <w:rPr>
          <w:color w:val="231F20"/>
        </w:rPr>
        <w:t>S</w:t>
      </w:r>
      <w:r w:rsidR="00376EDD">
        <w:rPr>
          <w:color w:val="231F20"/>
        </w:rPr>
        <w:t>lovenskej republiky</w:t>
      </w:r>
    </w:p>
    <w:p w:rsidR="00B21EB8" w:rsidRPr="00384990" w:rsidRDefault="00B21EB8" w:rsidP="00A732FA">
      <w:pPr>
        <w:widowControl w:val="0"/>
        <w:tabs>
          <w:tab w:val="left" w:pos="9072"/>
        </w:tabs>
        <w:autoSpaceDE w:val="0"/>
        <w:autoSpaceDN w:val="0"/>
        <w:adjustRightInd w:val="0"/>
        <w:spacing w:after="0" w:line="240" w:lineRule="auto"/>
        <w:ind w:right="1"/>
        <w:jc w:val="both"/>
        <w:rPr>
          <w:color w:val="231F20"/>
        </w:rPr>
      </w:pPr>
      <w:r>
        <w:rPr>
          <w:color w:val="231F20"/>
        </w:rPr>
        <w:t>Mierová</w:t>
      </w:r>
      <w:r w:rsidRPr="00384990">
        <w:rPr>
          <w:color w:val="231F20"/>
        </w:rPr>
        <w:t xml:space="preserve"> 1</w:t>
      </w:r>
      <w:r>
        <w:rPr>
          <w:color w:val="231F20"/>
        </w:rPr>
        <w:t>9</w:t>
      </w:r>
    </w:p>
    <w:p w:rsidR="00B21EB8" w:rsidRPr="00384990" w:rsidRDefault="00B21EB8" w:rsidP="00A732FA">
      <w:pPr>
        <w:widowControl w:val="0"/>
        <w:tabs>
          <w:tab w:val="left" w:pos="9072"/>
        </w:tabs>
        <w:autoSpaceDE w:val="0"/>
        <w:autoSpaceDN w:val="0"/>
        <w:adjustRightInd w:val="0"/>
        <w:spacing w:after="0" w:line="240" w:lineRule="auto"/>
        <w:ind w:right="1"/>
        <w:jc w:val="both"/>
        <w:rPr>
          <w:color w:val="231F20"/>
        </w:rPr>
      </w:pPr>
      <w:r w:rsidRPr="00384990">
        <w:rPr>
          <w:color w:val="231F20"/>
        </w:rPr>
        <w:t>82</w:t>
      </w:r>
      <w:r>
        <w:rPr>
          <w:color w:val="231F20"/>
        </w:rPr>
        <w:t>7</w:t>
      </w:r>
      <w:r w:rsidRPr="00384990">
        <w:rPr>
          <w:color w:val="231F20"/>
        </w:rPr>
        <w:t xml:space="preserve"> </w:t>
      </w:r>
      <w:r>
        <w:rPr>
          <w:color w:val="231F20"/>
        </w:rPr>
        <w:t>15</w:t>
      </w:r>
      <w:r w:rsidRPr="00384990">
        <w:rPr>
          <w:color w:val="231F20"/>
        </w:rPr>
        <w:t xml:space="preserve"> </w:t>
      </w:r>
      <w:r>
        <w:rPr>
          <w:color w:val="231F20"/>
        </w:rPr>
        <w:t xml:space="preserve"> </w:t>
      </w:r>
      <w:r w:rsidRPr="00384990">
        <w:rPr>
          <w:color w:val="231F20"/>
        </w:rPr>
        <w:t xml:space="preserve">Bratislava </w:t>
      </w:r>
      <w:r>
        <w:rPr>
          <w:color w:val="231F20"/>
        </w:rPr>
        <w:t>2</w:t>
      </w:r>
      <w:r w:rsidRPr="00384990">
        <w:rPr>
          <w:color w:val="231F20"/>
        </w:rPr>
        <w:t>1</w:t>
      </w:r>
      <w:r>
        <w:rPr>
          <w:color w:val="231F20"/>
        </w:rPr>
        <w:t>2</w:t>
      </w:r>
    </w:p>
    <w:p w:rsidR="00B21EB8" w:rsidRPr="00384990" w:rsidRDefault="00B21EB8" w:rsidP="00A732FA">
      <w:pPr>
        <w:widowControl w:val="0"/>
        <w:tabs>
          <w:tab w:val="left" w:pos="9072"/>
        </w:tabs>
        <w:autoSpaceDE w:val="0"/>
        <w:autoSpaceDN w:val="0"/>
        <w:adjustRightInd w:val="0"/>
        <w:spacing w:after="0" w:line="240" w:lineRule="auto"/>
        <w:ind w:right="1"/>
        <w:rPr>
          <w:color w:val="231F20"/>
        </w:rPr>
      </w:pPr>
      <w:r w:rsidRPr="00384990">
        <w:rPr>
          <w:color w:val="231F20"/>
        </w:rPr>
        <w:t xml:space="preserve">tel.: +421 2 </w:t>
      </w:r>
      <w:r>
        <w:rPr>
          <w:color w:val="231F20"/>
        </w:rPr>
        <w:t>4854</w:t>
      </w:r>
      <w:r w:rsidRPr="00384990">
        <w:rPr>
          <w:color w:val="231F20"/>
        </w:rPr>
        <w:t xml:space="preserve"> </w:t>
      </w:r>
      <w:r>
        <w:rPr>
          <w:color w:val="231F20"/>
        </w:rPr>
        <w:t>7121</w:t>
      </w:r>
    </w:p>
    <w:p w:rsidR="00B21EB8" w:rsidRDefault="00B21EB8" w:rsidP="00A732FA">
      <w:pPr>
        <w:widowControl w:val="0"/>
        <w:tabs>
          <w:tab w:val="left" w:pos="9072"/>
        </w:tabs>
        <w:autoSpaceDE w:val="0"/>
        <w:autoSpaceDN w:val="0"/>
        <w:adjustRightInd w:val="0"/>
        <w:spacing w:after="0" w:line="240" w:lineRule="auto"/>
        <w:ind w:right="1"/>
        <w:rPr>
          <w:color w:val="231F20"/>
        </w:rPr>
      </w:pPr>
      <w:r w:rsidRPr="00384990">
        <w:rPr>
          <w:color w:val="231F20"/>
        </w:rPr>
        <w:t xml:space="preserve">e-mail: </w:t>
      </w:r>
      <w:r w:rsidR="00376EDD">
        <w:rPr>
          <w:color w:val="231F20"/>
        </w:rPr>
        <w:t>roderik.klinda@mhsr.sk</w:t>
      </w:r>
      <w:hyperlink r:id="rId11" w:history="1"/>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ED2D22" w:rsidRDefault="00B21EB8" w:rsidP="00A732FA">
      <w:pPr>
        <w:widowControl w:val="0"/>
        <w:tabs>
          <w:tab w:val="left" w:pos="9072"/>
        </w:tabs>
        <w:autoSpaceDE w:val="0"/>
        <w:autoSpaceDN w:val="0"/>
        <w:adjustRightInd w:val="0"/>
        <w:spacing w:after="0" w:line="240" w:lineRule="auto"/>
        <w:ind w:right="1"/>
        <w:jc w:val="both"/>
        <w:rPr>
          <w:b/>
          <w:bCs/>
          <w:i/>
          <w:iCs/>
          <w:color w:val="231F20"/>
        </w:rPr>
      </w:pPr>
      <w:r w:rsidRPr="00ED2D22">
        <w:rPr>
          <w:b/>
          <w:bCs/>
          <w:i/>
          <w:iCs/>
          <w:color w:val="231F20"/>
        </w:rPr>
        <w:t>5. Meno, priezvisko, adresa, telefónne číslo a iné kontaktné údaje kontaktnej osoby, od ktorej možno dostať relevantné informácie o strategickom dokumente, a miesto na konzultácie:</w:t>
      </w:r>
    </w:p>
    <w:p w:rsidR="00B21EB8" w:rsidRPr="005C374A" w:rsidRDefault="00B21EB8" w:rsidP="00A732FA">
      <w:pPr>
        <w:widowControl w:val="0"/>
        <w:tabs>
          <w:tab w:val="left" w:pos="9072"/>
        </w:tabs>
        <w:autoSpaceDE w:val="0"/>
        <w:autoSpaceDN w:val="0"/>
        <w:adjustRightInd w:val="0"/>
        <w:spacing w:before="120" w:after="0" w:line="240" w:lineRule="auto"/>
        <w:rPr>
          <w:color w:val="231F20"/>
        </w:rPr>
      </w:pPr>
      <w:r w:rsidRPr="005C374A">
        <w:rPr>
          <w:color w:val="231F20"/>
        </w:rPr>
        <w:t>Mgr. Pavol Borovský</w:t>
      </w:r>
    </w:p>
    <w:p w:rsidR="00B21EB8" w:rsidRPr="005C374A" w:rsidRDefault="00B21EB8" w:rsidP="00A732FA">
      <w:pPr>
        <w:widowControl w:val="0"/>
        <w:tabs>
          <w:tab w:val="left" w:pos="9072"/>
        </w:tabs>
        <w:autoSpaceDE w:val="0"/>
        <w:autoSpaceDN w:val="0"/>
        <w:adjustRightInd w:val="0"/>
        <w:spacing w:after="0" w:line="240" w:lineRule="auto"/>
        <w:ind w:right="1"/>
        <w:rPr>
          <w:color w:val="231F20"/>
        </w:rPr>
      </w:pPr>
      <w:r w:rsidRPr="005C374A">
        <w:rPr>
          <w:color w:val="231F20"/>
        </w:rPr>
        <w:t xml:space="preserve">riaditeľ </w:t>
      </w:r>
    </w:p>
    <w:p w:rsidR="00B21EB8" w:rsidRPr="005C374A" w:rsidRDefault="00B21EB8" w:rsidP="00A732FA">
      <w:pPr>
        <w:widowControl w:val="0"/>
        <w:tabs>
          <w:tab w:val="left" w:pos="9072"/>
        </w:tabs>
        <w:autoSpaceDE w:val="0"/>
        <w:autoSpaceDN w:val="0"/>
        <w:adjustRightInd w:val="0"/>
        <w:spacing w:after="0" w:line="240" w:lineRule="auto"/>
        <w:ind w:right="1"/>
        <w:rPr>
          <w:color w:val="231F20"/>
        </w:rPr>
      </w:pPr>
      <w:r w:rsidRPr="005C374A">
        <w:rPr>
          <w:color w:val="231F20"/>
        </w:rPr>
        <w:t>odbor riadenia OP a metodiky</w:t>
      </w:r>
    </w:p>
    <w:p w:rsidR="00B21EB8" w:rsidRPr="005C374A" w:rsidRDefault="00B21EB8" w:rsidP="00A732FA">
      <w:pPr>
        <w:widowControl w:val="0"/>
        <w:tabs>
          <w:tab w:val="left" w:pos="9072"/>
        </w:tabs>
        <w:autoSpaceDE w:val="0"/>
        <w:autoSpaceDN w:val="0"/>
        <w:adjustRightInd w:val="0"/>
        <w:spacing w:after="0" w:line="240" w:lineRule="auto"/>
        <w:ind w:right="1"/>
        <w:jc w:val="both"/>
        <w:rPr>
          <w:color w:val="231F20"/>
        </w:rPr>
      </w:pPr>
      <w:r w:rsidRPr="005C374A">
        <w:rPr>
          <w:color w:val="231F20"/>
        </w:rPr>
        <w:t>Ministerstvo hospodárstva SR</w:t>
      </w:r>
    </w:p>
    <w:p w:rsidR="00B21EB8" w:rsidRPr="005C374A" w:rsidRDefault="00B21EB8" w:rsidP="00A732FA">
      <w:pPr>
        <w:widowControl w:val="0"/>
        <w:tabs>
          <w:tab w:val="left" w:pos="9072"/>
        </w:tabs>
        <w:autoSpaceDE w:val="0"/>
        <w:autoSpaceDN w:val="0"/>
        <w:adjustRightInd w:val="0"/>
        <w:spacing w:after="0" w:line="240" w:lineRule="auto"/>
        <w:ind w:right="1"/>
        <w:jc w:val="both"/>
        <w:rPr>
          <w:color w:val="231F20"/>
        </w:rPr>
      </w:pPr>
      <w:r w:rsidRPr="005C374A">
        <w:rPr>
          <w:color w:val="231F20"/>
        </w:rPr>
        <w:t>Mierová 19</w:t>
      </w:r>
    </w:p>
    <w:p w:rsidR="00B21EB8" w:rsidRPr="005C374A" w:rsidRDefault="00B21EB8" w:rsidP="00A732FA">
      <w:pPr>
        <w:widowControl w:val="0"/>
        <w:tabs>
          <w:tab w:val="left" w:pos="9072"/>
        </w:tabs>
        <w:autoSpaceDE w:val="0"/>
        <w:autoSpaceDN w:val="0"/>
        <w:adjustRightInd w:val="0"/>
        <w:spacing w:after="0" w:line="240" w:lineRule="auto"/>
        <w:ind w:right="1"/>
        <w:jc w:val="both"/>
        <w:rPr>
          <w:color w:val="231F20"/>
        </w:rPr>
      </w:pPr>
      <w:r w:rsidRPr="005C374A">
        <w:rPr>
          <w:color w:val="231F20"/>
        </w:rPr>
        <w:t>827 15  Bratislava 212</w:t>
      </w:r>
    </w:p>
    <w:p w:rsidR="00B21EB8" w:rsidRPr="005C374A" w:rsidRDefault="00B21EB8" w:rsidP="00A732FA">
      <w:pPr>
        <w:widowControl w:val="0"/>
        <w:tabs>
          <w:tab w:val="left" w:pos="9072"/>
        </w:tabs>
        <w:autoSpaceDE w:val="0"/>
        <w:autoSpaceDN w:val="0"/>
        <w:adjustRightInd w:val="0"/>
        <w:spacing w:after="0" w:line="240" w:lineRule="auto"/>
        <w:ind w:right="1"/>
        <w:rPr>
          <w:color w:val="231F20"/>
        </w:rPr>
      </w:pPr>
      <w:r w:rsidRPr="005C374A">
        <w:rPr>
          <w:color w:val="231F20"/>
        </w:rPr>
        <w:t>tel.: +421 2 4854 7155</w:t>
      </w:r>
    </w:p>
    <w:p w:rsidR="00B21EB8" w:rsidRDefault="00B21EB8" w:rsidP="00A732FA">
      <w:pPr>
        <w:widowControl w:val="0"/>
        <w:tabs>
          <w:tab w:val="left" w:pos="9072"/>
        </w:tabs>
        <w:autoSpaceDE w:val="0"/>
        <w:autoSpaceDN w:val="0"/>
        <w:adjustRightInd w:val="0"/>
        <w:spacing w:after="0" w:line="240" w:lineRule="auto"/>
        <w:ind w:right="1"/>
        <w:rPr>
          <w:color w:val="231F20"/>
        </w:rPr>
      </w:pPr>
      <w:r w:rsidRPr="005C374A">
        <w:rPr>
          <w:color w:val="231F20"/>
        </w:rPr>
        <w:t xml:space="preserve">e-mail: </w:t>
      </w:r>
      <w:hyperlink r:id="rId12" w:history="1">
        <w:r w:rsidRPr="005C374A">
          <w:rPr>
            <w:rStyle w:val="Hypertextovprepojenie"/>
          </w:rPr>
          <w:t>borovsky@mhsr.sk</w:t>
        </w:r>
      </w:hyperlink>
    </w:p>
    <w:p w:rsidR="00B21EB8" w:rsidRDefault="00B21EB8" w:rsidP="00A732FA">
      <w:pPr>
        <w:widowControl w:val="0"/>
        <w:tabs>
          <w:tab w:val="left" w:pos="9072"/>
        </w:tabs>
        <w:autoSpaceDE w:val="0"/>
        <w:autoSpaceDN w:val="0"/>
        <w:adjustRightInd w:val="0"/>
        <w:spacing w:after="0" w:line="240" w:lineRule="auto"/>
        <w:ind w:right="1"/>
        <w:rPr>
          <w:color w:val="231F20"/>
        </w:rPr>
      </w:pPr>
    </w:p>
    <w:p w:rsidR="00B21EB8" w:rsidRPr="000146F0" w:rsidRDefault="00B21EB8" w:rsidP="00A732FA">
      <w:pPr>
        <w:widowControl w:val="0"/>
        <w:autoSpaceDE w:val="0"/>
        <w:autoSpaceDN w:val="0"/>
        <w:adjustRightInd w:val="0"/>
        <w:spacing w:after="0" w:line="240" w:lineRule="auto"/>
        <w:ind w:right="1"/>
        <w:rPr>
          <w:color w:val="231F20"/>
        </w:rPr>
      </w:pPr>
    </w:p>
    <w:p w:rsidR="00B21EB8" w:rsidRPr="00384990" w:rsidRDefault="00B21EB8" w:rsidP="00A732FA">
      <w:pPr>
        <w:widowControl w:val="0"/>
        <w:tabs>
          <w:tab w:val="left" w:pos="9072"/>
        </w:tabs>
        <w:autoSpaceDE w:val="0"/>
        <w:autoSpaceDN w:val="0"/>
        <w:adjustRightInd w:val="0"/>
        <w:spacing w:after="0" w:line="240" w:lineRule="auto"/>
        <w:ind w:right="1"/>
        <w:rPr>
          <w:color w:val="231F20"/>
        </w:rPr>
      </w:pPr>
    </w:p>
    <w:p w:rsidR="00B21EB8" w:rsidRPr="00D77213" w:rsidRDefault="00B21EB8" w:rsidP="00A732FA">
      <w:pPr>
        <w:widowControl w:val="0"/>
        <w:tabs>
          <w:tab w:val="left" w:pos="9072"/>
        </w:tabs>
        <w:autoSpaceDE w:val="0"/>
        <w:autoSpaceDN w:val="0"/>
        <w:adjustRightInd w:val="0"/>
        <w:spacing w:after="0" w:line="240" w:lineRule="auto"/>
        <w:ind w:right="1"/>
        <w:jc w:val="center"/>
        <w:rPr>
          <w:b/>
          <w:bCs/>
          <w:color w:val="231F20"/>
          <w:sz w:val="28"/>
          <w:szCs w:val="28"/>
        </w:rPr>
      </w:pPr>
      <w:r>
        <w:rPr>
          <w:b/>
          <w:bCs/>
          <w:color w:val="231F20"/>
          <w:sz w:val="28"/>
          <w:szCs w:val="28"/>
        </w:rPr>
        <w:br w:type="page"/>
      </w:r>
      <w:r w:rsidRPr="00384990">
        <w:rPr>
          <w:b/>
          <w:bCs/>
          <w:color w:val="231F20"/>
          <w:sz w:val="28"/>
          <w:szCs w:val="28"/>
        </w:rPr>
        <w:lastRenderedPageBreak/>
        <w:t>II. Základné údaje o strategickom dokumente</w:t>
      </w:r>
    </w:p>
    <w:p w:rsidR="00B21EB8" w:rsidRDefault="00B21EB8" w:rsidP="00A732FA">
      <w:pPr>
        <w:widowControl w:val="0"/>
        <w:tabs>
          <w:tab w:val="left" w:pos="9072"/>
        </w:tabs>
        <w:autoSpaceDE w:val="0"/>
        <w:autoSpaceDN w:val="0"/>
        <w:adjustRightInd w:val="0"/>
        <w:spacing w:after="0" w:line="240" w:lineRule="auto"/>
        <w:ind w:right="1"/>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rPr>
          <w:b/>
          <w:bCs/>
          <w:i/>
          <w:iCs/>
          <w:color w:val="231F20"/>
        </w:rPr>
      </w:pPr>
    </w:p>
    <w:p w:rsidR="00B21EB8"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384990">
        <w:rPr>
          <w:b/>
          <w:bCs/>
          <w:i/>
          <w:iCs/>
          <w:color w:val="231F20"/>
        </w:rPr>
        <w:t>Názov:</w:t>
      </w:r>
    </w:p>
    <w:p w:rsidR="00B21EB8" w:rsidRPr="000146F0" w:rsidRDefault="00B21EB8" w:rsidP="00A732FA">
      <w:pPr>
        <w:spacing w:before="120" w:after="0" w:line="240" w:lineRule="auto"/>
        <w:jc w:val="both"/>
      </w:pPr>
      <w:r w:rsidRPr="006461FD">
        <w:t xml:space="preserve">Revízia Operačného programu Konkurencieschopnosť a hospodársky rast </w:t>
      </w:r>
      <w:r w:rsidR="00A57965">
        <w:t xml:space="preserve">– verzia </w:t>
      </w:r>
      <w:r w:rsidR="00376EDD">
        <w:t>7</w:t>
      </w:r>
      <w:r>
        <w:t>.</w:t>
      </w:r>
      <w:r w:rsidR="001D2B01">
        <w:t>1</w:t>
      </w:r>
      <w:r>
        <w:t>.</w:t>
      </w:r>
      <w:r w:rsidRPr="000146F0">
        <w:t xml:space="preserve"> </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8D46CD"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384990">
        <w:rPr>
          <w:b/>
          <w:bCs/>
          <w:i/>
          <w:iCs/>
          <w:color w:val="231F20"/>
        </w:rPr>
        <w:t>Charakter:</w:t>
      </w:r>
      <w:r w:rsidRPr="008D46CD">
        <w:rPr>
          <w:b/>
          <w:bCs/>
          <w:i/>
          <w:iCs/>
          <w:color w:val="231F20"/>
        </w:rPr>
        <w:t xml:space="preserve"> </w:t>
      </w:r>
    </w:p>
    <w:p w:rsidR="00B21EB8" w:rsidRDefault="00B21EB8" w:rsidP="00A732FA">
      <w:pPr>
        <w:spacing w:before="120" w:after="0" w:line="240" w:lineRule="auto"/>
        <w:jc w:val="both"/>
      </w:pPr>
      <w:r w:rsidRPr="006A052A">
        <w:t>Revízia Operačného programu Konkurencieschopnosť a hospodársky rast</w:t>
      </w:r>
      <w:r w:rsidR="00A57965">
        <w:t xml:space="preserve"> – verzia </w:t>
      </w:r>
      <w:r w:rsidR="00376EDD">
        <w:t>7</w:t>
      </w:r>
      <w:r>
        <w:t>.</w:t>
      </w:r>
      <w:r w:rsidR="001D2B01">
        <w:t>1</w:t>
      </w:r>
      <w:r w:rsidRPr="00FE39A4">
        <w:t xml:space="preserve"> (ďalej </w:t>
      </w:r>
      <w:r>
        <w:t>aj</w:t>
      </w:r>
      <w:r w:rsidRPr="00FE39A4">
        <w:t xml:space="preserve"> „Revízia“) predstavuje svojím charakterom zmenu strategického dokumentu Operačný program Konkurencieschopnosť a hospodársky rast (ďalej len „OP KaHR“)</w:t>
      </w:r>
      <w:r>
        <w:t>.</w:t>
      </w:r>
    </w:p>
    <w:p w:rsidR="00B21EB8" w:rsidRDefault="00B21EB8" w:rsidP="00A732FA">
      <w:pPr>
        <w:spacing w:after="0" w:line="240" w:lineRule="auto"/>
        <w:jc w:val="both"/>
      </w:pPr>
    </w:p>
    <w:p w:rsidR="002F28D1" w:rsidRDefault="00B21EB8" w:rsidP="00A732FA">
      <w:pPr>
        <w:spacing w:after="0" w:line="240" w:lineRule="auto"/>
        <w:jc w:val="both"/>
      </w:pPr>
      <w:r>
        <w:t>P</w:t>
      </w:r>
      <w:r w:rsidRPr="00FE39A4">
        <w:t>ôvodné znenie</w:t>
      </w:r>
      <w:r>
        <w:t xml:space="preserve"> OP KaHR</w:t>
      </w:r>
      <w:r w:rsidRPr="00FE39A4">
        <w:t xml:space="preserve"> </w:t>
      </w:r>
      <w:r>
        <w:t>(</w:t>
      </w:r>
      <w:r w:rsidRPr="00FE39A4">
        <w:t>verzia 1.0</w:t>
      </w:r>
      <w:r>
        <w:t>)</w:t>
      </w:r>
      <w:r w:rsidRPr="00FE39A4">
        <w:t xml:space="preserve"> bolo schválené Rozhodnutím Komisie K(2007)5940 z 28.</w:t>
      </w:r>
      <w:r>
        <w:t> </w:t>
      </w:r>
      <w:r w:rsidRPr="00FE39A4">
        <w:t>novembra 2007, ktorým sa prijíma operačný program pre pomoc Spoločenstva pre konkurencieschopnosť a hospodársky rast z</w:t>
      </w:r>
      <w:r>
        <w:t> </w:t>
      </w:r>
      <w:r w:rsidRPr="00FE39A4">
        <w:t>Európskeho fondu pre regionálny rozvoj v rámci konvergenčného cieľa v regiónoch na Slovensku s výnimkou Bratislavského regiónu – CCI 2007SK161PO006</w:t>
      </w:r>
      <w:r>
        <w:t xml:space="preserve">. </w:t>
      </w:r>
    </w:p>
    <w:p w:rsidR="002F28D1" w:rsidRDefault="002F28D1" w:rsidP="00A732FA">
      <w:pPr>
        <w:spacing w:after="0" w:line="240" w:lineRule="auto"/>
        <w:jc w:val="both"/>
      </w:pPr>
    </w:p>
    <w:p w:rsidR="00740E5E" w:rsidRDefault="007F3DA5" w:rsidP="00DE663E">
      <w:pPr>
        <w:spacing w:after="0" w:line="240" w:lineRule="auto"/>
        <w:jc w:val="both"/>
      </w:pPr>
      <w:r>
        <w:t xml:space="preserve">Posledná revízia OP KaHR (verzia </w:t>
      </w:r>
      <w:r w:rsidR="00376EDD">
        <w:t>6</w:t>
      </w:r>
      <w:r>
        <w:t>.0) bola vypracovaná v</w:t>
      </w:r>
      <w:r w:rsidR="00B21EB8" w:rsidRPr="005C374A">
        <w:t xml:space="preserve"> nadväznosti na </w:t>
      </w:r>
      <w:r w:rsidR="00376EDD">
        <w:t xml:space="preserve">potrebu </w:t>
      </w:r>
      <w:r w:rsidR="00A5426C">
        <w:t xml:space="preserve">rozšírenia možností </w:t>
      </w:r>
      <w:r w:rsidR="00617B87">
        <w:t>realizácie národných projektov zameraných na podporu mal</w:t>
      </w:r>
      <w:r w:rsidR="00A5426C">
        <w:t>ýc</w:t>
      </w:r>
      <w:r w:rsidR="00617B87">
        <w:t>h a stredn</w:t>
      </w:r>
      <w:r w:rsidR="00A5426C">
        <w:t>ých</w:t>
      </w:r>
      <w:r w:rsidR="00617B87">
        <w:t xml:space="preserve"> podnik</w:t>
      </w:r>
      <w:r w:rsidR="00A5426C">
        <w:t>ov</w:t>
      </w:r>
      <w:r w:rsidR="00617B87">
        <w:t xml:space="preserve"> (ďalej aj „MSP“), ako základného zdroja</w:t>
      </w:r>
      <w:r w:rsidR="00740E5E" w:rsidRPr="00FD0D09">
        <w:t xml:space="preserve"> pracovných príležitostí, podnikateľských schopností a</w:t>
      </w:r>
      <w:r w:rsidR="00376EDD">
        <w:t> </w:t>
      </w:r>
      <w:r w:rsidR="00740E5E" w:rsidRPr="00FD0D09">
        <w:t>inováci</w:t>
      </w:r>
      <w:r w:rsidR="00617B87">
        <w:t>í</w:t>
      </w:r>
      <w:r w:rsidR="00740E5E" w:rsidRPr="00FD0D09">
        <w:t xml:space="preserve"> v</w:t>
      </w:r>
      <w:r w:rsidR="00A40548">
        <w:t> </w:t>
      </w:r>
      <w:r w:rsidR="00740E5E" w:rsidRPr="00FD0D09">
        <w:t>E</w:t>
      </w:r>
      <w:r w:rsidR="00A40548">
        <w:t>urópskej únii</w:t>
      </w:r>
      <w:r w:rsidR="0071362C">
        <w:t xml:space="preserve"> s cieľom efektívneho využitia disponibilných zdrojov OP KaHR</w:t>
      </w:r>
      <w:r w:rsidR="00617B87">
        <w:t xml:space="preserve">. </w:t>
      </w:r>
      <w:r w:rsidR="0071362C">
        <w:t xml:space="preserve">Predmetná revízia bola schválená Monitorovacím výborom pre Vedomostnú ekonomiku </w:t>
      </w:r>
      <w:r w:rsidR="003F4F65">
        <w:t xml:space="preserve">(ďalej aj „MVVE“) </w:t>
      </w:r>
      <w:r w:rsidR="0071362C">
        <w:t xml:space="preserve">2. júna 2014 a následne </w:t>
      </w:r>
      <w:r w:rsidR="0071362C" w:rsidRPr="0071362C">
        <w:rPr>
          <w:i/>
        </w:rPr>
        <w:t>rozhodnutím Komisie z 29. októbra 2014, ktorým sa mení a dopĺňa rozhodnutie K(2007) 5940, ktorým sa schvaľuje operačný program „Konkurencies</w:t>
      </w:r>
      <w:r w:rsidR="0071362C">
        <w:rPr>
          <w:i/>
        </w:rPr>
        <w:t>c</w:t>
      </w:r>
      <w:r w:rsidR="0071362C" w:rsidRPr="0071362C">
        <w:rPr>
          <w:i/>
        </w:rPr>
        <w:t>hopnosť a hospodársky rast“ Európskeho fondu regionálneho rozvoja v rámci cieľa konvergencie v regiónoch Slovenska okrem Bratislavy CCI 2007SK161PO006</w:t>
      </w:r>
      <w:r w:rsidR="0071362C">
        <w:t>.</w:t>
      </w:r>
    </w:p>
    <w:p w:rsidR="00B21EB8" w:rsidRDefault="00B21EB8" w:rsidP="00B57FED">
      <w:pPr>
        <w:spacing w:after="0" w:line="240" w:lineRule="auto"/>
        <w:jc w:val="both"/>
      </w:pPr>
    </w:p>
    <w:p w:rsidR="00CD7B0E" w:rsidRDefault="00CD7B0E" w:rsidP="00B57FED">
      <w:pPr>
        <w:spacing w:after="0" w:line="240" w:lineRule="auto"/>
        <w:jc w:val="both"/>
      </w:pPr>
      <w:r>
        <w:t>30. septembra 2015 bol MVVE schválený nový návrh revízie OP KaHR (verzia 7.0). Cieľom predmetnej revízie je presun finančných prostriedkov v objeme 15 mil. Eur (za zdroj Európskeho fondu regionálneho rozvoja) z prioritnej osi 3 Cestovný ruch, do prioritnej osi 2 Energetika a tomu zodpovedajúca úprava príslušných merateľných ukazovateľov. Cieľom presunu je efektívne využitie zostatkovej alokácie zdrojov operačného programu v nadväznosti na aktuálny vývoj realizácie projektov v jednotlivých prioritných osiach ako aj možnosti zmluvného viazania a následnej realizácie nových projektov, ktoré sú schopné do konca roka 2015 reálne generovať oprávnené výdavky. Návrh revízie OP KaHR (verzia 7.0) bude, na základe požiadavky Európskej komisie, predložený na schválenie Európskej komisii spolu s aktuálnym návrhom revízie OP KaHR (verziou 7.1).</w:t>
      </w:r>
    </w:p>
    <w:p w:rsidR="00CD7B0E" w:rsidRDefault="00CD7B0E" w:rsidP="00B57FED">
      <w:pPr>
        <w:spacing w:after="0" w:line="240" w:lineRule="auto"/>
        <w:jc w:val="both"/>
      </w:pPr>
    </w:p>
    <w:p w:rsidR="00E84C4B" w:rsidRDefault="0071362C" w:rsidP="00B57FED">
      <w:pPr>
        <w:spacing w:after="0" w:line="240" w:lineRule="auto"/>
        <w:jc w:val="both"/>
      </w:pPr>
      <w:r>
        <w:t>Predmetom aktuálne</w:t>
      </w:r>
      <w:r w:rsidR="00E84C4B">
        <w:t xml:space="preserve">ho návrhu revízie </w:t>
      </w:r>
      <w:r w:rsidR="00CD7B0E">
        <w:t xml:space="preserve">OP KaRH (7.1) je doplnenie možnosti financovania iniciatívy JESSICA (prostredníctvom ktorého Štátny fond rozvoja bývania ako finančný sprostredkovateľ poskytuje zvýhodnené úvery na investície do existujúcich bytových domov v mestských oblastiach s cieľom zlepšenia ich energetickej efektívnosti) a s tým súvisiaci </w:t>
      </w:r>
      <w:r w:rsidR="00E84C4B">
        <w:t xml:space="preserve">presun finančných prostriedkov v objeme </w:t>
      </w:r>
      <w:r w:rsidR="008930BF">
        <w:t>42</w:t>
      </w:r>
      <w:r w:rsidR="00E84C4B">
        <w:t xml:space="preserve"> mil. Eur (za zdroj Európskeho fondu regionálneho rozvoja) z prioritnej osi </w:t>
      </w:r>
      <w:r w:rsidR="008930BF">
        <w:t>1 Inovácie a rast konkurencieschopnosti</w:t>
      </w:r>
      <w:r w:rsidR="00E84C4B">
        <w:t xml:space="preserve">, do prioritnej osi 2 Energetika </w:t>
      </w:r>
      <w:r w:rsidR="008930BF">
        <w:t xml:space="preserve">vrátane </w:t>
      </w:r>
      <w:r w:rsidR="00E84C4B">
        <w:t>tomu zodpovedajúc</w:t>
      </w:r>
      <w:r w:rsidR="008930BF">
        <w:t>ej</w:t>
      </w:r>
      <w:r w:rsidR="00E84C4B">
        <w:t xml:space="preserve"> úprav</w:t>
      </w:r>
      <w:r w:rsidR="008930BF">
        <w:t>y</w:t>
      </w:r>
      <w:r w:rsidR="00E84C4B">
        <w:t xml:space="preserve"> príslušných merateľných ukazovateľov. Cieľom presunu je efektívne </w:t>
      </w:r>
      <w:r w:rsidR="00E84C4B">
        <w:lastRenderedPageBreak/>
        <w:t>využitie zostatkovej alokácie zdrojov operačného programu v nadväznosti na aktuálny vývoj realizácie projektov v jednotlivých prioritných osiach.</w:t>
      </w:r>
    </w:p>
    <w:p w:rsidR="00E84C4B" w:rsidRDefault="00E84C4B" w:rsidP="00B57FED">
      <w:pPr>
        <w:spacing w:after="0" w:line="240" w:lineRule="auto"/>
        <w:jc w:val="both"/>
      </w:pPr>
    </w:p>
    <w:p w:rsidR="00B21EB8" w:rsidRDefault="00B21EB8" w:rsidP="00B57FED">
      <w:pPr>
        <w:spacing w:after="0" w:line="240" w:lineRule="auto"/>
        <w:jc w:val="both"/>
        <w:rPr>
          <w:lang w:eastAsia="sk-SK"/>
        </w:rPr>
      </w:pPr>
      <w:r w:rsidRPr="005C374A">
        <w:t xml:space="preserve">Revízia je vypracovaná </w:t>
      </w:r>
      <w:r w:rsidRPr="005C374A">
        <w:rPr>
          <w:lang w:eastAsia="sk-SK"/>
        </w:rPr>
        <w:t xml:space="preserve">v súlade s Metodickým pokynom CKO č. 10 k revízii operačných programov (v znení aktualizácie č. 1), v nadväznosti na články 33 a 48 </w:t>
      </w:r>
      <w:r w:rsidRPr="005C374A">
        <w:rPr>
          <w:i/>
          <w:lang w:eastAsia="sk-SK"/>
        </w:rPr>
        <w:t>nariadenia Rady (ES) č. 1083/2006, ktorým sa ustanovujú všeobecné ustanovenia o Európskom fonde regionálneho rozvoja, Európskom sociálnom fonde a Kohéznom fonde a ktorým sa zrušuje nariadenie (ES) č. 1260/1999</w:t>
      </w:r>
      <w:r w:rsidRPr="005C374A">
        <w:rPr>
          <w:lang w:eastAsia="sk-SK"/>
        </w:rPr>
        <w:t xml:space="preserve"> (ďalej aj „Všeobecné nariadenie“).</w:t>
      </w:r>
    </w:p>
    <w:p w:rsidR="00B21EB8" w:rsidRDefault="00B21EB8" w:rsidP="00A732FA">
      <w:pPr>
        <w:tabs>
          <w:tab w:val="left" w:pos="9072"/>
          <w:tab w:val="left" w:pos="9214"/>
        </w:tabs>
        <w:spacing w:after="0" w:line="240" w:lineRule="auto"/>
        <w:ind w:right="1"/>
        <w:jc w:val="both"/>
      </w:pPr>
    </w:p>
    <w:p w:rsidR="00B21EB8" w:rsidRPr="00CA357C" w:rsidRDefault="00B21EB8" w:rsidP="00A732FA">
      <w:pPr>
        <w:tabs>
          <w:tab w:val="left" w:pos="9072"/>
          <w:tab w:val="left" w:pos="9214"/>
        </w:tabs>
        <w:spacing w:after="0" w:line="240" w:lineRule="auto"/>
        <w:ind w:right="1"/>
        <w:jc w:val="both"/>
      </w:pPr>
    </w:p>
    <w:p w:rsidR="00B21EB8"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8D46CD">
        <w:rPr>
          <w:b/>
          <w:bCs/>
          <w:i/>
          <w:iCs/>
          <w:color w:val="231F20"/>
        </w:rPr>
        <w:t xml:space="preserve">Hlavné ciele: </w:t>
      </w:r>
    </w:p>
    <w:p w:rsidR="00B21EB8" w:rsidRDefault="00B21EB8" w:rsidP="00126619">
      <w:pPr>
        <w:spacing w:before="120" w:after="0" w:line="240" w:lineRule="auto"/>
        <w:jc w:val="both"/>
      </w:pPr>
      <w:r w:rsidRPr="005C374A">
        <w:t xml:space="preserve">Hlavným cieľom Revízie je </w:t>
      </w:r>
      <w:r w:rsidR="00BE045D">
        <w:t xml:space="preserve">posilnenie </w:t>
      </w:r>
      <w:r w:rsidR="00BE045D" w:rsidRPr="00B2611A">
        <w:t xml:space="preserve">nástrojov na </w:t>
      </w:r>
      <w:r w:rsidR="00BE045D">
        <w:t xml:space="preserve">efektívne </w:t>
      </w:r>
      <w:r w:rsidR="00BE045D" w:rsidRPr="00B2611A">
        <w:t>dosiahnut</w:t>
      </w:r>
      <w:r w:rsidR="00BE045D">
        <w:t>ie cieľov stanovených v OP KaHR</w:t>
      </w:r>
      <w:r w:rsidR="008930BF">
        <w:t xml:space="preserve"> prostredníctvom iniciatívy JESSICA</w:t>
      </w:r>
      <w:r w:rsidR="00BE045D">
        <w:t xml:space="preserve"> a</w:t>
      </w:r>
      <w:r w:rsidR="00E84C4B">
        <w:t> zníženie rizika nedočerpania disponibilných zdrojov</w:t>
      </w:r>
      <w:r w:rsidRPr="005C374A">
        <w:t>.</w:t>
      </w:r>
      <w:r w:rsidRPr="00AC07C1">
        <w:t xml:space="preserve"> </w:t>
      </w:r>
    </w:p>
    <w:p w:rsidR="00B21EB8" w:rsidRPr="00AC07C1" w:rsidRDefault="00B21EB8" w:rsidP="002D2B28">
      <w:pPr>
        <w:pStyle w:val="Odsekzoznamu"/>
        <w:widowControl w:val="0"/>
        <w:tabs>
          <w:tab w:val="left" w:pos="9072"/>
        </w:tabs>
        <w:autoSpaceDE w:val="0"/>
        <w:autoSpaceDN w:val="0"/>
        <w:adjustRightInd w:val="0"/>
        <w:spacing w:after="0" w:line="240" w:lineRule="auto"/>
        <w:ind w:left="0" w:right="1"/>
        <w:jc w:val="both"/>
      </w:pPr>
    </w:p>
    <w:p w:rsidR="00B21EB8" w:rsidRPr="00423617" w:rsidRDefault="00B21EB8" w:rsidP="00A732FA">
      <w:pPr>
        <w:widowControl w:val="0"/>
        <w:tabs>
          <w:tab w:val="left" w:pos="9072"/>
        </w:tabs>
        <w:autoSpaceDE w:val="0"/>
        <w:autoSpaceDN w:val="0"/>
        <w:adjustRightInd w:val="0"/>
        <w:spacing w:after="0" w:line="240" w:lineRule="auto"/>
        <w:jc w:val="both"/>
        <w:rPr>
          <w:bCs/>
          <w:highlight w:val="yellow"/>
        </w:rPr>
      </w:pPr>
    </w:p>
    <w:p w:rsidR="00B21EB8" w:rsidRPr="00977231"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977231">
        <w:rPr>
          <w:b/>
          <w:bCs/>
          <w:i/>
          <w:iCs/>
          <w:color w:val="231F20"/>
        </w:rPr>
        <w:t>Obsah:</w:t>
      </w:r>
    </w:p>
    <w:p w:rsidR="00B21EB8" w:rsidRDefault="00B21EB8" w:rsidP="00126619">
      <w:pPr>
        <w:tabs>
          <w:tab w:val="left" w:pos="9072"/>
          <w:tab w:val="left" w:pos="9214"/>
        </w:tabs>
        <w:spacing w:before="120" w:after="120" w:line="240" w:lineRule="auto"/>
        <w:jc w:val="both"/>
      </w:pPr>
      <w:r w:rsidRPr="00B1100A">
        <w:t>Revízia OP KaHR z obsahového hľadiska pozostáva  z nasledovných zmien:</w:t>
      </w:r>
    </w:p>
    <w:p w:rsidR="000447CA" w:rsidRPr="000447CA" w:rsidRDefault="008930BF" w:rsidP="008930BF">
      <w:pPr>
        <w:numPr>
          <w:ilvl w:val="0"/>
          <w:numId w:val="9"/>
        </w:numPr>
        <w:tabs>
          <w:tab w:val="clear" w:pos="1276"/>
          <w:tab w:val="left" w:pos="567"/>
        </w:tabs>
        <w:spacing w:after="120" w:line="240" w:lineRule="auto"/>
        <w:ind w:left="567" w:hanging="357"/>
        <w:jc w:val="both"/>
        <w:rPr>
          <w:sz w:val="26"/>
          <w:szCs w:val="26"/>
        </w:rPr>
      </w:pPr>
      <w:r>
        <w:t xml:space="preserve">rozšírenie oblastí podpory v rámci OP KaHR v oblasti energetiky </w:t>
      </w:r>
      <w:r w:rsidR="000447CA">
        <w:t xml:space="preserve">v kapitole </w:t>
      </w:r>
      <w:r w:rsidR="000447CA" w:rsidRPr="000300F1">
        <w:rPr>
          <w:b/>
          <w:i/>
        </w:rPr>
        <w:t>4.</w:t>
      </w:r>
      <w:r w:rsidRPr="000300F1">
        <w:rPr>
          <w:b/>
          <w:i/>
        </w:rPr>
        <w:t>3.3</w:t>
      </w:r>
      <w:r>
        <w:t xml:space="preserve"> </w:t>
      </w:r>
      <w:r>
        <w:rPr>
          <w:b/>
          <w:i/>
          <w:color w:val="000000"/>
          <w:lang w:eastAsia="sk-SK"/>
        </w:rPr>
        <w:t>Návrh stratégie za oblasť energetiky</w:t>
      </w:r>
      <w:r>
        <w:rPr>
          <w:color w:val="000000"/>
          <w:lang w:eastAsia="sk-SK"/>
        </w:rPr>
        <w:t xml:space="preserve"> o oblasti bytového bývania a s tým súvisiacimi investíciami</w:t>
      </w:r>
      <w:r w:rsidR="000447CA" w:rsidRPr="000447CA">
        <w:rPr>
          <w:sz w:val="26"/>
          <w:szCs w:val="26"/>
        </w:rPr>
        <w:t xml:space="preserve"> </w:t>
      </w:r>
    </w:p>
    <w:p w:rsidR="008930BF" w:rsidRPr="008930BF" w:rsidRDefault="00282E34" w:rsidP="00282E34">
      <w:pPr>
        <w:numPr>
          <w:ilvl w:val="0"/>
          <w:numId w:val="9"/>
        </w:numPr>
        <w:tabs>
          <w:tab w:val="clear" w:pos="1276"/>
          <w:tab w:val="left" w:pos="567"/>
        </w:tabs>
        <w:spacing w:after="120" w:line="240" w:lineRule="auto"/>
        <w:ind w:left="567" w:hanging="357"/>
        <w:jc w:val="both"/>
      </w:pPr>
      <w:r>
        <w:t xml:space="preserve">úprava </w:t>
      </w:r>
      <w:r w:rsidR="008930BF">
        <w:t xml:space="preserve">hodnôt príslušných merateľných ukazovateľov v kapitole </w:t>
      </w:r>
      <w:r w:rsidR="008930BF" w:rsidRPr="000300F1">
        <w:rPr>
          <w:b/>
          <w:i/>
          <w:color w:val="000000"/>
          <w:lang w:eastAsia="sk-SK"/>
        </w:rPr>
        <w:t>4.4</w:t>
      </w:r>
      <w:r w:rsidR="008930BF" w:rsidRPr="008930BF">
        <w:rPr>
          <w:color w:val="000000"/>
          <w:lang w:eastAsia="sk-SK"/>
        </w:rPr>
        <w:t xml:space="preserve"> </w:t>
      </w:r>
      <w:r w:rsidR="008930BF">
        <w:rPr>
          <w:b/>
          <w:i/>
          <w:color w:val="000000"/>
          <w:lang w:eastAsia="sk-SK"/>
        </w:rPr>
        <w:t>Indikátory</w:t>
      </w:r>
      <w:r w:rsidR="008930BF">
        <w:rPr>
          <w:b/>
          <w:color w:val="000000"/>
          <w:lang w:eastAsia="sk-SK"/>
        </w:rPr>
        <w:t xml:space="preserve"> </w:t>
      </w:r>
    </w:p>
    <w:p w:rsidR="000300F1" w:rsidRDefault="008930BF" w:rsidP="00282E34">
      <w:pPr>
        <w:numPr>
          <w:ilvl w:val="0"/>
          <w:numId w:val="9"/>
        </w:numPr>
        <w:tabs>
          <w:tab w:val="clear" w:pos="1276"/>
          <w:tab w:val="left" w:pos="567"/>
        </w:tabs>
        <w:spacing w:after="120" w:line="240" w:lineRule="auto"/>
        <w:ind w:left="567" w:hanging="357"/>
        <w:jc w:val="both"/>
      </w:pPr>
      <w:r>
        <w:t xml:space="preserve">rozšírenie cieľov a opatrení v rámci prioritnej osi 2 o investície do bytového bývania prostredníctvom iniciatívy JESSICA </w:t>
      </w:r>
    </w:p>
    <w:p w:rsidR="00282E34" w:rsidRPr="000300F1" w:rsidRDefault="000300F1" w:rsidP="00282E34">
      <w:pPr>
        <w:numPr>
          <w:ilvl w:val="0"/>
          <w:numId w:val="9"/>
        </w:numPr>
        <w:tabs>
          <w:tab w:val="clear" w:pos="1276"/>
          <w:tab w:val="left" w:pos="567"/>
        </w:tabs>
        <w:spacing w:after="120" w:line="240" w:lineRule="auto"/>
        <w:ind w:left="567" w:hanging="357"/>
        <w:jc w:val="both"/>
      </w:pPr>
      <w:r>
        <w:t xml:space="preserve">úprava </w:t>
      </w:r>
      <w:r w:rsidR="000447CA">
        <w:t xml:space="preserve">finančného plánu (presun finančných prostriedkov medzi prioritnými osami </w:t>
      </w:r>
      <w:r>
        <w:t>1</w:t>
      </w:r>
      <w:r w:rsidR="000447CA">
        <w:t xml:space="preserve"> a 3) v kapitole</w:t>
      </w:r>
      <w:r w:rsidR="000447CA" w:rsidRPr="000447CA">
        <w:rPr>
          <w:b/>
          <w:sz w:val="26"/>
          <w:szCs w:val="26"/>
        </w:rPr>
        <w:t xml:space="preserve"> </w:t>
      </w:r>
      <w:r w:rsidR="000447CA" w:rsidRPr="000300F1">
        <w:rPr>
          <w:b/>
          <w:i/>
          <w:sz w:val="26"/>
          <w:szCs w:val="26"/>
        </w:rPr>
        <w:t>8.2</w:t>
      </w:r>
      <w:r w:rsidR="000447CA" w:rsidRPr="000447CA">
        <w:rPr>
          <w:sz w:val="26"/>
          <w:szCs w:val="26"/>
        </w:rPr>
        <w:t xml:space="preserve"> </w:t>
      </w:r>
      <w:bookmarkStart w:id="0" w:name="_Toc181583738"/>
      <w:r w:rsidR="000447CA" w:rsidRPr="000300F1">
        <w:rPr>
          <w:b/>
          <w:i/>
          <w:sz w:val="26"/>
          <w:szCs w:val="26"/>
        </w:rPr>
        <w:t>Finančný plán OP za celé programové obdobie podľa prioritných osí a zdrojov financovania</w:t>
      </w:r>
      <w:bookmarkEnd w:id="0"/>
      <w:r w:rsidR="00282E34" w:rsidRPr="00282E34">
        <w:t xml:space="preserve"> </w:t>
      </w:r>
      <w:r>
        <w:t xml:space="preserve">a na to nadväzujúca úprava rozdelenia príspevku do jednotlivých kategórií a rozdelenie príspevku podľa formy pomoci v príslušných tabuľkách kapitoly </w:t>
      </w:r>
      <w:r w:rsidRPr="000300F1">
        <w:rPr>
          <w:b/>
          <w:i/>
          <w:color w:val="000000"/>
          <w:lang w:eastAsia="sk-SK"/>
        </w:rPr>
        <w:t>8.3.1</w:t>
      </w:r>
      <w:r>
        <w:rPr>
          <w:b/>
          <w:color w:val="000000"/>
          <w:lang w:eastAsia="sk-SK"/>
        </w:rPr>
        <w:t xml:space="preserve"> </w:t>
      </w:r>
      <w:r>
        <w:rPr>
          <w:b/>
          <w:i/>
          <w:color w:val="000000"/>
          <w:lang w:eastAsia="sk-SK"/>
        </w:rPr>
        <w:t xml:space="preserve">Informatívne rozdelenie príspevku z fondov do kategórií dimenzie </w:t>
      </w:r>
    </w:p>
    <w:p w:rsidR="000300F1" w:rsidRPr="00B1100A" w:rsidRDefault="000300F1" w:rsidP="00282E34">
      <w:pPr>
        <w:numPr>
          <w:ilvl w:val="0"/>
          <w:numId w:val="9"/>
        </w:numPr>
        <w:tabs>
          <w:tab w:val="clear" w:pos="1276"/>
          <w:tab w:val="left" w:pos="567"/>
        </w:tabs>
        <w:spacing w:after="120" w:line="240" w:lineRule="auto"/>
        <w:ind w:left="567" w:hanging="357"/>
        <w:jc w:val="both"/>
      </w:pPr>
      <w:r>
        <w:t xml:space="preserve">doplnenie iniciatívy JESSICA k nástrojom finančného inžinierstva financovaným z prostriedkov OP KaHR v kapitole </w:t>
      </w:r>
      <w:r w:rsidRPr="000300F1">
        <w:rPr>
          <w:b/>
          <w:i/>
          <w:color w:val="000000"/>
          <w:lang w:eastAsia="sk-SK"/>
        </w:rPr>
        <w:t>9.3</w:t>
      </w:r>
      <w:bookmarkStart w:id="1" w:name="_Toc169405722"/>
      <w:bookmarkStart w:id="2" w:name="_Toc181583754"/>
      <w:r>
        <w:rPr>
          <w:b/>
          <w:i/>
          <w:color w:val="000000"/>
          <w:lang w:eastAsia="sk-SK"/>
        </w:rPr>
        <w:t xml:space="preserve"> Riadenie implementácie </w:t>
      </w:r>
      <w:bookmarkEnd w:id="1"/>
      <w:r>
        <w:rPr>
          <w:b/>
          <w:i/>
          <w:color w:val="000000"/>
          <w:lang w:eastAsia="sk-SK"/>
        </w:rPr>
        <w:t>finančného inžinierstva</w:t>
      </w:r>
      <w:bookmarkEnd w:id="2"/>
    </w:p>
    <w:p w:rsidR="00B21EB8" w:rsidRPr="00853BD2" w:rsidRDefault="00B21EB8" w:rsidP="00A732FA">
      <w:pPr>
        <w:tabs>
          <w:tab w:val="left" w:pos="9072"/>
        </w:tabs>
        <w:spacing w:after="0" w:line="240" w:lineRule="auto"/>
        <w:ind w:right="1"/>
        <w:jc w:val="both"/>
        <w:rPr>
          <w:highlight w:val="yellow"/>
        </w:rPr>
      </w:pPr>
    </w:p>
    <w:p w:rsidR="00B21EB8" w:rsidRPr="00E86827" w:rsidRDefault="00B21EB8" w:rsidP="00A732FA">
      <w:pPr>
        <w:tabs>
          <w:tab w:val="left" w:pos="9072"/>
        </w:tabs>
        <w:spacing w:after="0" w:line="240" w:lineRule="auto"/>
        <w:ind w:right="1"/>
        <w:jc w:val="both"/>
      </w:pPr>
      <w:r w:rsidRPr="00E86827">
        <w:t>Vzhľadom na skutočnosť, že návrh Revízie b</w:t>
      </w:r>
      <w:r w:rsidR="006A2993">
        <w:t>ol</w:t>
      </w:r>
      <w:r w:rsidRPr="00E86827">
        <w:t xml:space="preserve"> predložený na vyjadrenie (pripomienky) členom </w:t>
      </w:r>
      <w:r w:rsidR="000300F1">
        <w:t xml:space="preserve">Interného dozorného a monitorovacieho výboru pre fondy </w:t>
      </w:r>
      <w:r w:rsidR="00407CDA">
        <w:t xml:space="preserve">EÚ </w:t>
      </w:r>
      <w:r w:rsidR="000300F1">
        <w:t xml:space="preserve">a </w:t>
      </w:r>
      <w:r w:rsidRPr="00E86827">
        <w:t>MVVE, navrhované úpravy môžu podliehať ďalším zmenám.</w:t>
      </w:r>
    </w:p>
    <w:p w:rsidR="00B21EB8" w:rsidRPr="00853BD2" w:rsidRDefault="00B21EB8" w:rsidP="00A732FA">
      <w:pPr>
        <w:tabs>
          <w:tab w:val="left" w:pos="9072"/>
        </w:tabs>
        <w:spacing w:after="0" w:line="240" w:lineRule="auto"/>
        <w:ind w:right="1"/>
        <w:jc w:val="both"/>
        <w:rPr>
          <w:sz w:val="23"/>
          <w:szCs w:val="23"/>
          <w:highlight w:val="yellow"/>
        </w:rPr>
      </w:pPr>
    </w:p>
    <w:p w:rsidR="00B21EB8" w:rsidRPr="00853BD2" w:rsidRDefault="00B21EB8" w:rsidP="00A732FA">
      <w:pPr>
        <w:tabs>
          <w:tab w:val="left" w:pos="9072"/>
        </w:tabs>
        <w:spacing w:after="0" w:line="240" w:lineRule="auto"/>
        <w:ind w:right="1"/>
        <w:jc w:val="both"/>
        <w:rPr>
          <w:highlight w:val="yellow"/>
        </w:rPr>
      </w:pPr>
    </w:p>
    <w:p w:rsidR="00B21EB8" w:rsidRPr="00E86827" w:rsidRDefault="00284F66"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284F66">
        <w:rPr>
          <w:b/>
          <w:bCs/>
          <w:i/>
          <w:iCs/>
          <w:color w:val="231F20"/>
        </w:rPr>
        <w:t>Uvažované variantné riešenia zohľadňujúce ciele a geografický rozmer strategického dokumentu</w:t>
      </w:r>
      <w:r w:rsidR="00B21EB8" w:rsidRPr="00E86827">
        <w:rPr>
          <w:b/>
          <w:bCs/>
          <w:i/>
          <w:iCs/>
          <w:color w:val="231F20"/>
        </w:rPr>
        <w:t>:</w:t>
      </w:r>
    </w:p>
    <w:p w:rsidR="00B21EB8" w:rsidRPr="00E86827" w:rsidRDefault="00A40548" w:rsidP="00A732FA">
      <w:pPr>
        <w:tabs>
          <w:tab w:val="num" w:pos="709"/>
          <w:tab w:val="left" w:pos="9072"/>
        </w:tabs>
        <w:spacing w:before="120" w:after="0" w:line="240" w:lineRule="auto"/>
        <w:jc w:val="both"/>
      </w:pPr>
      <w:r>
        <w:t>Vzhľadom na charakter strategického dokumentu s plošným uplatnením pre tzv. oprávnené územie (všetky regióny Slovenskej republiky s výnimkou Bratislavského samosprávneho kraja) a navrhovanej zmeny (</w:t>
      </w:r>
      <w:r w:rsidR="000300F1">
        <w:t xml:space="preserve">doplnenie iniciatívy JESSICA a s tým súvisiaci </w:t>
      </w:r>
      <w:r>
        <w:t>presun finančných prostriedkov za účelom</w:t>
      </w:r>
      <w:r w:rsidR="000300F1">
        <w:t xml:space="preserve"> </w:t>
      </w:r>
      <w:r w:rsidR="00407CDA">
        <w:t xml:space="preserve">poskytovania zvýhodnených úverov na </w:t>
      </w:r>
      <w:r w:rsidR="000300F1">
        <w:t>financovani</w:t>
      </w:r>
      <w:r w:rsidR="00407CDA">
        <w:t>e</w:t>
      </w:r>
      <w:r w:rsidR="000300F1">
        <w:t xml:space="preserve"> investícií do </w:t>
      </w:r>
      <w:r w:rsidR="000300F1">
        <w:lastRenderedPageBreak/>
        <w:t>existujúcich bytových domov v mestských oblastiach s cieľom zlepšenia ich energetickej efektívnosti</w:t>
      </w:r>
      <w:r>
        <w:t>), n</w:t>
      </w:r>
      <w:r w:rsidR="00B21EB8" w:rsidRPr="00E86827">
        <w:t>ávrh Revízie nepočíta s variantnými riešeniami.</w:t>
      </w:r>
    </w:p>
    <w:p w:rsidR="00B21EB8" w:rsidRPr="00853BD2" w:rsidRDefault="00B21EB8" w:rsidP="00A732FA">
      <w:pPr>
        <w:widowControl w:val="0"/>
        <w:tabs>
          <w:tab w:val="left" w:pos="9072"/>
        </w:tabs>
        <w:autoSpaceDE w:val="0"/>
        <w:autoSpaceDN w:val="0"/>
        <w:adjustRightInd w:val="0"/>
        <w:spacing w:after="0" w:line="240" w:lineRule="auto"/>
        <w:ind w:right="1"/>
        <w:jc w:val="both"/>
        <w:rPr>
          <w:b/>
          <w:bCs/>
          <w:i/>
          <w:iCs/>
          <w:color w:val="231F20"/>
          <w:highlight w:val="yellow"/>
        </w:rPr>
      </w:pPr>
    </w:p>
    <w:p w:rsidR="00B21EB8" w:rsidRPr="00853BD2" w:rsidRDefault="00B21EB8" w:rsidP="00A732FA">
      <w:pPr>
        <w:widowControl w:val="0"/>
        <w:tabs>
          <w:tab w:val="left" w:pos="9072"/>
        </w:tabs>
        <w:autoSpaceDE w:val="0"/>
        <w:autoSpaceDN w:val="0"/>
        <w:adjustRightInd w:val="0"/>
        <w:spacing w:after="0" w:line="240" w:lineRule="auto"/>
        <w:ind w:right="1"/>
        <w:jc w:val="both"/>
        <w:rPr>
          <w:b/>
          <w:bCs/>
          <w:i/>
          <w:iCs/>
          <w:color w:val="231F20"/>
          <w:highlight w:val="yellow"/>
        </w:rPr>
      </w:pPr>
    </w:p>
    <w:p w:rsidR="00B21EB8" w:rsidRPr="00E86827"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E86827">
        <w:rPr>
          <w:b/>
          <w:bCs/>
          <w:i/>
          <w:iCs/>
          <w:color w:val="231F20"/>
        </w:rPr>
        <w:t>Vecný a časový harmonogram prípravy a schvaľovania:</w:t>
      </w:r>
    </w:p>
    <w:p w:rsidR="00B21EB8" w:rsidRPr="00E86827" w:rsidRDefault="00B21EB8" w:rsidP="00A732FA">
      <w:pPr>
        <w:widowControl w:val="0"/>
        <w:tabs>
          <w:tab w:val="left" w:pos="9072"/>
        </w:tabs>
        <w:autoSpaceDE w:val="0"/>
        <w:autoSpaceDN w:val="0"/>
        <w:adjustRightInd w:val="0"/>
        <w:spacing w:before="120" w:after="0" w:line="240" w:lineRule="auto"/>
        <w:jc w:val="both"/>
        <w:rPr>
          <w:bCs/>
          <w:iCs/>
          <w:color w:val="231F20"/>
        </w:rPr>
      </w:pPr>
      <w:r w:rsidRPr="00E86827">
        <w:rPr>
          <w:bCs/>
          <w:iCs/>
          <w:color w:val="231F20"/>
        </w:rPr>
        <w:t>Harmonogram prípravy a schvaľovania zmeny OP KaHR, ktorá je predmetom tohto oznámenia, vychádza zo štandardných lehôt jednotlivých etáp procesu schvaľovania.</w:t>
      </w:r>
    </w:p>
    <w:p w:rsidR="00B21EB8" w:rsidRPr="00E86827" w:rsidRDefault="00B21EB8" w:rsidP="00A732FA">
      <w:pPr>
        <w:spacing w:after="0" w:line="240" w:lineRule="auto"/>
        <w:rPr>
          <w:lang w:eastAsia="sk-SK"/>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59"/>
        <w:gridCol w:w="1702"/>
      </w:tblGrid>
      <w:tr w:rsidR="00B21EB8" w:rsidRPr="003F4F65" w:rsidTr="003F4F65">
        <w:tc>
          <w:tcPr>
            <w:tcW w:w="6345" w:type="dxa"/>
          </w:tcPr>
          <w:p w:rsidR="00B21EB8" w:rsidRPr="003F4F65" w:rsidRDefault="00B21EB8" w:rsidP="00AE7D7A">
            <w:pPr>
              <w:spacing w:after="0" w:line="240" w:lineRule="auto"/>
              <w:jc w:val="center"/>
              <w:rPr>
                <w:sz w:val="23"/>
                <w:szCs w:val="23"/>
                <w:lang w:eastAsia="sk-SK"/>
              </w:rPr>
            </w:pPr>
            <w:r w:rsidRPr="003F4F65">
              <w:rPr>
                <w:b/>
                <w:bCs/>
                <w:color w:val="000000"/>
                <w:sz w:val="23"/>
                <w:szCs w:val="23"/>
                <w:lang w:eastAsia="sk-SK"/>
              </w:rPr>
              <w:t>Popis aktivity</w:t>
            </w:r>
          </w:p>
        </w:tc>
        <w:tc>
          <w:tcPr>
            <w:tcW w:w="1559" w:type="dxa"/>
            <w:vAlign w:val="center"/>
          </w:tcPr>
          <w:p w:rsidR="00B21EB8" w:rsidRPr="003F4F65" w:rsidRDefault="00B21EB8" w:rsidP="00AE7D7A">
            <w:pPr>
              <w:autoSpaceDE w:val="0"/>
              <w:autoSpaceDN w:val="0"/>
              <w:adjustRightInd w:val="0"/>
              <w:spacing w:after="0" w:line="240" w:lineRule="auto"/>
              <w:jc w:val="center"/>
              <w:rPr>
                <w:color w:val="000000"/>
                <w:sz w:val="23"/>
                <w:szCs w:val="23"/>
                <w:lang w:eastAsia="sk-SK"/>
              </w:rPr>
            </w:pPr>
            <w:r w:rsidRPr="003F4F65">
              <w:rPr>
                <w:b/>
                <w:bCs/>
                <w:color w:val="000000"/>
                <w:sz w:val="23"/>
                <w:szCs w:val="23"/>
                <w:lang w:eastAsia="sk-SK"/>
              </w:rPr>
              <w:t>Začiatok</w:t>
            </w:r>
          </w:p>
        </w:tc>
        <w:tc>
          <w:tcPr>
            <w:tcW w:w="1702" w:type="dxa"/>
            <w:vAlign w:val="center"/>
          </w:tcPr>
          <w:p w:rsidR="00B21EB8" w:rsidRPr="003F4F65" w:rsidRDefault="00B21EB8" w:rsidP="00AE7D7A">
            <w:pPr>
              <w:autoSpaceDE w:val="0"/>
              <w:autoSpaceDN w:val="0"/>
              <w:adjustRightInd w:val="0"/>
              <w:spacing w:after="0" w:line="240" w:lineRule="auto"/>
              <w:jc w:val="center"/>
              <w:rPr>
                <w:color w:val="000000"/>
                <w:sz w:val="23"/>
                <w:szCs w:val="23"/>
                <w:lang w:eastAsia="sk-SK"/>
              </w:rPr>
            </w:pPr>
            <w:r w:rsidRPr="003F4F65">
              <w:rPr>
                <w:b/>
                <w:bCs/>
                <w:color w:val="000000"/>
                <w:sz w:val="23"/>
                <w:szCs w:val="23"/>
                <w:lang w:eastAsia="sk-SK"/>
              </w:rPr>
              <w:t>Ukončenie</w:t>
            </w:r>
          </w:p>
        </w:tc>
      </w:tr>
      <w:tr w:rsidR="00B21EB8" w:rsidRPr="003F4F65" w:rsidTr="003F4F65">
        <w:tc>
          <w:tcPr>
            <w:tcW w:w="6345" w:type="dxa"/>
          </w:tcPr>
          <w:p w:rsidR="00B21EB8" w:rsidRPr="003F4F65" w:rsidRDefault="00B21EB8" w:rsidP="005C374A">
            <w:pPr>
              <w:autoSpaceDE w:val="0"/>
              <w:autoSpaceDN w:val="0"/>
              <w:adjustRightInd w:val="0"/>
              <w:spacing w:after="0" w:line="240" w:lineRule="auto"/>
              <w:rPr>
                <w:color w:val="000000"/>
                <w:sz w:val="23"/>
                <w:szCs w:val="23"/>
                <w:lang w:eastAsia="sk-SK"/>
              </w:rPr>
            </w:pPr>
            <w:r w:rsidRPr="003F4F65">
              <w:rPr>
                <w:color w:val="000000"/>
                <w:sz w:val="23"/>
                <w:szCs w:val="23"/>
                <w:lang w:eastAsia="sk-SK"/>
              </w:rPr>
              <w:t xml:space="preserve">Predloženie návrhu revízie OP KaHR na pripomienky členom Interného dozorného a monitorovacieho výboru pre fondy EÚ </w:t>
            </w:r>
          </w:p>
        </w:tc>
        <w:tc>
          <w:tcPr>
            <w:tcW w:w="1559" w:type="dxa"/>
            <w:vAlign w:val="center"/>
          </w:tcPr>
          <w:p w:rsidR="000F5174" w:rsidRPr="003F4F65" w:rsidRDefault="004551DC" w:rsidP="00407CDA">
            <w:pPr>
              <w:autoSpaceDE w:val="0"/>
              <w:autoSpaceDN w:val="0"/>
              <w:adjustRightInd w:val="0"/>
              <w:spacing w:after="0" w:line="240" w:lineRule="auto"/>
              <w:jc w:val="center"/>
              <w:rPr>
                <w:color w:val="000000"/>
                <w:sz w:val="23"/>
                <w:szCs w:val="23"/>
                <w:lang w:eastAsia="sk-SK"/>
              </w:rPr>
            </w:pPr>
            <w:r w:rsidRPr="003F4F65">
              <w:rPr>
                <w:color w:val="000000"/>
                <w:sz w:val="23"/>
                <w:szCs w:val="23"/>
                <w:lang w:eastAsia="sk-SK"/>
              </w:rPr>
              <w:t>1</w:t>
            </w:r>
            <w:r w:rsidR="00407CDA">
              <w:rPr>
                <w:color w:val="000000"/>
                <w:sz w:val="23"/>
                <w:szCs w:val="23"/>
                <w:lang w:eastAsia="sk-SK"/>
              </w:rPr>
              <w:t>3</w:t>
            </w:r>
            <w:r w:rsidR="000F5174" w:rsidRPr="003F4F65">
              <w:rPr>
                <w:color w:val="000000"/>
                <w:sz w:val="23"/>
                <w:szCs w:val="23"/>
                <w:lang w:eastAsia="sk-SK"/>
              </w:rPr>
              <w:t>.</w:t>
            </w:r>
            <w:r w:rsidR="00407CDA">
              <w:rPr>
                <w:color w:val="000000"/>
                <w:sz w:val="23"/>
                <w:szCs w:val="23"/>
                <w:lang w:eastAsia="sk-SK"/>
              </w:rPr>
              <w:t>10</w:t>
            </w:r>
            <w:r w:rsidR="000F5174" w:rsidRPr="003F4F65">
              <w:rPr>
                <w:color w:val="000000"/>
                <w:sz w:val="23"/>
                <w:szCs w:val="23"/>
                <w:lang w:eastAsia="sk-SK"/>
              </w:rPr>
              <w:t>.201</w:t>
            </w:r>
            <w:r w:rsidR="003F4F65" w:rsidRPr="003F4F65">
              <w:rPr>
                <w:color w:val="000000"/>
                <w:sz w:val="23"/>
                <w:szCs w:val="23"/>
                <w:lang w:eastAsia="sk-SK"/>
              </w:rPr>
              <w:t>5</w:t>
            </w:r>
          </w:p>
        </w:tc>
        <w:tc>
          <w:tcPr>
            <w:tcW w:w="1702" w:type="dxa"/>
            <w:vAlign w:val="center"/>
          </w:tcPr>
          <w:p w:rsidR="000F5174" w:rsidRPr="003F4F65" w:rsidRDefault="003F4F65" w:rsidP="003F4F65">
            <w:pPr>
              <w:autoSpaceDE w:val="0"/>
              <w:autoSpaceDN w:val="0"/>
              <w:adjustRightInd w:val="0"/>
              <w:spacing w:after="0" w:line="240" w:lineRule="auto"/>
              <w:jc w:val="center"/>
              <w:rPr>
                <w:color w:val="000000"/>
                <w:sz w:val="23"/>
                <w:szCs w:val="23"/>
                <w:lang w:eastAsia="sk-SK"/>
              </w:rPr>
            </w:pPr>
            <w:r w:rsidRPr="003F4F65">
              <w:rPr>
                <w:color w:val="000000"/>
                <w:sz w:val="23"/>
                <w:szCs w:val="23"/>
                <w:lang w:eastAsia="sk-SK"/>
              </w:rPr>
              <w:t>1</w:t>
            </w:r>
            <w:r w:rsidR="00407CDA">
              <w:rPr>
                <w:color w:val="000000"/>
                <w:sz w:val="23"/>
                <w:szCs w:val="23"/>
                <w:lang w:eastAsia="sk-SK"/>
              </w:rPr>
              <w:t>6</w:t>
            </w:r>
            <w:r w:rsidR="000F5174" w:rsidRPr="003F4F65">
              <w:rPr>
                <w:color w:val="000000"/>
                <w:sz w:val="23"/>
                <w:szCs w:val="23"/>
                <w:lang w:eastAsia="sk-SK"/>
              </w:rPr>
              <w:t>.</w:t>
            </w:r>
            <w:r w:rsidRPr="003F4F65">
              <w:rPr>
                <w:color w:val="000000"/>
                <w:sz w:val="23"/>
                <w:szCs w:val="23"/>
                <w:lang w:eastAsia="sk-SK"/>
              </w:rPr>
              <w:t>9</w:t>
            </w:r>
            <w:r w:rsidR="000F5174" w:rsidRPr="003F4F65">
              <w:rPr>
                <w:color w:val="000000"/>
                <w:sz w:val="23"/>
                <w:szCs w:val="23"/>
                <w:lang w:eastAsia="sk-SK"/>
              </w:rPr>
              <w:t>.201</w:t>
            </w:r>
            <w:r w:rsidRPr="003F4F65">
              <w:rPr>
                <w:color w:val="000000"/>
                <w:sz w:val="23"/>
                <w:szCs w:val="23"/>
                <w:lang w:eastAsia="sk-SK"/>
              </w:rPr>
              <w:t>5</w:t>
            </w:r>
          </w:p>
        </w:tc>
      </w:tr>
      <w:tr w:rsidR="00B21EB8" w:rsidRPr="003F4F65" w:rsidTr="003F4F65">
        <w:tc>
          <w:tcPr>
            <w:tcW w:w="6345" w:type="dxa"/>
          </w:tcPr>
          <w:p w:rsidR="00B21EB8" w:rsidRPr="003F4F65" w:rsidRDefault="00B21EB8" w:rsidP="005C374A">
            <w:pPr>
              <w:autoSpaceDE w:val="0"/>
              <w:autoSpaceDN w:val="0"/>
              <w:adjustRightInd w:val="0"/>
              <w:spacing w:after="0" w:line="240" w:lineRule="auto"/>
              <w:rPr>
                <w:color w:val="000000"/>
                <w:sz w:val="23"/>
                <w:szCs w:val="23"/>
                <w:lang w:eastAsia="sk-SK"/>
              </w:rPr>
            </w:pPr>
            <w:r w:rsidRPr="003F4F65">
              <w:rPr>
                <w:color w:val="000000"/>
                <w:sz w:val="23"/>
                <w:szCs w:val="23"/>
                <w:lang w:eastAsia="sk-SK"/>
              </w:rPr>
              <w:t xml:space="preserve">Predloženie návrhu revízie OP KaHR na schválenie Internému dozornému a monitorovaciemu výboru pre fondy EÚ </w:t>
            </w:r>
          </w:p>
        </w:tc>
        <w:tc>
          <w:tcPr>
            <w:tcW w:w="1559" w:type="dxa"/>
            <w:vAlign w:val="center"/>
          </w:tcPr>
          <w:p w:rsidR="000F5174" w:rsidRPr="003F4F65" w:rsidRDefault="00407CDA" w:rsidP="00407CDA">
            <w:pPr>
              <w:autoSpaceDE w:val="0"/>
              <w:autoSpaceDN w:val="0"/>
              <w:adjustRightInd w:val="0"/>
              <w:spacing w:after="0" w:line="240" w:lineRule="auto"/>
              <w:jc w:val="center"/>
              <w:rPr>
                <w:color w:val="000000"/>
                <w:sz w:val="23"/>
                <w:szCs w:val="23"/>
                <w:lang w:eastAsia="sk-SK"/>
              </w:rPr>
            </w:pPr>
            <w:r>
              <w:rPr>
                <w:color w:val="000000"/>
                <w:sz w:val="23"/>
                <w:szCs w:val="23"/>
                <w:lang w:eastAsia="sk-SK"/>
              </w:rPr>
              <w:t>19</w:t>
            </w:r>
            <w:r w:rsidR="00965DE2" w:rsidRPr="003F4F65">
              <w:rPr>
                <w:color w:val="000000"/>
                <w:sz w:val="23"/>
                <w:szCs w:val="23"/>
                <w:lang w:eastAsia="sk-SK"/>
              </w:rPr>
              <w:t>.</w:t>
            </w:r>
            <w:r>
              <w:rPr>
                <w:color w:val="000000"/>
                <w:sz w:val="23"/>
                <w:szCs w:val="23"/>
                <w:lang w:eastAsia="sk-SK"/>
              </w:rPr>
              <w:t>10</w:t>
            </w:r>
            <w:r w:rsidR="004551DC" w:rsidRPr="003F4F65">
              <w:rPr>
                <w:color w:val="000000"/>
                <w:sz w:val="23"/>
                <w:szCs w:val="23"/>
                <w:lang w:eastAsia="sk-SK"/>
              </w:rPr>
              <w:t>.</w:t>
            </w:r>
            <w:r w:rsidR="000F5174" w:rsidRPr="003F4F65">
              <w:rPr>
                <w:color w:val="000000"/>
                <w:sz w:val="23"/>
                <w:szCs w:val="23"/>
                <w:lang w:eastAsia="sk-SK"/>
              </w:rPr>
              <w:t>201</w:t>
            </w:r>
            <w:r>
              <w:rPr>
                <w:color w:val="000000"/>
                <w:sz w:val="23"/>
                <w:szCs w:val="23"/>
                <w:lang w:eastAsia="sk-SK"/>
              </w:rPr>
              <w:t>5</w:t>
            </w:r>
          </w:p>
        </w:tc>
        <w:tc>
          <w:tcPr>
            <w:tcW w:w="1702" w:type="dxa"/>
            <w:vAlign w:val="center"/>
          </w:tcPr>
          <w:p w:rsidR="000F5174" w:rsidRPr="003F4F65" w:rsidRDefault="003F4F65" w:rsidP="00407CDA">
            <w:pPr>
              <w:autoSpaceDE w:val="0"/>
              <w:autoSpaceDN w:val="0"/>
              <w:adjustRightInd w:val="0"/>
              <w:spacing w:after="0" w:line="240" w:lineRule="auto"/>
              <w:jc w:val="center"/>
              <w:rPr>
                <w:color w:val="000000"/>
                <w:sz w:val="23"/>
                <w:szCs w:val="23"/>
                <w:lang w:eastAsia="sk-SK"/>
              </w:rPr>
            </w:pPr>
            <w:r w:rsidRPr="003F4F65">
              <w:rPr>
                <w:color w:val="000000"/>
                <w:sz w:val="23"/>
                <w:szCs w:val="23"/>
                <w:lang w:eastAsia="sk-SK"/>
              </w:rPr>
              <w:t>2</w:t>
            </w:r>
            <w:r w:rsidR="00407CDA">
              <w:rPr>
                <w:color w:val="000000"/>
                <w:sz w:val="23"/>
                <w:szCs w:val="23"/>
                <w:lang w:eastAsia="sk-SK"/>
              </w:rPr>
              <w:t>3</w:t>
            </w:r>
            <w:r w:rsidR="00965DE2" w:rsidRPr="003F4F65">
              <w:rPr>
                <w:color w:val="000000"/>
                <w:sz w:val="23"/>
                <w:szCs w:val="23"/>
                <w:lang w:eastAsia="sk-SK"/>
              </w:rPr>
              <w:t>.</w:t>
            </w:r>
            <w:r w:rsidRPr="003F4F65">
              <w:rPr>
                <w:color w:val="000000"/>
                <w:sz w:val="23"/>
                <w:szCs w:val="23"/>
                <w:lang w:eastAsia="sk-SK"/>
              </w:rPr>
              <w:t>9</w:t>
            </w:r>
            <w:r w:rsidR="000F5174" w:rsidRPr="003F4F65">
              <w:rPr>
                <w:color w:val="000000"/>
                <w:sz w:val="23"/>
                <w:szCs w:val="23"/>
                <w:lang w:eastAsia="sk-SK"/>
              </w:rPr>
              <w:t>.2014</w:t>
            </w:r>
          </w:p>
        </w:tc>
      </w:tr>
      <w:tr w:rsidR="00B21EB8" w:rsidRPr="003F4F65" w:rsidTr="003F4F65">
        <w:tc>
          <w:tcPr>
            <w:tcW w:w="6345" w:type="dxa"/>
          </w:tcPr>
          <w:p w:rsidR="00B21EB8" w:rsidRPr="003F4F65" w:rsidRDefault="00B21EB8" w:rsidP="005C374A">
            <w:pPr>
              <w:autoSpaceDE w:val="0"/>
              <w:autoSpaceDN w:val="0"/>
              <w:adjustRightInd w:val="0"/>
              <w:spacing w:after="0" w:line="240" w:lineRule="auto"/>
              <w:rPr>
                <w:color w:val="000000"/>
                <w:sz w:val="23"/>
                <w:szCs w:val="23"/>
                <w:lang w:eastAsia="sk-SK"/>
              </w:rPr>
            </w:pPr>
            <w:r w:rsidRPr="003F4F65">
              <w:rPr>
                <w:color w:val="000000"/>
                <w:sz w:val="23"/>
                <w:szCs w:val="23"/>
                <w:lang w:eastAsia="sk-SK"/>
              </w:rPr>
              <w:t xml:space="preserve">Predloženie návrhu revízie OP KaHR na pripomienky členom MVVE </w:t>
            </w:r>
          </w:p>
        </w:tc>
        <w:tc>
          <w:tcPr>
            <w:tcW w:w="1559" w:type="dxa"/>
            <w:vAlign w:val="center"/>
          </w:tcPr>
          <w:p w:rsidR="00B21EB8" w:rsidRPr="003F4F65" w:rsidRDefault="003F4F65" w:rsidP="00407CDA">
            <w:pPr>
              <w:autoSpaceDE w:val="0"/>
              <w:autoSpaceDN w:val="0"/>
              <w:adjustRightInd w:val="0"/>
              <w:spacing w:after="0" w:line="240" w:lineRule="auto"/>
              <w:jc w:val="center"/>
              <w:rPr>
                <w:color w:val="000000"/>
                <w:sz w:val="23"/>
                <w:szCs w:val="23"/>
                <w:lang w:eastAsia="sk-SK"/>
              </w:rPr>
            </w:pPr>
            <w:r w:rsidRPr="003F4F65">
              <w:rPr>
                <w:color w:val="000000"/>
                <w:sz w:val="23"/>
                <w:szCs w:val="23"/>
                <w:lang w:eastAsia="sk-SK"/>
              </w:rPr>
              <w:t>16</w:t>
            </w:r>
            <w:r w:rsidR="004551DC" w:rsidRPr="003F4F65">
              <w:rPr>
                <w:color w:val="000000"/>
                <w:sz w:val="23"/>
                <w:szCs w:val="23"/>
                <w:lang w:eastAsia="sk-SK"/>
              </w:rPr>
              <w:t>.</w:t>
            </w:r>
            <w:r w:rsidR="00407CDA">
              <w:rPr>
                <w:color w:val="000000"/>
                <w:sz w:val="23"/>
                <w:szCs w:val="23"/>
                <w:lang w:eastAsia="sk-SK"/>
              </w:rPr>
              <w:t>10</w:t>
            </w:r>
            <w:r w:rsidR="004551DC" w:rsidRPr="003F4F65">
              <w:rPr>
                <w:color w:val="000000"/>
                <w:sz w:val="23"/>
                <w:szCs w:val="23"/>
                <w:lang w:eastAsia="sk-SK"/>
              </w:rPr>
              <w:t>.201</w:t>
            </w:r>
            <w:r w:rsidRPr="003F4F65">
              <w:rPr>
                <w:color w:val="000000"/>
                <w:sz w:val="23"/>
                <w:szCs w:val="23"/>
                <w:lang w:eastAsia="sk-SK"/>
              </w:rPr>
              <w:t>5</w:t>
            </w:r>
          </w:p>
        </w:tc>
        <w:tc>
          <w:tcPr>
            <w:tcW w:w="1702" w:type="dxa"/>
            <w:vAlign w:val="center"/>
          </w:tcPr>
          <w:p w:rsidR="00B21EB8" w:rsidRPr="003F4F65" w:rsidRDefault="003F4F65" w:rsidP="00407CDA">
            <w:pPr>
              <w:autoSpaceDE w:val="0"/>
              <w:autoSpaceDN w:val="0"/>
              <w:adjustRightInd w:val="0"/>
              <w:spacing w:after="0" w:line="240" w:lineRule="auto"/>
              <w:jc w:val="center"/>
              <w:rPr>
                <w:color w:val="000000"/>
                <w:sz w:val="23"/>
                <w:szCs w:val="23"/>
                <w:lang w:eastAsia="sk-SK"/>
              </w:rPr>
            </w:pPr>
            <w:r w:rsidRPr="003F4F65">
              <w:rPr>
                <w:color w:val="000000"/>
                <w:sz w:val="23"/>
                <w:szCs w:val="23"/>
                <w:lang w:eastAsia="sk-SK"/>
              </w:rPr>
              <w:t>2</w:t>
            </w:r>
            <w:r w:rsidR="00407CDA">
              <w:rPr>
                <w:color w:val="000000"/>
                <w:sz w:val="23"/>
                <w:szCs w:val="23"/>
                <w:lang w:eastAsia="sk-SK"/>
              </w:rPr>
              <w:t>2</w:t>
            </w:r>
            <w:r w:rsidR="004551DC" w:rsidRPr="003F4F65">
              <w:rPr>
                <w:color w:val="000000"/>
                <w:sz w:val="23"/>
                <w:szCs w:val="23"/>
                <w:lang w:eastAsia="sk-SK"/>
              </w:rPr>
              <w:t>.</w:t>
            </w:r>
            <w:r w:rsidR="00407CDA">
              <w:rPr>
                <w:color w:val="000000"/>
                <w:sz w:val="23"/>
                <w:szCs w:val="23"/>
                <w:lang w:eastAsia="sk-SK"/>
              </w:rPr>
              <w:t>10</w:t>
            </w:r>
            <w:r w:rsidR="00B21EB8" w:rsidRPr="003F4F65">
              <w:rPr>
                <w:color w:val="000000"/>
                <w:sz w:val="23"/>
                <w:szCs w:val="23"/>
                <w:lang w:eastAsia="sk-SK"/>
              </w:rPr>
              <w:t>.201</w:t>
            </w:r>
            <w:r w:rsidRPr="003F4F65">
              <w:rPr>
                <w:color w:val="000000"/>
                <w:sz w:val="23"/>
                <w:szCs w:val="23"/>
                <w:lang w:eastAsia="sk-SK"/>
              </w:rPr>
              <w:t>5</w:t>
            </w:r>
          </w:p>
        </w:tc>
      </w:tr>
      <w:tr w:rsidR="003F4F65" w:rsidRPr="003F4F65" w:rsidTr="003F4F65">
        <w:tc>
          <w:tcPr>
            <w:tcW w:w="6345" w:type="dxa"/>
          </w:tcPr>
          <w:p w:rsidR="003F4F65" w:rsidRPr="003F4F65" w:rsidRDefault="003F4F65" w:rsidP="00E86827">
            <w:pPr>
              <w:autoSpaceDE w:val="0"/>
              <w:autoSpaceDN w:val="0"/>
              <w:adjustRightInd w:val="0"/>
              <w:spacing w:after="0" w:line="240" w:lineRule="auto"/>
              <w:rPr>
                <w:color w:val="000000"/>
                <w:sz w:val="23"/>
                <w:szCs w:val="23"/>
                <w:lang w:eastAsia="sk-SK"/>
              </w:rPr>
            </w:pPr>
            <w:r w:rsidRPr="003F4F65">
              <w:rPr>
                <w:color w:val="000000"/>
                <w:sz w:val="23"/>
                <w:szCs w:val="23"/>
                <w:lang w:eastAsia="sk-SK"/>
              </w:rPr>
              <w:t>Predloženie návrhu revízie OP KaHR na schválenie MVVE</w:t>
            </w:r>
          </w:p>
        </w:tc>
        <w:tc>
          <w:tcPr>
            <w:tcW w:w="3261" w:type="dxa"/>
            <w:gridSpan w:val="2"/>
            <w:vAlign w:val="center"/>
          </w:tcPr>
          <w:p w:rsidR="003F4F65" w:rsidRPr="003F4F65" w:rsidRDefault="00407CDA" w:rsidP="00407CDA">
            <w:pPr>
              <w:autoSpaceDE w:val="0"/>
              <w:autoSpaceDN w:val="0"/>
              <w:adjustRightInd w:val="0"/>
              <w:spacing w:after="0" w:line="240" w:lineRule="auto"/>
              <w:jc w:val="center"/>
              <w:rPr>
                <w:color w:val="000000"/>
                <w:sz w:val="23"/>
                <w:szCs w:val="23"/>
                <w:lang w:eastAsia="sk-SK"/>
              </w:rPr>
            </w:pPr>
            <w:r>
              <w:rPr>
                <w:color w:val="000000"/>
                <w:sz w:val="23"/>
                <w:szCs w:val="23"/>
                <w:lang w:eastAsia="sk-SK"/>
              </w:rPr>
              <w:t>28</w:t>
            </w:r>
            <w:r w:rsidR="003F4F65" w:rsidRPr="003F4F65">
              <w:rPr>
                <w:color w:val="000000"/>
                <w:sz w:val="23"/>
                <w:szCs w:val="23"/>
                <w:lang w:eastAsia="sk-SK"/>
              </w:rPr>
              <w:t>.</w:t>
            </w:r>
            <w:r>
              <w:rPr>
                <w:color w:val="000000"/>
                <w:sz w:val="23"/>
                <w:szCs w:val="23"/>
                <w:lang w:eastAsia="sk-SK"/>
              </w:rPr>
              <w:t>10</w:t>
            </w:r>
            <w:r w:rsidR="003F4F65" w:rsidRPr="003F4F65">
              <w:rPr>
                <w:color w:val="000000"/>
                <w:sz w:val="23"/>
                <w:szCs w:val="23"/>
                <w:lang w:eastAsia="sk-SK"/>
              </w:rPr>
              <w:t>.201</w:t>
            </w:r>
            <w:r w:rsidR="001C4FC5">
              <w:rPr>
                <w:color w:val="000000"/>
                <w:sz w:val="23"/>
                <w:szCs w:val="23"/>
                <w:lang w:eastAsia="sk-SK"/>
              </w:rPr>
              <w:t>5</w:t>
            </w:r>
          </w:p>
        </w:tc>
      </w:tr>
      <w:tr w:rsidR="00B21EB8" w:rsidRPr="003F4F65" w:rsidTr="003F4F65">
        <w:tc>
          <w:tcPr>
            <w:tcW w:w="6345" w:type="dxa"/>
          </w:tcPr>
          <w:p w:rsidR="00B21EB8" w:rsidRPr="003F4F65" w:rsidRDefault="00B21EB8" w:rsidP="005C374A">
            <w:pPr>
              <w:autoSpaceDE w:val="0"/>
              <w:autoSpaceDN w:val="0"/>
              <w:adjustRightInd w:val="0"/>
              <w:spacing w:after="0" w:line="240" w:lineRule="auto"/>
              <w:rPr>
                <w:color w:val="000000"/>
                <w:sz w:val="23"/>
                <w:szCs w:val="23"/>
                <w:lang w:eastAsia="sk-SK"/>
              </w:rPr>
            </w:pPr>
            <w:r w:rsidRPr="003F4F65">
              <w:rPr>
                <w:color w:val="000000"/>
                <w:sz w:val="23"/>
                <w:szCs w:val="23"/>
                <w:lang w:eastAsia="sk-SK"/>
              </w:rPr>
              <w:t>Predloženie revízie OP KaHR na schválenie EK</w:t>
            </w:r>
          </w:p>
        </w:tc>
        <w:tc>
          <w:tcPr>
            <w:tcW w:w="3261" w:type="dxa"/>
            <w:gridSpan w:val="2"/>
            <w:vAlign w:val="center"/>
          </w:tcPr>
          <w:p w:rsidR="00B21EB8" w:rsidRPr="003F4F65" w:rsidRDefault="00407CDA" w:rsidP="00407CDA">
            <w:pPr>
              <w:autoSpaceDE w:val="0"/>
              <w:autoSpaceDN w:val="0"/>
              <w:adjustRightInd w:val="0"/>
              <w:spacing w:after="0" w:line="240" w:lineRule="auto"/>
              <w:jc w:val="center"/>
              <w:rPr>
                <w:color w:val="000000"/>
                <w:sz w:val="23"/>
                <w:szCs w:val="23"/>
                <w:lang w:eastAsia="sk-SK"/>
              </w:rPr>
            </w:pPr>
            <w:r>
              <w:rPr>
                <w:color w:val="000000"/>
                <w:sz w:val="23"/>
                <w:szCs w:val="23"/>
                <w:lang w:eastAsia="sk-SK"/>
              </w:rPr>
              <w:t>2</w:t>
            </w:r>
            <w:r w:rsidR="003F4F65" w:rsidRPr="003F4F65">
              <w:rPr>
                <w:color w:val="000000"/>
                <w:sz w:val="23"/>
                <w:szCs w:val="23"/>
                <w:lang w:eastAsia="sk-SK"/>
              </w:rPr>
              <w:t>.</w:t>
            </w:r>
            <w:r>
              <w:rPr>
                <w:color w:val="000000"/>
                <w:sz w:val="23"/>
                <w:szCs w:val="23"/>
                <w:lang w:eastAsia="sk-SK"/>
              </w:rPr>
              <w:t>11</w:t>
            </w:r>
            <w:r w:rsidR="00B21EB8" w:rsidRPr="003F4F65">
              <w:rPr>
                <w:color w:val="000000"/>
                <w:sz w:val="23"/>
                <w:szCs w:val="23"/>
                <w:lang w:eastAsia="sk-SK"/>
              </w:rPr>
              <w:t>.201</w:t>
            </w:r>
            <w:r w:rsidR="003F4F65" w:rsidRPr="003F4F65">
              <w:rPr>
                <w:color w:val="000000"/>
                <w:sz w:val="23"/>
                <w:szCs w:val="23"/>
                <w:lang w:eastAsia="sk-SK"/>
              </w:rPr>
              <w:t>5</w:t>
            </w:r>
          </w:p>
        </w:tc>
      </w:tr>
      <w:tr w:rsidR="00B21EB8" w:rsidRPr="003F4F65" w:rsidTr="003F4F65">
        <w:tc>
          <w:tcPr>
            <w:tcW w:w="6345" w:type="dxa"/>
          </w:tcPr>
          <w:p w:rsidR="00B21EB8" w:rsidRPr="003F4F65" w:rsidRDefault="00B21EB8" w:rsidP="005C374A">
            <w:pPr>
              <w:autoSpaceDE w:val="0"/>
              <w:autoSpaceDN w:val="0"/>
              <w:adjustRightInd w:val="0"/>
              <w:spacing w:after="0" w:line="240" w:lineRule="auto"/>
              <w:rPr>
                <w:color w:val="000000"/>
                <w:sz w:val="23"/>
                <w:szCs w:val="23"/>
                <w:lang w:eastAsia="sk-SK"/>
              </w:rPr>
            </w:pPr>
            <w:r w:rsidRPr="003F4F65">
              <w:rPr>
                <w:color w:val="000000"/>
                <w:sz w:val="23"/>
                <w:szCs w:val="23"/>
                <w:lang w:eastAsia="sk-SK"/>
              </w:rPr>
              <w:t>Posudzovanie a prijatie rozhodnutia o žiadosti o revíziu OP KaHR Európskou komisiou</w:t>
            </w:r>
          </w:p>
        </w:tc>
        <w:tc>
          <w:tcPr>
            <w:tcW w:w="1559" w:type="dxa"/>
            <w:vAlign w:val="center"/>
          </w:tcPr>
          <w:p w:rsidR="00B21EB8" w:rsidRPr="003F4F65" w:rsidRDefault="00407CDA" w:rsidP="003F4F65">
            <w:pPr>
              <w:autoSpaceDE w:val="0"/>
              <w:autoSpaceDN w:val="0"/>
              <w:adjustRightInd w:val="0"/>
              <w:spacing w:after="0" w:line="240" w:lineRule="auto"/>
              <w:jc w:val="center"/>
              <w:rPr>
                <w:color w:val="000000"/>
                <w:sz w:val="23"/>
                <w:szCs w:val="23"/>
                <w:lang w:eastAsia="sk-SK"/>
              </w:rPr>
            </w:pPr>
            <w:r>
              <w:rPr>
                <w:color w:val="000000"/>
                <w:sz w:val="23"/>
                <w:szCs w:val="23"/>
                <w:lang w:eastAsia="sk-SK"/>
              </w:rPr>
              <w:t xml:space="preserve">november </w:t>
            </w:r>
            <w:r w:rsidR="004551DC" w:rsidRPr="003F4F65">
              <w:rPr>
                <w:color w:val="000000"/>
                <w:sz w:val="23"/>
                <w:szCs w:val="23"/>
                <w:lang w:eastAsia="sk-SK"/>
              </w:rPr>
              <w:t>201</w:t>
            </w:r>
            <w:r w:rsidR="003F4F65" w:rsidRPr="003F4F65">
              <w:rPr>
                <w:color w:val="000000"/>
                <w:sz w:val="23"/>
                <w:szCs w:val="23"/>
                <w:lang w:eastAsia="sk-SK"/>
              </w:rPr>
              <w:t>5</w:t>
            </w:r>
          </w:p>
        </w:tc>
        <w:tc>
          <w:tcPr>
            <w:tcW w:w="1702" w:type="dxa"/>
            <w:vAlign w:val="center"/>
          </w:tcPr>
          <w:p w:rsidR="00B21EB8" w:rsidRPr="003F4F65" w:rsidRDefault="003F4F65" w:rsidP="003F4F65">
            <w:pPr>
              <w:autoSpaceDE w:val="0"/>
              <w:autoSpaceDN w:val="0"/>
              <w:adjustRightInd w:val="0"/>
              <w:spacing w:after="0" w:line="240" w:lineRule="auto"/>
              <w:rPr>
                <w:color w:val="000000"/>
                <w:sz w:val="23"/>
                <w:szCs w:val="23"/>
                <w:lang w:eastAsia="sk-SK"/>
              </w:rPr>
            </w:pPr>
            <w:r w:rsidRPr="003F4F65">
              <w:rPr>
                <w:color w:val="000000"/>
                <w:sz w:val="23"/>
                <w:szCs w:val="23"/>
                <w:lang w:eastAsia="sk-SK"/>
              </w:rPr>
              <w:t>november</w:t>
            </w:r>
            <w:r w:rsidR="004551DC" w:rsidRPr="003F4F65">
              <w:rPr>
                <w:color w:val="000000"/>
                <w:sz w:val="23"/>
                <w:szCs w:val="23"/>
                <w:lang w:eastAsia="sk-SK"/>
              </w:rPr>
              <w:t xml:space="preserve"> 201</w:t>
            </w:r>
            <w:r w:rsidRPr="003F4F65">
              <w:rPr>
                <w:color w:val="000000"/>
                <w:sz w:val="23"/>
                <w:szCs w:val="23"/>
                <w:lang w:eastAsia="sk-SK"/>
              </w:rPr>
              <w:t>5</w:t>
            </w:r>
          </w:p>
        </w:tc>
      </w:tr>
      <w:tr w:rsidR="00B21EB8" w:rsidRPr="003F4F65" w:rsidTr="003F4F65">
        <w:tc>
          <w:tcPr>
            <w:tcW w:w="6345" w:type="dxa"/>
          </w:tcPr>
          <w:p w:rsidR="00B21EB8" w:rsidRPr="003F4F65" w:rsidRDefault="00B21EB8" w:rsidP="005C374A">
            <w:pPr>
              <w:spacing w:after="0" w:line="240" w:lineRule="auto"/>
              <w:rPr>
                <w:color w:val="000000"/>
                <w:sz w:val="23"/>
                <w:szCs w:val="23"/>
                <w:lang w:eastAsia="sk-SK"/>
              </w:rPr>
            </w:pPr>
            <w:r w:rsidRPr="003F4F65">
              <w:rPr>
                <w:color w:val="000000"/>
                <w:sz w:val="23"/>
                <w:szCs w:val="23"/>
                <w:lang w:eastAsia="sk-SK"/>
              </w:rPr>
              <w:t>Zapracovanie zmien vyplývajúcich z Revízie do riadiacej dokumentácie OP KaHR</w:t>
            </w:r>
          </w:p>
        </w:tc>
        <w:tc>
          <w:tcPr>
            <w:tcW w:w="3261" w:type="dxa"/>
            <w:gridSpan w:val="2"/>
            <w:vAlign w:val="center"/>
          </w:tcPr>
          <w:p w:rsidR="00B21EB8" w:rsidRPr="003F4F65" w:rsidRDefault="00B21EB8" w:rsidP="00D84D81">
            <w:pPr>
              <w:autoSpaceDE w:val="0"/>
              <w:autoSpaceDN w:val="0"/>
              <w:adjustRightInd w:val="0"/>
              <w:spacing w:after="0" w:line="240" w:lineRule="auto"/>
              <w:jc w:val="center"/>
              <w:rPr>
                <w:color w:val="000000"/>
                <w:sz w:val="23"/>
                <w:szCs w:val="23"/>
                <w:highlight w:val="yellow"/>
                <w:lang w:eastAsia="sk-SK"/>
              </w:rPr>
            </w:pPr>
            <w:r w:rsidRPr="003F4F65">
              <w:rPr>
                <w:color w:val="000000"/>
                <w:sz w:val="23"/>
                <w:szCs w:val="23"/>
                <w:lang w:eastAsia="sk-SK"/>
              </w:rPr>
              <w:t xml:space="preserve">do </w:t>
            </w:r>
            <w:r w:rsidR="00407CDA">
              <w:rPr>
                <w:color w:val="000000"/>
                <w:sz w:val="23"/>
                <w:szCs w:val="23"/>
                <w:lang w:eastAsia="sk-SK"/>
              </w:rPr>
              <w:t>15</w:t>
            </w:r>
            <w:r w:rsidRPr="003F4F65">
              <w:rPr>
                <w:color w:val="000000"/>
                <w:sz w:val="23"/>
                <w:szCs w:val="23"/>
                <w:lang w:eastAsia="sk-SK"/>
              </w:rPr>
              <w:t xml:space="preserve"> dní po doručení rozhodnutia EK</w:t>
            </w:r>
          </w:p>
        </w:tc>
      </w:tr>
    </w:tbl>
    <w:p w:rsidR="00B21EB8" w:rsidRPr="00853BD2" w:rsidRDefault="00B21EB8" w:rsidP="00A732FA">
      <w:pPr>
        <w:widowControl w:val="0"/>
        <w:tabs>
          <w:tab w:val="left" w:pos="9072"/>
        </w:tabs>
        <w:autoSpaceDE w:val="0"/>
        <w:autoSpaceDN w:val="0"/>
        <w:adjustRightInd w:val="0"/>
        <w:spacing w:after="0" w:line="240" w:lineRule="auto"/>
        <w:ind w:right="1"/>
        <w:jc w:val="both"/>
        <w:rPr>
          <w:b/>
          <w:bCs/>
          <w:i/>
          <w:iCs/>
          <w:color w:val="231F20"/>
          <w:highlight w:val="yellow"/>
        </w:rPr>
      </w:pPr>
    </w:p>
    <w:p w:rsidR="00B21EB8" w:rsidRPr="00853BD2" w:rsidRDefault="00B21EB8" w:rsidP="00A732FA">
      <w:pPr>
        <w:widowControl w:val="0"/>
        <w:tabs>
          <w:tab w:val="left" w:pos="9072"/>
        </w:tabs>
        <w:autoSpaceDE w:val="0"/>
        <w:autoSpaceDN w:val="0"/>
        <w:adjustRightInd w:val="0"/>
        <w:spacing w:after="0" w:line="240" w:lineRule="auto"/>
        <w:ind w:right="1"/>
        <w:jc w:val="both"/>
        <w:rPr>
          <w:b/>
          <w:bCs/>
          <w:i/>
          <w:iCs/>
          <w:color w:val="231F20"/>
          <w:highlight w:val="yellow"/>
        </w:rPr>
      </w:pPr>
    </w:p>
    <w:p w:rsidR="00B21EB8" w:rsidRPr="00E86827"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E86827">
        <w:rPr>
          <w:b/>
          <w:bCs/>
          <w:i/>
          <w:iCs/>
          <w:color w:val="231F20"/>
        </w:rPr>
        <w:t>Vzťah k iným strategickým dokumentom:</w:t>
      </w:r>
    </w:p>
    <w:p w:rsidR="00B21EB8" w:rsidRPr="00E86827" w:rsidRDefault="00B21EB8" w:rsidP="00A732FA">
      <w:pPr>
        <w:widowControl w:val="0"/>
        <w:tabs>
          <w:tab w:val="left" w:pos="9072"/>
        </w:tabs>
        <w:autoSpaceDE w:val="0"/>
        <w:autoSpaceDN w:val="0"/>
        <w:adjustRightInd w:val="0"/>
        <w:spacing w:before="120" w:after="0" w:line="240" w:lineRule="auto"/>
        <w:jc w:val="both"/>
      </w:pPr>
      <w:r w:rsidRPr="00E86827">
        <w:rPr>
          <w:bCs/>
          <w:iCs/>
          <w:color w:val="231F20"/>
        </w:rPr>
        <w:t xml:space="preserve">Základným dokumentom, ku ktorému sa vzťahujú navrhované zmeny, je OP KaHR, ktorého pôvodné znenie (verzia 1.0), bolo schválené </w:t>
      </w:r>
      <w:r w:rsidRPr="00E86827">
        <w:t>Rozhodnutím Komisie K(2007)5940 z 28. novembra 2007</w:t>
      </w:r>
      <w:r w:rsidRPr="00E86827">
        <w:rPr>
          <w:bCs/>
          <w:iCs/>
          <w:color w:val="231F20"/>
        </w:rPr>
        <w:t xml:space="preserve">, ktorým sa prijíma operačný program pre pomoc Spoločenstva pre konkurencieschopnosť a hospodársky rast z Európskeho fondu pre regionálny rozvoj v rámci konvergenčného cieľa v regiónoch na Slovensku s výnimkou Bratislavského regiónu – CCI 2007SK161PO006 </w:t>
      </w:r>
      <w:r w:rsidRPr="00E86827">
        <w:t xml:space="preserve">a revidované znenia spomínané v bode </w:t>
      </w:r>
      <w:r w:rsidRPr="00E86827">
        <w:rPr>
          <w:i/>
        </w:rPr>
        <w:t>2. Charakter</w:t>
      </w:r>
      <w:r w:rsidRPr="00E86827">
        <w:t xml:space="preserve">, časť </w:t>
      </w:r>
      <w:r w:rsidRPr="00E86827">
        <w:rPr>
          <w:i/>
        </w:rPr>
        <w:t>II Základné údaje o strategickom dokumente</w:t>
      </w:r>
      <w:r w:rsidRPr="00E86827">
        <w:t xml:space="preserve"> (tohto oznámenia).</w:t>
      </w:r>
    </w:p>
    <w:p w:rsidR="00B21EB8" w:rsidRPr="00E86827" w:rsidRDefault="00B21EB8" w:rsidP="00A732FA">
      <w:pPr>
        <w:widowControl w:val="0"/>
        <w:tabs>
          <w:tab w:val="left" w:pos="9072"/>
        </w:tabs>
        <w:autoSpaceDE w:val="0"/>
        <w:autoSpaceDN w:val="0"/>
        <w:adjustRightInd w:val="0"/>
        <w:spacing w:after="0" w:line="240" w:lineRule="auto"/>
        <w:ind w:right="1"/>
        <w:jc w:val="both"/>
        <w:rPr>
          <w:bCs/>
          <w:iCs/>
          <w:color w:val="231F20"/>
        </w:rPr>
      </w:pPr>
    </w:p>
    <w:p w:rsidR="00B21EB8" w:rsidRPr="00E86827" w:rsidRDefault="00B21EB8" w:rsidP="00A732FA">
      <w:pPr>
        <w:widowControl w:val="0"/>
        <w:tabs>
          <w:tab w:val="left" w:pos="9072"/>
        </w:tabs>
        <w:autoSpaceDE w:val="0"/>
        <w:autoSpaceDN w:val="0"/>
        <w:adjustRightInd w:val="0"/>
        <w:spacing w:after="0" w:line="240" w:lineRule="auto"/>
        <w:ind w:right="1"/>
        <w:jc w:val="both"/>
        <w:rPr>
          <w:bCs/>
          <w:iCs/>
          <w:color w:val="231F20"/>
        </w:rPr>
      </w:pPr>
      <w:r w:rsidRPr="00E86827">
        <w:rPr>
          <w:bCs/>
          <w:iCs/>
          <w:color w:val="231F20"/>
        </w:rPr>
        <w:t xml:space="preserve">Legislatívnym východiskom pre navrhovanú revíziu OP KaHR sú </w:t>
      </w:r>
      <w:r w:rsidR="00A40548">
        <w:rPr>
          <w:bCs/>
          <w:iCs/>
          <w:color w:val="231F20"/>
        </w:rPr>
        <w:t xml:space="preserve">nasledovné </w:t>
      </w:r>
      <w:r w:rsidRPr="00E86827">
        <w:rPr>
          <w:bCs/>
          <w:iCs/>
          <w:color w:val="231F20"/>
        </w:rPr>
        <w:t>právne predpisy E</w:t>
      </w:r>
      <w:r w:rsidR="00A40548">
        <w:rPr>
          <w:bCs/>
          <w:iCs/>
          <w:color w:val="231F20"/>
        </w:rPr>
        <w:t>urópskej únie a </w:t>
      </w:r>
      <w:r w:rsidRPr="00E86827">
        <w:rPr>
          <w:bCs/>
          <w:iCs/>
          <w:color w:val="231F20"/>
        </w:rPr>
        <w:t>S</w:t>
      </w:r>
      <w:r w:rsidR="00A40548">
        <w:rPr>
          <w:bCs/>
          <w:iCs/>
          <w:color w:val="231F20"/>
        </w:rPr>
        <w:t>lovenskej republiky</w:t>
      </w:r>
      <w:r w:rsidRPr="00E86827">
        <w:rPr>
          <w:bCs/>
          <w:iCs/>
          <w:color w:val="231F20"/>
        </w:rPr>
        <w:t>:</w:t>
      </w:r>
    </w:p>
    <w:p w:rsidR="00B21EB8" w:rsidRPr="00E86827" w:rsidRDefault="00B21EB8" w:rsidP="00A732FA">
      <w:pPr>
        <w:widowControl w:val="0"/>
        <w:numPr>
          <w:ilvl w:val="3"/>
          <w:numId w:val="1"/>
        </w:numPr>
        <w:tabs>
          <w:tab w:val="clear" w:pos="2880"/>
          <w:tab w:val="num" w:pos="709"/>
        </w:tabs>
        <w:spacing w:before="120" w:after="0" w:line="240" w:lineRule="auto"/>
        <w:ind w:left="709" w:hanging="284"/>
        <w:jc w:val="both"/>
      </w:pPr>
      <w:r w:rsidRPr="00E86827">
        <w:t>nariadenie Rady (ES) č. 1083/2006, ktorým sa ustanovujú všeobecné ustanovenia o Európskom fonde regionálneho rozvoja, Európskom sociálnom fonde a Kohéznom fonde, a ktorým sa zrušuje nariadenie Rady (ES) č. 1260/1999 v znení  neskorších zmien a doplnení (ďalej aj „všeobecné nariadenie“)</w:t>
      </w:r>
      <w:r w:rsidR="003F4F65">
        <w:t>,</w:t>
      </w:r>
    </w:p>
    <w:p w:rsidR="00B21EB8" w:rsidRPr="00E86827" w:rsidRDefault="00B21EB8" w:rsidP="00A732FA">
      <w:pPr>
        <w:widowControl w:val="0"/>
        <w:numPr>
          <w:ilvl w:val="3"/>
          <w:numId w:val="1"/>
        </w:numPr>
        <w:tabs>
          <w:tab w:val="clear" w:pos="2880"/>
          <w:tab w:val="num" w:pos="709"/>
        </w:tabs>
        <w:spacing w:before="120" w:after="0" w:line="240" w:lineRule="auto"/>
        <w:ind w:left="709" w:hanging="284"/>
        <w:jc w:val="both"/>
      </w:pPr>
      <w:r w:rsidRPr="00E86827">
        <w:t>nariadenie Európskeho parlamentu a Rady (ES) č. 1080/2006 z 5. júla 2006 o Európskom fonde regionálneho rozvoja, a ktorým sa zrušuje nariadenie (ES) č. 1783/1999 v znení neskorších zmien a</w:t>
      </w:r>
      <w:r w:rsidR="003F4F65">
        <w:t> </w:t>
      </w:r>
      <w:r w:rsidRPr="00E86827">
        <w:t>doplnení</w:t>
      </w:r>
      <w:r w:rsidR="003F4F65">
        <w:t>,</w:t>
      </w:r>
      <w:r w:rsidRPr="00E86827">
        <w:t xml:space="preserve"> </w:t>
      </w:r>
    </w:p>
    <w:p w:rsidR="00B21EB8" w:rsidRPr="00E86827" w:rsidRDefault="00B21EB8" w:rsidP="00A732FA">
      <w:pPr>
        <w:widowControl w:val="0"/>
        <w:numPr>
          <w:ilvl w:val="3"/>
          <w:numId w:val="1"/>
        </w:numPr>
        <w:tabs>
          <w:tab w:val="clear" w:pos="2880"/>
          <w:tab w:val="num" w:pos="709"/>
        </w:tabs>
        <w:spacing w:before="120" w:after="0" w:line="240" w:lineRule="auto"/>
        <w:ind w:left="709" w:hanging="284"/>
        <w:jc w:val="both"/>
      </w:pPr>
      <w:r w:rsidRPr="00E86827">
        <w:t xml:space="preserve">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w:t>
      </w:r>
      <w:r w:rsidRPr="00E86827">
        <w:lastRenderedPageBreak/>
        <w:t>o Európskom fonde regionálneho rozvoja v znení neskorších zmien a doplnení (ďalej aj „implementačné nariadenie“)</w:t>
      </w:r>
      <w:r w:rsidR="003F4F65">
        <w:t>,</w:t>
      </w:r>
    </w:p>
    <w:p w:rsidR="00B21EB8" w:rsidRPr="00E86827" w:rsidRDefault="00B21EB8" w:rsidP="00A732FA">
      <w:pPr>
        <w:widowControl w:val="0"/>
        <w:numPr>
          <w:ilvl w:val="3"/>
          <w:numId w:val="1"/>
        </w:numPr>
        <w:tabs>
          <w:tab w:val="clear" w:pos="2880"/>
          <w:tab w:val="num" w:pos="709"/>
        </w:tabs>
        <w:spacing w:before="120" w:after="0" w:line="240" w:lineRule="auto"/>
        <w:ind w:left="709" w:hanging="284"/>
        <w:jc w:val="both"/>
      </w:pPr>
      <w:r w:rsidRPr="00E86827">
        <w:t>zákon č. 528/2008 Z. z. o pomoci a podpore poskytovanej z fondov Európskeho spoločenstva v znení neskorších predpisov</w:t>
      </w:r>
      <w:r w:rsidR="003F4F65">
        <w:t>,</w:t>
      </w:r>
    </w:p>
    <w:p w:rsidR="00B21EB8" w:rsidRPr="00E86827" w:rsidRDefault="00B21EB8" w:rsidP="00A732FA">
      <w:pPr>
        <w:widowControl w:val="0"/>
        <w:numPr>
          <w:ilvl w:val="3"/>
          <w:numId w:val="1"/>
        </w:numPr>
        <w:tabs>
          <w:tab w:val="clear" w:pos="2880"/>
          <w:tab w:val="num" w:pos="709"/>
        </w:tabs>
        <w:spacing w:before="120" w:after="0" w:line="240" w:lineRule="auto"/>
        <w:ind w:left="709" w:hanging="284"/>
        <w:jc w:val="both"/>
      </w:pPr>
      <w:r w:rsidRPr="00E86827">
        <w:t xml:space="preserve">Národný strategický referenčný rámec Slovenskej republiky na roky 2007 </w:t>
      </w:r>
      <w:r w:rsidR="003F4F65">
        <w:t>–</w:t>
      </w:r>
      <w:r w:rsidRPr="00E86827">
        <w:t xml:space="preserve"> 2013</w:t>
      </w:r>
      <w:r w:rsidR="003F4F65">
        <w:t>.</w:t>
      </w:r>
    </w:p>
    <w:p w:rsidR="00B21EB8" w:rsidRPr="00E86827" w:rsidRDefault="00B21EB8" w:rsidP="00A732FA">
      <w:pPr>
        <w:widowControl w:val="0"/>
        <w:tabs>
          <w:tab w:val="left" w:pos="360"/>
        </w:tabs>
        <w:spacing w:after="0" w:line="240" w:lineRule="auto"/>
        <w:jc w:val="both"/>
      </w:pPr>
    </w:p>
    <w:p w:rsidR="00B21EB8" w:rsidRPr="00E86827" w:rsidRDefault="00B21EB8" w:rsidP="00A732FA">
      <w:pPr>
        <w:widowControl w:val="0"/>
        <w:spacing w:after="0" w:line="240" w:lineRule="auto"/>
        <w:jc w:val="both"/>
      </w:pPr>
      <w:r w:rsidRPr="00E86827">
        <w:t>Z procesného hľadiska sa postup pri vykonávaní revízie OP KaHR riadi nasledujúcimi koncepčnými a metodickými dokumentmi:</w:t>
      </w:r>
    </w:p>
    <w:p w:rsidR="003F4831" w:rsidRPr="00E86827" w:rsidRDefault="003F4831" w:rsidP="003F4831">
      <w:pPr>
        <w:widowControl w:val="0"/>
        <w:numPr>
          <w:ilvl w:val="0"/>
          <w:numId w:val="2"/>
        </w:numPr>
        <w:spacing w:before="120" w:after="0" w:line="240" w:lineRule="auto"/>
        <w:ind w:left="714" w:hanging="357"/>
        <w:jc w:val="both"/>
        <w:rPr>
          <w:b/>
          <w:bCs/>
          <w:i/>
          <w:iCs/>
          <w:color w:val="231F20"/>
        </w:rPr>
      </w:pPr>
      <w:r w:rsidRPr="00E86827">
        <w:t xml:space="preserve">Systém riadenia štrukturálnych fondov a Kohézneho fondu na programové </w:t>
      </w:r>
      <w:r>
        <w:t>obdobie 2007 – 2013 – verzia 4.11 zo 7</w:t>
      </w:r>
      <w:r w:rsidRPr="00E86827">
        <w:t xml:space="preserve">. </w:t>
      </w:r>
      <w:r>
        <w:t xml:space="preserve">júla </w:t>
      </w:r>
      <w:r w:rsidRPr="00E86827">
        <w:t>201</w:t>
      </w:r>
      <w:r>
        <w:t>5,</w:t>
      </w:r>
    </w:p>
    <w:p w:rsidR="003F4831" w:rsidRPr="00E86827" w:rsidRDefault="003F4831" w:rsidP="003F4831">
      <w:pPr>
        <w:widowControl w:val="0"/>
        <w:numPr>
          <w:ilvl w:val="0"/>
          <w:numId w:val="2"/>
        </w:numPr>
        <w:spacing w:before="120" w:after="0" w:line="240" w:lineRule="auto"/>
        <w:ind w:left="714" w:hanging="357"/>
        <w:jc w:val="both"/>
        <w:rPr>
          <w:b/>
          <w:bCs/>
          <w:i/>
          <w:iCs/>
          <w:color w:val="231F20"/>
        </w:rPr>
      </w:pPr>
      <w:r w:rsidRPr="00E86827">
        <w:t xml:space="preserve">Systém finančného riadenia štrukturálnych fondov a Kohézneho fondu na programové </w:t>
      </w:r>
      <w:r>
        <w:t>obdobie 2007 – 2013 – verzia 7.1 zo 7. júla 2015,</w:t>
      </w:r>
    </w:p>
    <w:p w:rsidR="00B21EB8" w:rsidRPr="00E86827" w:rsidRDefault="00B21EB8" w:rsidP="00A732FA">
      <w:pPr>
        <w:widowControl w:val="0"/>
        <w:numPr>
          <w:ilvl w:val="0"/>
          <w:numId w:val="2"/>
        </w:numPr>
        <w:spacing w:before="120" w:after="0" w:line="240" w:lineRule="auto"/>
        <w:ind w:left="714" w:hanging="357"/>
        <w:jc w:val="both"/>
        <w:rPr>
          <w:b/>
          <w:bCs/>
          <w:i/>
          <w:iCs/>
          <w:color w:val="231F20"/>
        </w:rPr>
      </w:pPr>
      <w:r w:rsidRPr="00E86827">
        <w:t xml:space="preserve">Metodický pokyn CKO č. 10 – aktualizácia č. 1: Metodický pokyn k revízii operačných programov z 13. augusta 2010. </w:t>
      </w:r>
    </w:p>
    <w:p w:rsidR="00B21EB8" w:rsidRDefault="00B21EB8" w:rsidP="00A732FA">
      <w:pPr>
        <w:widowControl w:val="0"/>
        <w:tabs>
          <w:tab w:val="left" w:pos="360"/>
        </w:tabs>
        <w:spacing w:after="0" w:line="240" w:lineRule="auto"/>
        <w:ind w:left="360"/>
        <w:jc w:val="both"/>
        <w:rPr>
          <w:bCs/>
          <w:i/>
          <w:iCs/>
          <w:color w:val="231F20"/>
        </w:rPr>
      </w:pPr>
    </w:p>
    <w:p w:rsidR="00A40548" w:rsidRPr="00E86827" w:rsidRDefault="00A40548" w:rsidP="00A732FA">
      <w:pPr>
        <w:widowControl w:val="0"/>
        <w:tabs>
          <w:tab w:val="left" w:pos="360"/>
        </w:tabs>
        <w:spacing w:after="0" w:line="240" w:lineRule="auto"/>
        <w:ind w:left="360"/>
        <w:jc w:val="both"/>
        <w:rPr>
          <w:bCs/>
          <w:i/>
          <w:iCs/>
          <w:color w:val="231F20"/>
        </w:rPr>
      </w:pPr>
    </w:p>
    <w:p w:rsidR="00B21EB8" w:rsidRPr="00E86827"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E86827">
        <w:rPr>
          <w:b/>
          <w:bCs/>
          <w:i/>
          <w:iCs/>
          <w:color w:val="231F20"/>
        </w:rPr>
        <w:t>Orgán kompetentný na jeho prijatie:</w:t>
      </w:r>
    </w:p>
    <w:p w:rsidR="00B21EB8" w:rsidRPr="00E86827" w:rsidRDefault="00B21EB8" w:rsidP="00A732FA">
      <w:pPr>
        <w:widowControl w:val="0"/>
        <w:tabs>
          <w:tab w:val="left" w:pos="9072"/>
        </w:tabs>
        <w:autoSpaceDE w:val="0"/>
        <w:autoSpaceDN w:val="0"/>
        <w:adjustRightInd w:val="0"/>
        <w:spacing w:before="120" w:after="0" w:line="240" w:lineRule="auto"/>
        <w:rPr>
          <w:color w:val="231F20"/>
        </w:rPr>
      </w:pPr>
      <w:r w:rsidRPr="00E86827">
        <w:rPr>
          <w:color w:val="231F20"/>
        </w:rPr>
        <w:t>Monitorovací výbor pre Vedomostnú ekonomiku</w:t>
      </w:r>
    </w:p>
    <w:p w:rsidR="00B21EB8" w:rsidRPr="00E86827" w:rsidRDefault="00B21EB8" w:rsidP="00A732FA">
      <w:pPr>
        <w:widowControl w:val="0"/>
        <w:tabs>
          <w:tab w:val="left" w:pos="9072"/>
        </w:tabs>
        <w:autoSpaceDE w:val="0"/>
        <w:autoSpaceDN w:val="0"/>
        <w:adjustRightInd w:val="0"/>
        <w:spacing w:after="0" w:line="240" w:lineRule="auto"/>
        <w:ind w:right="1"/>
        <w:rPr>
          <w:color w:val="231F20"/>
        </w:rPr>
      </w:pPr>
      <w:r w:rsidRPr="00E86827">
        <w:rPr>
          <w:color w:val="231F20"/>
        </w:rPr>
        <w:t xml:space="preserve">Európska komisia </w:t>
      </w:r>
    </w:p>
    <w:p w:rsidR="00B21EB8" w:rsidRPr="00853BD2" w:rsidRDefault="00B21EB8" w:rsidP="00A732FA">
      <w:pPr>
        <w:widowControl w:val="0"/>
        <w:tabs>
          <w:tab w:val="left" w:pos="9072"/>
        </w:tabs>
        <w:autoSpaceDE w:val="0"/>
        <w:autoSpaceDN w:val="0"/>
        <w:adjustRightInd w:val="0"/>
        <w:spacing w:after="0" w:line="240" w:lineRule="auto"/>
        <w:ind w:right="1"/>
        <w:rPr>
          <w:color w:val="231F20"/>
          <w:highlight w:val="yellow"/>
        </w:rPr>
      </w:pPr>
      <w:r w:rsidRPr="00853BD2">
        <w:rPr>
          <w:color w:val="231F20"/>
          <w:highlight w:val="yellow"/>
        </w:rPr>
        <w:t xml:space="preserve"> </w:t>
      </w:r>
    </w:p>
    <w:p w:rsidR="00B21EB8" w:rsidRPr="00853BD2" w:rsidRDefault="00B21EB8" w:rsidP="00A732FA">
      <w:pPr>
        <w:widowControl w:val="0"/>
        <w:tabs>
          <w:tab w:val="left" w:pos="9072"/>
        </w:tabs>
        <w:autoSpaceDE w:val="0"/>
        <w:autoSpaceDN w:val="0"/>
        <w:adjustRightInd w:val="0"/>
        <w:spacing w:after="0" w:line="240" w:lineRule="auto"/>
        <w:ind w:right="1"/>
        <w:rPr>
          <w:b/>
          <w:bCs/>
          <w:i/>
          <w:iCs/>
          <w:color w:val="231F20"/>
          <w:highlight w:val="yellow"/>
        </w:rPr>
      </w:pPr>
      <w:bookmarkStart w:id="3" w:name="_GoBack"/>
      <w:bookmarkEnd w:id="3"/>
    </w:p>
    <w:p w:rsidR="00B21EB8" w:rsidRPr="00E86827" w:rsidRDefault="00B21EB8" w:rsidP="00A732FA">
      <w:pPr>
        <w:keepNext/>
        <w:widowControl w:val="0"/>
        <w:numPr>
          <w:ilvl w:val="0"/>
          <w:numId w:val="3"/>
        </w:numPr>
        <w:tabs>
          <w:tab w:val="left" w:pos="284"/>
          <w:tab w:val="left" w:pos="9072"/>
        </w:tabs>
        <w:autoSpaceDE w:val="0"/>
        <w:autoSpaceDN w:val="0"/>
        <w:adjustRightInd w:val="0"/>
        <w:spacing w:after="0" w:line="240" w:lineRule="auto"/>
        <w:ind w:left="284" w:hanging="284"/>
        <w:jc w:val="both"/>
        <w:rPr>
          <w:b/>
          <w:bCs/>
          <w:i/>
          <w:iCs/>
          <w:color w:val="231F20"/>
        </w:rPr>
      </w:pPr>
      <w:r w:rsidRPr="00E86827">
        <w:rPr>
          <w:b/>
          <w:bCs/>
          <w:i/>
          <w:iCs/>
          <w:color w:val="231F20"/>
        </w:rPr>
        <w:t xml:space="preserve">Druh schvaľovacieho dokumentu: </w:t>
      </w:r>
    </w:p>
    <w:p w:rsidR="00B21EB8" w:rsidRPr="00E86827" w:rsidRDefault="00B21EB8" w:rsidP="00A732FA">
      <w:pPr>
        <w:widowControl w:val="0"/>
        <w:tabs>
          <w:tab w:val="left" w:pos="9072"/>
        </w:tabs>
        <w:autoSpaceDE w:val="0"/>
        <w:autoSpaceDN w:val="0"/>
        <w:adjustRightInd w:val="0"/>
        <w:spacing w:before="120" w:after="0" w:line="240" w:lineRule="auto"/>
        <w:rPr>
          <w:color w:val="231F20"/>
        </w:rPr>
      </w:pPr>
      <w:r w:rsidRPr="00E86827">
        <w:rPr>
          <w:color w:val="231F20"/>
        </w:rPr>
        <w:t>Uznesenie Monitorovacieho výboru pre Vedomostnú ekonomiku</w:t>
      </w:r>
    </w:p>
    <w:p w:rsidR="00B21EB8" w:rsidRPr="00E86827" w:rsidRDefault="00B21EB8" w:rsidP="00A732FA">
      <w:pPr>
        <w:widowControl w:val="0"/>
        <w:tabs>
          <w:tab w:val="left" w:pos="9072"/>
        </w:tabs>
        <w:autoSpaceDE w:val="0"/>
        <w:autoSpaceDN w:val="0"/>
        <w:adjustRightInd w:val="0"/>
        <w:spacing w:after="0" w:line="240" w:lineRule="auto"/>
        <w:ind w:right="1"/>
        <w:jc w:val="both"/>
        <w:rPr>
          <w:bCs/>
          <w:color w:val="231F20"/>
        </w:rPr>
      </w:pPr>
      <w:r w:rsidRPr="00E86827">
        <w:rPr>
          <w:bCs/>
          <w:color w:val="231F20"/>
        </w:rPr>
        <w:t xml:space="preserve">Rozhodnutie Komisie </w:t>
      </w:r>
    </w:p>
    <w:p w:rsidR="00B21EB8" w:rsidRPr="00853BD2" w:rsidRDefault="00B21EB8" w:rsidP="00A732FA">
      <w:pPr>
        <w:widowControl w:val="0"/>
        <w:tabs>
          <w:tab w:val="left" w:pos="9072"/>
        </w:tabs>
        <w:autoSpaceDE w:val="0"/>
        <w:autoSpaceDN w:val="0"/>
        <w:adjustRightInd w:val="0"/>
        <w:spacing w:after="0" w:line="240" w:lineRule="auto"/>
        <w:ind w:right="1"/>
        <w:jc w:val="both"/>
        <w:rPr>
          <w:b/>
          <w:bCs/>
          <w:color w:val="231F20"/>
          <w:highlight w:val="yellow"/>
        </w:rPr>
      </w:pPr>
    </w:p>
    <w:p w:rsidR="00B21EB8" w:rsidRPr="00853BD2" w:rsidRDefault="00B21EB8" w:rsidP="00A732FA">
      <w:pPr>
        <w:widowControl w:val="0"/>
        <w:tabs>
          <w:tab w:val="left" w:pos="9072"/>
        </w:tabs>
        <w:autoSpaceDE w:val="0"/>
        <w:autoSpaceDN w:val="0"/>
        <w:adjustRightInd w:val="0"/>
        <w:spacing w:after="0" w:line="240" w:lineRule="auto"/>
        <w:ind w:right="1"/>
        <w:jc w:val="both"/>
        <w:rPr>
          <w:b/>
          <w:bCs/>
          <w:color w:val="231F20"/>
          <w:highlight w:val="yellow"/>
        </w:rPr>
      </w:pPr>
    </w:p>
    <w:p w:rsidR="00B21EB8" w:rsidRPr="00853BD2" w:rsidRDefault="00B21EB8" w:rsidP="00A732FA">
      <w:pPr>
        <w:widowControl w:val="0"/>
        <w:tabs>
          <w:tab w:val="left" w:pos="9072"/>
        </w:tabs>
        <w:autoSpaceDE w:val="0"/>
        <w:autoSpaceDN w:val="0"/>
        <w:adjustRightInd w:val="0"/>
        <w:spacing w:after="0" w:line="240" w:lineRule="auto"/>
        <w:ind w:right="1"/>
        <w:jc w:val="both"/>
        <w:rPr>
          <w:b/>
          <w:bCs/>
          <w:color w:val="231F20"/>
          <w:highlight w:val="yellow"/>
        </w:rPr>
      </w:pPr>
    </w:p>
    <w:p w:rsidR="00B21EB8" w:rsidRPr="00E86827" w:rsidRDefault="00B21EB8" w:rsidP="00A732FA">
      <w:pPr>
        <w:keepNext/>
        <w:widowControl w:val="0"/>
        <w:tabs>
          <w:tab w:val="left" w:pos="9072"/>
        </w:tabs>
        <w:autoSpaceDE w:val="0"/>
        <w:autoSpaceDN w:val="0"/>
        <w:adjustRightInd w:val="0"/>
        <w:spacing w:after="0" w:line="240" w:lineRule="auto"/>
        <w:jc w:val="center"/>
        <w:rPr>
          <w:b/>
          <w:bCs/>
          <w:color w:val="231F20"/>
          <w:sz w:val="28"/>
          <w:szCs w:val="28"/>
        </w:rPr>
      </w:pPr>
      <w:r w:rsidRPr="00E86827">
        <w:rPr>
          <w:b/>
          <w:bCs/>
          <w:color w:val="231F20"/>
          <w:sz w:val="28"/>
          <w:szCs w:val="28"/>
        </w:rPr>
        <w:t>III. Základné údaje o predpokladaných vplyvoch strategického dokumentu na životné prostredie vrátane zdravia</w:t>
      </w:r>
    </w:p>
    <w:p w:rsidR="00B21EB8" w:rsidRPr="00853BD2" w:rsidRDefault="00B21EB8" w:rsidP="00A732FA">
      <w:pPr>
        <w:widowControl w:val="0"/>
        <w:tabs>
          <w:tab w:val="left" w:pos="9072"/>
        </w:tabs>
        <w:autoSpaceDE w:val="0"/>
        <w:autoSpaceDN w:val="0"/>
        <w:adjustRightInd w:val="0"/>
        <w:spacing w:after="0" w:line="240" w:lineRule="auto"/>
        <w:ind w:right="1"/>
        <w:jc w:val="both"/>
        <w:rPr>
          <w:b/>
          <w:bCs/>
          <w:i/>
          <w:iCs/>
          <w:color w:val="231F20"/>
          <w:highlight w:val="yellow"/>
        </w:rPr>
      </w:pPr>
    </w:p>
    <w:p w:rsidR="00B21EB8" w:rsidRPr="00E86827"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E86827"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E86827">
        <w:rPr>
          <w:b/>
          <w:bCs/>
          <w:i/>
          <w:iCs/>
          <w:color w:val="231F20"/>
        </w:rPr>
        <w:t xml:space="preserve">Požiadavky na vstupy: </w:t>
      </w:r>
    </w:p>
    <w:p w:rsidR="00B21EB8" w:rsidRPr="00E86827" w:rsidRDefault="00B21EB8" w:rsidP="00A732FA">
      <w:pPr>
        <w:spacing w:before="120" w:after="0" w:line="240" w:lineRule="auto"/>
        <w:jc w:val="both"/>
      </w:pPr>
      <w:r w:rsidRPr="00E86827">
        <w:t xml:space="preserve">Vstupom pre vykonanie Revízie je Analýza dôvodov revízie Operačného programu Konkurencieschopnosť a hospodársky rast vypracovaná Riadiacim orgánom pre OP KaHR. </w:t>
      </w:r>
    </w:p>
    <w:p w:rsidR="00B21EB8" w:rsidRPr="00E86827" w:rsidRDefault="00B21EB8" w:rsidP="00A732FA">
      <w:pPr>
        <w:spacing w:after="0" w:line="240" w:lineRule="auto"/>
        <w:jc w:val="both"/>
      </w:pPr>
    </w:p>
    <w:p w:rsidR="00B21EB8" w:rsidRPr="00EA4BFB"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EA4BFB"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EA4BFB">
        <w:rPr>
          <w:b/>
          <w:bCs/>
          <w:i/>
          <w:iCs/>
          <w:color w:val="231F20"/>
        </w:rPr>
        <w:t>Údaje o výstupoch:</w:t>
      </w:r>
    </w:p>
    <w:p w:rsidR="00B21EB8" w:rsidRPr="00EA4BFB" w:rsidRDefault="00B21EB8" w:rsidP="00A732FA">
      <w:pPr>
        <w:pStyle w:val="Default"/>
        <w:spacing w:before="120"/>
        <w:jc w:val="both"/>
      </w:pPr>
      <w:r w:rsidRPr="00EA4BFB">
        <w:t xml:space="preserve">Výstupom procesu Revízie je úprava príslušných častí strategického dokumentu - OP KaHR schválená EK. </w:t>
      </w:r>
    </w:p>
    <w:p w:rsidR="00B21EB8" w:rsidRPr="00EA4BFB" w:rsidRDefault="00B21EB8" w:rsidP="00A732FA">
      <w:pPr>
        <w:pStyle w:val="Default"/>
        <w:jc w:val="both"/>
      </w:pPr>
    </w:p>
    <w:p w:rsidR="00B21EB8" w:rsidRPr="00EA4BFB" w:rsidRDefault="00B21EB8" w:rsidP="00A732FA">
      <w:pPr>
        <w:widowControl w:val="0"/>
        <w:tabs>
          <w:tab w:val="left" w:pos="9072"/>
        </w:tabs>
        <w:autoSpaceDE w:val="0"/>
        <w:autoSpaceDN w:val="0"/>
        <w:adjustRightInd w:val="0"/>
        <w:spacing w:after="0" w:line="240" w:lineRule="auto"/>
        <w:ind w:right="1"/>
        <w:jc w:val="both"/>
        <w:rPr>
          <w:color w:val="231F20"/>
        </w:rPr>
      </w:pPr>
      <w:r w:rsidRPr="00EA4BFB">
        <w:rPr>
          <w:color w:val="231F20"/>
        </w:rPr>
        <w:t>Navrhované zmeny OP KaHR, po ich predložení MVVE a následnom schválení EK, vytvárajú základ pre nadväzujúce úpravy riadiacej dokumentácie (napr. Programového manuálu k OP KaHR a Interného manuálu procedúr riadiaceho orgánu)</w:t>
      </w:r>
      <w:r w:rsidR="00AF22F7">
        <w:rPr>
          <w:color w:val="231F20"/>
        </w:rPr>
        <w:t>,</w:t>
      </w:r>
      <w:r w:rsidRPr="00EA4BFB">
        <w:rPr>
          <w:color w:val="231F20"/>
        </w:rPr>
        <w:t xml:space="preserve"> ako následného výstupu z procesu revízie </w:t>
      </w:r>
      <w:r w:rsidRPr="00EA4BFB">
        <w:rPr>
          <w:color w:val="231F20"/>
        </w:rPr>
        <w:lastRenderedPageBreak/>
        <w:t xml:space="preserve">OP KaHR. </w:t>
      </w:r>
    </w:p>
    <w:p w:rsidR="00B21EB8" w:rsidRPr="00EA4BFB" w:rsidRDefault="00B21EB8" w:rsidP="00A732FA">
      <w:pPr>
        <w:widowControl w:val="0"/>
        <w:tabs>
          <w:tab w:val="left" w:pos="9072"/>
        </w:tabs>
        <w:autoSpaceDE w:val="0"/>
        <w:autoSpaceDN w:val="0"/>
        <w:adjustRightInd w:val="0"/>
        <w:spacing w:after="0" w:line="240" w:lineRule="auto"/>
        <w:ind w:right="1"/>
        <w:jc w:val="both"/>
        <w:rPr>
          <w:color w:val="231F20"/>
        </w:rPr>
      </w:pPr>
    </w:p>
    <w:p w:rsidR="00B21EB8" w:rsidRPr="00EA4BFB" w:rsidRDefault="00B21EB8" w:rsidP="00A732FA">
      <w:pPr>
        <w:widowControl w:val="0"/>
        <w:tabs>
          <w:tab w:val="left" w:pos="9072"/>
        </w:tabs>
        <w:autoSpaceDE w:val="0"/>
        <w:autoSpaceDN w:val="0"/>
        <w:adjustRightInd w:val="0"/>
        <w:spacing w:after="0" w:line="240" w:lineRule="auto"/>
        <w:ind w:right="1"/>
        <w:jc w:val="both"/>
      </w:pPr>
    </w:p>
    <w:p w:rsidR="00B21EB8" w:rsidRPr="00EA4BFB"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EA4BFB">
        <w:rPr>
          <w:b/>
          <w:bCs/>
          <w:i/>
          <w:iCs/>
          <w:color w:val="231F20"/>
        </w:rPr>
        <w:t>Údaje o priamych a nepriamych vplyvoch na životné prostredie:</w:t>
      </w:r>
    </w:p>
    <w:p w:rsidR="00B21EB8" w:rsidRPr="00EA4BFB" w:rsidRDefault="00B21EB8" w:rsidP="006C518B">
      <w:pPr>
        <w:widowControl w:val="0"/>
        <w:tabs>
          <w:tab w:val="left" w:pos="9072"/>
        </w:tabs>
        <w:autoSpaceDE w:val="0"/>
        <w:autoSpaceDN w:val="0"/>
        <w:adjustRightInd w:val="0"/>
        <w:spacing w:after="0" w:line="240" w:lineRule="auto"/>
        <w:ind w:right="1"/>
        <w:jc w:val="both"/>
        <w:rPr>
          <w:color w:val="231F20"/>
        </w:rPr>
      </w:pPr>
    </w:p>
    <w:p w:rsidR="00B21EB8" w:rsidRPr="00EA4BFB" w:rsidRDefault="00B21EB8" w:rsidP="006C518B">
      <w:pPr>
        <w:widowControl w:val="0"/>
        <w:tabs>
          <w:tab w:val="left" w:pos="9072"/>
        </w:tabs>
        <w:autoSpaceDE w:val="0"/>
        <w:autoSpaceDN w:val="0"/>
        <w:adjustRightInd w:val="0"/>
        <w:spacing w:after="0" w:line="240" w:lineRule="auto"/>
        <w:ind w:right="1"/>
        <w:jc w:val="both"/>
        <w:rPr>
          <w:color w:val="231F20"/>
        </w:rPr>
      </w:pPr>
      <w:r w:rsidRPr="00EA4BFB">
        <w:rPr>
          <w:color w:val="231F20"/>
        </w:rPr>
        <w:t xml:space="preserve">Vo všeobecnosti charakter navrhovaných úprav OP KaHR nevedie k dodatočným vplyvom na životné prostredie oproti tým, ktoré boli posudzované v pôvodnom návrhu strategického dokumentu. </w:t>
      </w:r>
      <w:r w:rsidR="00AF22F7">
        <w:rPr>
          <w:color w:val="231F20"/>
        </w:rPr>
        <w:t xml:space="preserve">Vzhľadom </w:t>
      </w:r>
      <w:r w:rsidR="00D84D81">
        <w:rPr>
          <w:color w:val="231F20"/>
        </w:rPr>
        <w:t xml:space="preserve">predmet úpravy – doplnenie iniciatívy JESSICA a s tým súvisiaci presun </w:t>
      </w:r>
      <w:r w:rsidR="00AF22F7">
        <w:rPr>
          <w:color w:val="231F20"/>
        </w:rPr>
        <w:t>finančných prostriedkov (</w:t>
      </w:r>
      <w:r w:rsidR="00D84D81">
        <w:rPr>
          <w:color w:val="231F20"/>
        </w:rPr>
        <w:t>42</w:t>
      </w:r>
      <w:r w:rsidR="00AF22F7">
        <w:rPr>
          <w:color w:val="231F20"/>
        </w:rPr>
        <w:t xml:space="preserve"> mil. Eur) dochádza k miernej úprave cieľových hodnôt merateľných ukazovateľov (zníženiu ukazovateľov viažucich sa </w:t>
      </w:r>
      <w:r w:rsidR="00D84D81">
        <w:rPr>
          <w:color w:val="231F20"/>
        </w:rPr>
        <w:t>najmä k tvorbe pracovných miest</w:t>
      </w:r>
      <w:r w:rsidR="00AF22F7">
        <w:rPr>
          <w:color w:val="231F20"/>
        </w:rPr>
        <w:t xml:space="preserve"> a zvýšenie ukazovateľov viažucich sa k</w:t>
      </w:r>
      <w:r w:rsidR="00D84D81">
        <w:rPr>
          <w:color w:val="231F20"/>
        </w:rPr>
        <w:t> </w:t>
      </w:r>
      <w:r w:rsidR="00AF22F7">
        <w:rPr>
          <w:color w:val="231F20"/>
        </w:rPr>
        <w:t>energetike</w:t>
      </w:r>
      <w:r w:rsidR="00D84D81">
        <w:rPr>
          <w:color w:val="231F20"/>
        </w:rPr>
        <w:t xml:space="preserve"> osobitne k objemu úspor energie</w:t>
      </w:r>
      <w:r w:rsidR="00AF22F7">
        <w:rPr>
          <w:color w:val="231F20"/>
        </w:rPr>
        <w:t>)</w:t>
      </w:r>
      <w:r w:rsidRPr="00EA4BFB">
        <w:rPr>
          <w:color w:val="231F20"/>
        </w:rPr>
        <w:t>.</w:t>
      </w:r>
    </w:p>
    <w:p w:rsidR="00B21EB8" w:rsidRDefault="00B21EB8" w:rsidP="00A732FA">
      <w:pPr>
        <w:widowControl w:val="0"/>
        <w:tabs>
          <w:tab w:val="left" w:pos="9072"/>
        </w:tabs>
        <w:autoSpaceDE w:val="0"/>
        <w:autoSpaceDN w:val="0"/>
        <w:adjustRightInd w:val="0"/>
        <w:spacing w:after="0" w:line="240" w:lineRule="auto"/>
        <w:ind w:right="1"/>
        <w:jc w:val="both"/>
      </w:pPr>
    </w:p>
    <w:p w:rsidR="00D84D81" w:rsidRPr="00EA4BFB" w:rsidRDefault="00D84D81" w:rsidP="00A732FA">
      <w:pPr>
        <w:widowControl w:val="0"/>
        <w:tabs>
          <w:tab w:val="left" w:pos="9072"/>
        </w:tabs>
        <w:autoSpaceDE w:val="0"/>
        <w:autoSpaceDN w:val="0"/>
        <w:adjustRightInd w:val="0"/>
        <w:spacing w:after="0" w:line="240" w:lineRule="auto"/>
        <w:ind w:right="1"/>
        <w:jc w:val="both"/>
      </w:pPr>
    </w:p>
    <w:p w:rsidR="00B21EB8" w:rsidRPr="00EA4BFB"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EA4BFB">
        <w:rPr>
          <w:b/>
          <w:bCs/>
          <w:i/>
          <w:iCs/>
          <w:color w:val="231F20"/>
        </w:rPr>
        <w:t>Vplyv na zdravotný stav obyvateľstva:</w:t>
      </w:r>
    </w:p>
    <w:p w:rsidR="00B21EB8" w:rsidRPr="00EA4BFB" w:rsidRDefault="00B21EB8" w:rsidP="007F604E">
      <w:pPr>
        <w:pStyle w:val="Default"/>
        <w:spacing w:before="120"/>
        <w:jc w:val="both"/>
      </w:pPr>
      <w:r w:rsidRPr="00EA4BFB">
        <w:t xml:space="preserve">Navrhovaná zmena OP KaHR nepredpokladá priamy vplyv na zdravotný stav obyvateľstva. </w:t>
      </w:r>
    </w:p>
    <w:p w:rsidR="00A40548" w:rsidRDefault="00A40548" w:rsidP="00A732FA">
      <w:pPr>
        <w:widowControl w:val="0"/>
        <w:tabs>
          <w:tab w:val="left" w:pos="9072"/>
        </w:tabs>
        <w:autoSpaceDE w:val="0"/>
        <w:autoSpaceDN w:val="0"/>
        <w:adjustRightInd w:val="0"/>
        <w:spacing w:after="0" w:line="240" w:lineRule="auto"/>
        <w:ind w:right="1"/>
        <w:jc w:val="both"/>
        <w:rPr>
          <w:color w:val="231F20"/>
        </w:rPr>
      </w:pPr>
    </w:p>
    <w:p w:rsidR="00A40548" w:rsidRPr="00EA4BFB" w:rsidRDefault="00A40548" w:rsidP="00A732FA">
      <w:pPr>
        <w:widowControl w:val="0"/>
        <w:tabs>
          <w:tab w:val="left" w:pos="9072"/>
        </w:tabs>
        <w:autoSpaceDE w:val="0"/>
        <w:autoSpaceDN w:val="0"/>
        <w:adjustRightInd w:val="0"/>
        <w:spacing w:after="0" w:line="240" w:lineRule="auto"/>
        <w:ind w:right="1"/>
        <w:jc w:val="both"/>
        <w:rPr>
          <w:color w:val="231F20"/>
        </w:rPr>
      </w:pPr>
    </w:p>
    <w:p w:rsidR="00B21EB8" w:rsidRPr="00EA4BFB"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EA4BFB">
        <w:rPr>
          <w:b/>
          <w:bCs/>
          <w:i/>
          <w:iCs/>
          <w:color w:val="231F20"/>
        </w:rPr>
        <w:t>Vplyvy na chránené územia [napr. navrhované chránené vtáčie územia, územia európskeho významu, súvislá európska sústava chránených území (NATURA 2000), národné parky, chránené krajinné oblasti, chránené vodohospodárske oblasti a pod.] vrátane návrhu opatrení na ich zmiernenie:</w:t>
      </w:r>
    </w:p>
    <w:p w:rsidR="00B21EB8" w:rsidRPr="00EA4BFB" w:rsidRDefault="00B21EB8" w:rsidP="007F604E">
      <w:pPr>
        <w:pStyle w:val="Default"/>
        <w:spacing w:before="120"/>
        <w:jc w:val="both"/>
      </w:pPr>
      <w:r w:rsidRPr="00EA4BFB">
        <w:t xml:space="preserve">Navrhované zmeny vyplývajúce z revízie OP KaHR priamo nevedú k negatívnym vplyvom na chránené územia. </w:t>
      </w:r>
      <w:r w:rsidRPr="00965DE2">
        <w:t>Potenciálny vplyv na chránené územia je posudzovaný a sledovaný na úrovni jednotlivých projektov, a to už počas ich prípravy</w:t>
      </w:r>
      <w:r w:rsidR="00D84D81">
        <w:t xml:space="preserve"> v súlade so zákonom č. 50/1976 Zb. v znení neskorších predpisov</w:t>
      </w:r>
      <w:r w:rsidRPr="00965DE2">
        <w:t>.</w:t>
      </w:r>
      <w:r w:rsidRPr="00EA4BFB">
        <w:t xml:space="preserve"> </w:t>
      </w:r>
    </w:p>
    <w:p w:rsidR="00B21EB8" w:rsidRPr="00EA4BFB" w:rsidRDefault="00B21EB8" w:rsidP="00A732FA">
      <w:pPr>
        <w:widowControl w:val="0"/>
        <w:tabs>
          <w:tab w:val="left" w:pos="9072"/>
        </w:tabs>
        <w:autoSpaceDE w:val="0"/>
        <w:autoSpaceDN w:val="0"/>
        <w:adjustRightInd w:val="0"/>
        <w:spacing w:after="0" w:line="240" w:lineRule="auto"/>
        <w:ind w:right="1"/>
        <w:jc w:val="both"/>
      </w:pPr>
    </w:p>
    <w:p w:rsidR="00B21EB8" w:rsidRPr="00EA4BFB" w:rsidRDefault="00B21EB8" w:rsidP="00A732FA">
      <w:pPr>
        <w:widowControl w:val="0"/>
        <w:tabs>
          <w:tab w:val="left" w:pos="9072"/>
        </w:tabs>
        <w:autoSpaceDE w:val="0"/>
        <w:autoSpaceDN w:val="0"/>
        <w:adjustRightInd w:val="0"/>
        <w:spacing w:after="0" w:line="240" w:lineRule="auto"/>
        <w:ind w:right="1"/>
        <w:jc w:val="both"/>
        <w:rPr>
          <w:bCs/>
          <w:iCs/>
          <w:color w:val="231F20"/>
        </w:rPr>
      </w:pPr>
    </w:p>
    <w:p w:rsidR="00B21EB8" w:rsidRPr="00A85BED"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A85BED">
        <w:rPr>
          <w:b/>
          <w:bCs/>
          <w:i/>
          <w:iCs/>
          <w:color w:val="231F20"/>
        </w:rPr>
        <w:t>Možné riziká súvisiace s uplatňovaním strategického materiálu:</w:t>
      </w:r>
    </w:p>
    <w:p w:rsidR="00B21EB8" w:rsidRPr="00A85BED" w:rsidRDefault="00B21EB8" w:rsidP="00A732FA">
      <w:pPr>
        <w:widowControl w:val="0"/>
        <w:tabs>
          <w:tab w:val="left" w:pos="9072"/>
        </w:tabs>
        <w:autoSpaceDE w:val="0"/>
        <w:autoSpaceDN w:val="0"/>
        <w:adjustRightInd w:val="0"/>
        <w:spacing w:before="120" w:after="0" w:line="240" w:lineRule="auto"/>
        <w:jc w:val="both"/>
      </w:pPr>
      <w:r>
        <w:t>U</w:t>
      </w:r>
      <w:r w:rsidRPr="00A85BED">
        <w:t>platňovan</w:t>
      </w:r>
      <w:r>
        <w:t>ie</w:t>
      </w:r>
      <w:r w:rsidRPr="00A85BED">
        <w:t xml:space="preserve"> OP </w:t>
      </w:r>
      <w:r>
        <w:t>KaHR po navrhovanej revízii nevyvoláva žiadne riziká.</w:t>
      </w:r>
      <w:r w:rsidRPr="00A85BED">
        <w:t xml:space="preserve"> </w:t>
      </w:r>
    </w:p>
    <w:p w:rsidR="00B21EB8" w:rsidRPr="00A85BED" w:rsidRDefault="00B21EB8" w:rsidP="00A732FA">
      <w:pPr>
        <w:widowControl w:val="0"/>
        <w:tabs>
          <w:tab w:val="left" w:pos="9072"/>
        </w:tabs>
        <w:autoSpaceDE w:val="0"/>
        <w:autoSpaceDN w:val="0"/>
        <w:adjustRightInd w:val="0"/>
        <w:spacing w:after="0" w:line="240" w:lineRule="auto"/>
        <w:ind w:right="1"/>
        <w:jc w:val="both"/>
      </w:pPr>
    </w:p>
    <w:p w:rsidR="00B21EB8" w:rsidRPr="00A85BED" w:rsidRDefault="00B21EB8" w:rsidP="00A732FA">
      <w:pPr>
        <w:widowControl w:val="0"/>
        <w:tabs>
          <w:tab w:val="left" w:pos="9072"/>
        </w:tabs>
        <w:autoSpaceDE w:val="0"/>
        <w:autoSpaceDN w:val="0"/>
        <w:adjustRightInd w:val="0"/>
        <w:spacing w:after="0" w:line="240" w:lineRule="auto"/>
        <w:ind w:right="1"/>
        <w:jc w:val="both"/>
      </w:pPr>
    </w:p>
    <w:p w:rsidR="00B21EB8" w:rsidRPr="00920130" w:rsidRDefault="00B21EB8" w:rsidP="00A732FA">
      <w:pPr>
        <w:keepNext/>
        <w:widowControl w:val="0"/>
        <w:numPr>
          <w:ilvl w:val="0"/>
          <w:numId w:val="4"/>
        </w:numPr>
        <w:tabs>
          <w:tab w:val="left" w:pos="284"/>
          <w:tab w:val="left" w:pos="9072"/>
        </w:tabs>
        <w:autoSpaceDE w:val="0"/>
        <w:autoSpaceDN w:val="0"/>
        <w:adjustRightInd w:val="0"/>
        <w:spacing w:after="0" w:line="240" w:lineRule="auto"/>
        <w:ind w:left="284" w:hanging="284"/>
        <w:jc w:val="both"/>
        <w:rPr>
          <w:b/>
          <w:bCs/>
          <w:i/>
          <w:iCs/>
          <w:color w:val="231F20"/>
        </w:rPr>
      </w:pPr>
      <w:r w:rsidRPr="00920130">
        <w:rPr>
          <w:b/>
          <w:bCs/>
          <w:i/>
          <w:iCs/>
          <w:color w:val="231F20"/>
        </w:rPr>
        <w:t xml:space="preserve">Vplyvy na životné prostredie presahujúce štátne hranice: </w:t>
      </w:r>
    </w:p>
    <w:p w:rsidR="00B21EB8" w:rsidRPr="00A85BED" w:rsidRDefault="00B21EB8" w:rsidP="00A732FA">
      <w:pPr>
        <w:widowControl w:val="0"/>
        <w:tabs>
          <w:tab w:val="left" w:pos="9072"/>
        </w:tabs>
        <w:autoSpaceDE w:val="0"/>
        <w:autoSpaceDN w:val="0"/>
        <w:adjustRightInd w:val="0"/>
        <w:spacing w:before="120" w:after="0" w:line="240" w:lineRule="auto"/>
        <w:jc w:val="both"/>
      </w:pPr>
      <w:r>
        <w:t>Revízia OP KaHR nemá vplyv na životné prostredie presahujúce štátne hranice.</w:t>
      </w:r>
    </w:p>
    <w:p w:rsidR="006A2993" w:rsidRDefault="006A2993" w:rsidP="00A732FA">
      <w:pPr>
        <w:widowControl w:val="0"/>
        <w:tabs>
          <w:tab w:val="left" w:pos="9072"/>
        </w:tabs>
        <w:autoSpaceDE w:val="0"/>
        <w:autoSpaceDN w:val="0"/>
        <w:adjustRightInd w:val="0"/>
        <w:spacing w:after="0" w:line="240" w:lineRule="auto"/>
        <w:ind w:right="1"/>
        <w:jc w:val="both"/>
        <w:rPr>
          <w:color w:val="231F20"/>
          <w:highlight w:val="yellow"/>
        </w:rPr>
      </w:pPr>
    </w:p>
    <w:p w:rsidR="00B21EB8" w:rsidRDefault="00B21EB8" w:rsidP="00A732FA">
      <w:pPr>
        <w:widowControl w:val="0"/>
        <w:tabs>
          <w:tab w:val="left" w:pos="9072"/>
        </w:tabs>
        <w:autoSpaceDE w:val="0"/>
        <w:autoSpaceDN w:val="0"/>
        <w:adjustRightInd w:val="0"/>
        <w:spacing w:after="0" w:line="240" w:lineRule="auto"/>
        <w:ind w:right="1"/>
        <w:jc w:val="both"/>
        <w:rPr>
          <w:color w:val="231F20"/>
          <w:highlight w:val="yellow"/>
        </w:rPr>
      </w:pPr>
    </w:p>
    <w:p w:rsidR="00B21EB8" w:rsidRPr="00423617" w:rsidRDefault="00B21EB8" w:rsidP="00A732FA">
      <w:pPr>
        <w:widowControl w:val="0"/>
        <w:tabs>
          <w:tab w:val="left" w:pos="9072"/>
        </w:tabs>
        <w:autoSpaceDE w:val="0"/>
        <w:autoSpaceDN w:val="0"/>
        <w:adjustRightInd w:val="0"/>
        <w:spacing w:after="0" w:line="240" w:lineRule="auto"/>
        <w:ind w:right="1"/>
        <w:jc w:val="both"/>
        <w:rPr>
          <w:color w:val="231F20"/>
          <w:highlight w:val="yellow"/>
        </w:rPr>
      </w:pPr>
    </w:p>
    <w:p w:rsidR="00B21EB8" w:rsidRPr="00384990" w:rsidRDefault="00B21EB8" w:rsidP="00A732FA">
      <w:pPr>
        <w:widowControl w:val="0"/>
        <w:tabs>
          <w:tab w:val="left" w:pos="9072"/>
        </w:tabs>
        <w:autoSpaceDE w:val="0"/>
        <w:autoSpaceDN w:val="0"/>
        <w:adjustRightInd w:val="0"/>
        <w:spacing w:after="0" w:line="240" w:lineRule="auto"/>
        <w:ind w:right="1"/>
        <w:jc w:val="center"/>
        <w:rPr>
          <w:b/>
          <w:bCs/>
          <w:color w:val="231F20"/>
          <w:sz w:val="28"/>
          <w:szCs w:val="28"/>
        </w:rPr>
      </w:pPr>
      <w:r w:rsidRPr="00384990">
        <w:rPr>
          <w:b/>
          <w:bCs/>
          <w:color w:val="231F20"/>
          <w:sz w:val="28"/>
          <w:szCs w:val="28"/>
        </w:rPr>
        <w:t>IV. Dotknuté subjekty</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keepNext/>
        <w:widowControl w:val="0"/>
        <w:numPr>
          <w:ilvl w:val="0"/>
          <w:numId w:val="5"/>
        </w:numPr>
        <w:tabs>
          <w:tab w:val="left" w:pos="284"/>
          <w:tab w:val="left" w:pos="9072"/>
        </w:tabs>
        <w:autoSpaceDE w:val="0"/>
        <w:autoSpaceDN w:val="0"/>
        <w:adjustRightInd w:val="0"/>
        <w:spacing w:after="0" w:line="240" w:lineRule="auto"/>
        <w:ind w:left="284" w:hanging="284"/>
        <w:jc w:val="both"/>
        <w:rPr>
          <w:b/>
          <w:bCs/>
          <w:i/>
          <w:iCs/>
          <w:color w:val="231F20"/>
        </w:rPr>
      </w:pPr>
      <w:r w:rsidRPr="00384990">
        <w:rPr>
          <w:b/>
          <w:bCs/>
          <w:i/>
          <w:iCs/>
          <w:color w:val="231F20"/>
        </w:rPr>
        <w:t xml:space="preserve">Vymedzenie zainteresovanej verejnosti vrátane jej združení: </w:t>
      </w:r>
    </w:p>
    <w:p w:rsidR="00B21EB8" w:rsidRPr="00384990" w:rsidRDefault="00B21EB8" w:rsidP="00A732FA">
      <w:pPr>
        <w:widowControl w:val="0"/>
        <w:tabs>
          <w:tab w:val="left" w:pos="9072"/>
        </w:tabs>
        <w:autoSpaceDE w:val="0"/>
        <w:autoSpaceDN w:val="0"/>
        <w:adjustRightInd w:val="0"/>
        <w:spacing w:before="120" w:after="0" w:line="240" w:lineRule="auto"/>
        <w:jc w:val="both"/>
      </w:pPr>
      <w:r w:rsidRPr="00384990">
        <w:t xml:space="preserve">Vzhľadom na to, že dané oznámenie sa týka zmeny OP </w:t>
      </w:r>
      <w:r>
        <w:t>KaHR</w:t>
      </w:r>
      <w:r w:rsidRPr="00384990">
        <w:t xml:space="preserve">, ktorý patrí k strategickým dokumentom s celoštátnym dosahom, zainteresovanou verejnosťou </w:t>
      </w:r>
      <w:r w:rsidR="00EC24ED">
        <w:t>sú</w:t>
      </w:r>
      <w:r w:rsidRPr="00384990">
        <w:t xml:space="preserve"> občania S</w:t>
      </w:r>
      <w:r>
        <w:t>lovenskej republiky</w:t>
      </w:r>
      <w:r w:rsidRPr="00384990">
        <w:t xml:space="preserve">. </w:t>
      </w:r>
    </w:p>
    <w:p w:rsidR="00B21EB8" w:rsidRDefault="00B21EB8" w:rsidP="00A732FA">
      <w:pPr>
        <w:widowControl w:val="0"/>
        <w:tabs>
          <w:tab w:val="left" w:pos="9072"/>
        </w:tabs>
        <w:autoSpaceDE w:val="0"/>
        <w:autoSpaceDN w:val="0"/>
        <w:adjustRightInd w:val="0"/>
        <w:spacing w:after="0" w:line="240" w:lineRule="auto"/>
        <w:ind w:left="284" w:right="1" w:firstLine="76"/>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left="284" w:right="1" w:firstLine="76"/>
        <w:jc w:val="both"/>
        <w:rPr>
          <w:b/>
          <w:bCs/>
          <w:i/>
          <w:iCs/>
          <w:color w:val="231F20"/>
        </w:rPr>
      </w:pPr>
    </w:p>
    <w:p w:rsidR="00B21EB8" w:rsidRPr="00384990" w:rsidRDefault="00B21EB8" w:rsidP="00A732FA">
      <w:pPr>
        <w:keepNext/>
        <w:widowControl w:val="0"/>
        <w:numPr>
          <w:ilvl w:val="0"/>
          <w:numId w:val="5"/>
        </w:numPr>
        <w:tabs>
          <w:tab w:val="left" w:pos="284"/>
          <w:tab w:val="left" w:pos="9072"/>
        </w:tabs>
        <w:autoSpaceDE w:val="0"/>
        <w:autoSpaceDN w:val="0"/>
        <w:adjustRightInd w:val="0"/>
        <w:spacing w:after="0" w:line="240" w:lineRule="auto"/>
        <w:ind w:left="284" w:hanging="284"/>
        <w:jc w:val="both"/>
        <w:rPr>
          <w:b/>
          <w:bCs/>
          <w:i/>
          <w:iCs/>
          <w:color w:val="231F20"/>
        </w:rPr>
      </w:pPr>
      <w:r w:rsidRPr="00384990">
        <w:rPr>
          <w:b/>
          <w:bCs/>
          <w:i/>
          <w:iCs/>
          <w:color w:val="231F20"/>
        </w:rPr>
        <w:lastRenderedPageBreak/>
        <w:t xml:space="preserve">Zoznam dotknutých subjektov: </w:t>
      </w:r>
    </w:p>
    <w:p w:rsidR="00B21EB8" w:rsidRPr="006C518B" w:rsidRDefault="00B21EB8" w:rsidP="006C518B">
      <w:pPr>
        <w:widowControl w:val="0"/>
        <w:tabs>
          <w:tab w:val="left" w:pos="9072"/>
        </w:tabs>
        <w:autoSpaceDE w:val="0"/>
        <w:autoSpaceDN w:val="0"/>
        <w:adjustRightInd w:val="0"/>
        <w:spacing w:before="120" w:after="0" w:line="240" w:lineRule="auto"/>
        <w:jc w:val="both"/>
      </w:pPr>
      <w:r w:rsidRPr="006C518B">
        <w:t xml:space="preserve">V súvislosti s navrhovanými zmenami OP KaHR </w:t>
      </w:r>
      <w:r w:rsidR="00EC24ED">
        <w:t xml:space="preserve">je </w:t>
      </w:r>
      <w:r w:rsidRPr="006C518B">
        <w:t>dotknutým subjekt</w:t>
      </w:r>
      <w:r w:rsidR="00EC24ED">
        <w:t>o</w:t>
      </w:r>
      <w:r w:rsidRPr="006C518B">
        <w:t>m budúci prijímate</w:t>
      </w:r>
      <w:r w:rsidR="00EC24ED">
        <w:t>ľ</w:t>
      </w:r>
      <w:r w:rsidR="00AF22F7">
        <w:t xml:space="preserve">, </w:t>
      </w:r>
      <w:r w:rsidR="00EC24ED">
        <w:t>Štátny fond rozvoja bývania (ďalej ako „ŠFRB“) ako finančný sprostredkovateľ realizujúci iniciatívu JESSICA v Slovenskej republiky a subjekty oprávnené čerpať zvýhodnené úvery poskytované ŠFRB</w:t>
      </w:r>
      <w:r>
        <w:t>.</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976059"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976059" w:rsidRDefault="00B21EB8" w:rsidP="00A732FA">
      <w:pPr>
        <w:keepNext/>
        <w:widowControl w:val="0"/>
        <w:numPr>
          <w:ilvl w:val="0"/>
          <w:numId w:val="5"/>
        </w:numPr>
        <w:tabs>
          <w:tab w:val="left" w:pos="284"/>
          <w:tab w:val="left" w:pos="9072"/>
        </w:tabs>
        <w:autoSpaceDE w:val="0"/>
        <w:autoSpaceDN w:val="0"/>
        <w:adjustRightInd w:val="0"/>
        <w:spacing w:after="0" w:line="240" w:lineRule="auto"/>
        <w:ind w:left="284" w:hanging="284"/>
        <w:jc w:val="both"/>
        <w:rPr>
          <w:b/>
          <w:bCs/>
          <w:i/>
          <w:iCs/>
          <w:color w:val="231F20"/>
        </w:rPr>
      </w:pPr>
      <w:r w:rsidRPr="00976059">
        <w:rPr>
          <w:b/>
          <w:bCs/>
          <w:i/>
          <w:iCs/>
          <w:color w:val="231F20"/>
        </w:rPr>
        <w:t>Dotknuté susedné štáty:</w:t>
      </w:r>
    </w:p>
    <w:p w:rsidR="00B21EB8" w:rsidRPr="00976059" w:rsidRDefault="00B21EB8" w:rsidP="00A732FA">
      <w:pPr>
        <w:widowControl w:val="0"/>
        <w:tabs>
          <w:tab w:val="left" w:pos="9072"/>
        </w:tabs>
        <w:autoSpaceDE w:val="0"/>
        <w:autoSpaceDN w:val="0"/>
        <w:adjustRightInd w:val="0"/>
        <w:spacing w:before="120" w:after="0" w:line="240" w:lineRule="auto"/>
        <w:jc w:val="both"/>
        <w:rPr>
          <w:color w:val="231F20"/>
        </w:rPr>
      </w:pPr>
      <w:r>
        <w:rPr>
          <w:color w:val="231F20"/>
        </w:rPr>
        <w:t>N</w:t>
      </w:r>
      <w:r w:rsidRPr="00976059">
        <w:rPr>
          <w:color w:val="231F20"/>
        </w:rPr>
        <w:t xml:space="preserve">avrhovanými zmenami OP </w:t>
      </w:r>
      <w:r>
        <w:rPr>
          <w:color w:val="231F20"/>
        </w:rPr>
        <w:t>KaHR</w:t>
      </w:r>
      <w:r w:rsidRPr="00976059">
        <w:rPr>
          <w:color w:val="231F20"/>
        </w:rPr>
        <w:t xml:space="preserve"> </w:t>
      </w:r>
      <w:r>
        <w:rPr>
          <w:color w:val="231F20"/>
        </w:rPr>
        <w:t xml:space="preserve">nie sú </w:t>
      </w:r>
      <w:r w:rsidRPr="00976059">
        <w:rPr>
          <w:color w:val="231F20"/>
        </w:rPr>
        <w:t xml:space="preserve">dotknuté susedné štáty. </w:t>
      </w:r>
    </w:p>
    <w:p w:rsidR="00A40548" w:rsidRDefault="00A40548" w:rsidP="00A732FA">
      <w:pPr>
        <w:widowControl w:val="0"/>
        <w:tabs>
          <w:tab w:val="left" w:pos="9072"/>
        </w:tabs>
        <w:autoSpaceDE w:val="0"/>
        <w:autoSpaceDN w:val="0"/>
        <w:adjustRightInd w:val="0"/>
        <w:spacing w:after="0" w:line="240" w:lineRule="auto"/>
        <w:ind w:right="1"/>
        <w:jc w:val="both"/>
        <w:rPr>
          <w:b/>
          <w:bCs/>
          <w:color w:val="231F20"/>
        </w:rPr>
      </w:pPr>
    </w:p>
    <w:p w:rsidR="00A40548" w:rsidRDefault="00A40548" w:rsidP="00A732FA">
      <w:pPr>
        <w:widowControl w:val="0"/>
        <w:tabs>
          <w:tab w:val="left" w:pos="9072"/>
        </w:tabs>
        <w:autoSpaceDE w:val="0"/>
        <w:autoSpaceDN w:val="0"/>
        <w:adjustRightInd w:val="0"/>
        <w:spacing w:after="0" w:line="240" w:lineRule="auto"/>
        <w:ind w:right="1"/>
        <w:jc w:val="both"/>
        <w:rPr>
          <w:b/>
          <w:bCs/>
          <w:color w:val="231F20"/>
        </w:rPr>
      </w:pPr>
    </w:p>
    <w:p w:rsidR="00A40548" w:rsidRDefault="00A40548" w:rsidP="00A732FA">
      <w:pPr>
        <w:widowControl w:val="0"/>
        <w:tabs>
          <w:tab w:val="left" w:pos="9072"/>
        </w:tabs>
        <w:autoSpaceDE w:val="0"/>
        <w:autoSpaceDN w:val="0"/>
        <w:adjustRightInd w:val="0"/>
        <w:spacing w:after="0" w:line="240" w:lineRule="auto"/>
        <w:ind w:right="1"/>
        <w:jc w:val="both"/>
        <w:rPr>
          <w:b/>
          <w:b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center"/>
        <w:rPr>
          <w:b/>
          <w:bCs/>
          <w:color w:val="231F20"/>
          <w:sz w:val="28"/>
          <w:szCs w:val="28"/>
        </w:rPr>
      </w:pPr>
      <w:r w:rsidRPr="00384990">
        <w:rPr>
          <w:b/>
          <w:bCs/>
          <w:color w:val="231F20"/>
          <w:sz w:val="28"/>
          <w:szCs w:val="28"/>
        </w:rPr>
        <w:t>V. Doplňujúce údaje</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keepNext/>
        <w:widowControl w:val="0"/>
        <w:numPr>
          <w:ilvl w:val="0"/>
          <w:numId w:val="6"/>
        </w:numPr>
        <w:tabs>
          <w:tab w:val="left" w:pos="284"/>
          <w:tab w:val="left" w:pos="9072"/>
        </w:tabs>
        <w:autoSpaceDE w:val="0"/>
        <w:autoSpaceDN w:val="0"/>
        <w:adjustRightInd w:val="0"/>
        <w:spacing w:after="0" w:line="240" w:lineRule="auto"/>
        <w:ind w:left="284" w:hanging="284"/>
        <w:jc w:val="both"/>
        <w:rPr>
          <w:b/>
          <w:bCs/>
          <w:i/>
          <w:iCs/>
          <w:color w:val="231F20"/>
        </w:rPr>
      </w:pPr>
      <w:r w:rsidRPr="00384990">
        <w:rPr>
          <w:b/>
          <w:bCs/>
          <w:i/>
          <w:iCs/>
          <w:color w:val="231F20"/>
        </w:rPr>
        <w:t>Mapová a iná grafická dokumentácia (napr. výkres širších vzťahov v mierke primeranej charakteru a pôsobnosti strategického dokumentu):</w:t>
      </w:r>
    </w:p>
    <w:p w:rsidR="00B21EB8" w:rsidRPr="00384990" w:rsidRDefault="00B21EB8" w:rsidP="00A732FA">
      <w:pPr>
        <w:widowControl w:val="0"/>
        <w:tabs>
          <w:tab w:val="left" w:pos="9072"/>
        </w:tabs>
        <w:autoSpaceDE w:val="0"/>
        <w:autoSpaceDN w:val="0"/>
        <w:adjustRightInd w:val="0"/>
        <w:spacing w:before="120" w:after="0" w:line="240" w:lineRule="auto"/>
        <w:jc w:val="both"/>
        <w:rPr>
          <w:color w:val="231F20"/>
        </w:rPr>
      </w:pPr>
      <w:r w:rsidRPr="00384990">
        <w:rPr>
          <w:color w:val="231F20"/>
        </w:rPr>
        <w:t>Predkladané oznámenie neobsahuje žiadne mapové ani iné grafické dokumentácie.</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F65AB7" w:rsidRDefault="00B21EB8" w:rsidP="00A732FA">
      <w:pPr>
        <w:keepNext/>
        <w:widowControl w:val="0"/>
        <w:numPr>
          <w:ilvl w:val="0"/>
          <w:numId w:val="6"/>
        </w:numPr>
        <w:tabs>
          <w:tab w:val="left" w:pos="284"/>
          <w:tab w:val="left" w:pos="9072"/>
        </w:tabs>
        <w:autoSpaceDE w:val="0"/>
        <w:autoSpaceDN w:val="0"/>
        <w:adjustRightInd w:val="0"/>
        <w:spacing w:after="0" w:line="240" w:lineRule="auto"/>
        <w:ind w:left="284" w:hanging="284"/>
        <w:jc w:val="both"/>
        <w:rPr>
          <w:b/>
          <w:bCs/>
          <w:i/>
          <w:iCs/>
          <w:color w:val="231F20"/>
        </w:rPr>
      </w:pPr>
      <w:r w:rsidRPr="00F65AB7">
        <w:rPr>
          <w:b/>
          <w:bCs/>
          <w:i/>
          <w:iCs/>
          <w:color w:val="231F20"/>
        </w:rPr>
        <w:t>Materiály použité pri vypracovaní strategického dokumentu:</w:t>
      </w:r>
    </w:p>
    <w:p w:rsidR="00B21EB8" w:rsidRPr="00384990" w:rsidRDefault="00B21EB8" w:rsidP="00A732FA">
      <w:pPr>
        <w:widowControl w:val="0"/>
        <w:tabs>
          <w:tab w:val="left" w:pos="9072"/>
        </w:tabs>
        <w:autoSpaceDE w:val="0"/>
        <w:autoSpaceDN w:val="0"/>
        <w:adjustRightInd w:val="0"/>
        <w:spacing w:before="120" w:after="0" w:line="240" w:lineRule="auto"/>
        <w:jc w:val="both"/>
        <w:rPr>
          <w:bCs/>
          <w:iCs/>
          <w:color w:val="231F20"/>
        </w:rPr>
      </w:pPr>
      <w:r w:rsidRPr="00F65AB7">
        <w:rPr>
          <w:bCs/>
          <w:iCs/>
          <w:color w:val="231F20"/>
        </w:rPr>
        <w:t xml:space="preserve">Pri vypracovaní revízie OP KaHR boli použité materiály uvedené v kap. II bod 7. a kap. III bod </w:t>
      </w:r>
      <w:r>
        <w:rPr>
          <w:bCs/>
          <w:iCs/>
          <w:color w:val="231F20"/>
        </w:rPr>
        <w:t>1</w:t>
      </w:r>
      <w:r w:rsidRPr="00F65AB7">
        <w:rPr>
          <w:bCs/>
          <w:iCs/>
          <w:color w:val="231F20"/>
        </w:rPr>
        <w:t xml:space="preserve"> tohto oznámenia.</w:t>
      </w:r>
    </w:p>
    <w:p w:rsidR="00B21EB8" w:rsidRDefault="00B21EB8" w:rsidP="00A732FA">
      <w:pPr>
        <w:widowControl w:val="0"/>
        <w:tabs>
          <w:tab w:val="left" w:pos="9072"/>
        </w:tabs>
        <w:autoSpaceDE w:val="0"/>
        <w:autoSpaceDN w:val="0"/>
        <w:adjustRightInd w:val="0"/>
        <w:spacing w:after="0" w:line="240" w:lineRule="auto"/>
        <w:ind w:right="1"/>
        <w:rPr>
          <w:color w:val="231F20"/>
        </w:rPr>
      </w:pPr>
    </w:p>
    <w:p w:rsidR="00B21EB8" w:rsidRDefault="00B21EB8" w:rsidP="00A732FA">
      <w:pPr>
        <w:widowControl w:val="0"/>
        <w:tabs>
          <w:tab w:val="left" w:pos="9072"/>
        </w:tabs>
        <w:autoSpaceDE w:val="0"/>
        <w:autoSpaceDN w:val="0"/>
        <w:adjustRightInd w:val="0"/>
        <w:spacing w:after="0" w:line="240" w:lineRule="auto"/>
        <w:ind w:right="1"/>
        <w:rPr>
          <w:color w:val="231F20"/>
        </w:rPr>
      </w:pPr>
    </w:p>
    <w:p w:rsidR="00B21EB8" w:rsidRDefault="00B21EB8" w:rsidP="00A732FA">
      <w:pPr>
        <w:widowControl w:val="0"/>
        <w:tabs>
          <w:tab w:val="left" w:pos="9072"/>
        </w:tabs>
        <w:autoSpaceDE w:val="0"/>
        <w:autoSpaceDN w:val="0"/>
        <w:adjustRightInd w:val="0"/>
        <w:spacing w:after="0" w:line="240" w:lineRule="auto"/>
        <w:ind w:right="1"/>
        <w:rPr>
          <w:color w:val="231F20"/>
        </w:rPr>
      </w:pPr>
    </w:p>
    <w:p w:rsidR="00B21EB8" w:rsidRPr="00384990" w:rsidRDefault="00B21EB8" w:rsidP="00A732FA">
      <w:pPr>
        <w:widowControl w:val="0"/>
        <w:tabs>
          <w:tab w:val="left" w:pos="9072"/>
        </w:tabs>
        <w:autoSpaceDE w:val="0"/>
        <w:autoSpaceDN w:val="0"/>
        <w:adjustRightInd w:val="0"/>
        <w:spacing w:after="0" w:line="240" w:lineRule="auto"/>
        <w:ind w:right="1"/>
      </w:pPr>
      <w:r w:rsidRPr="00384990">
        <w:rPr>
          <w:color w:val="231F20"/>
        </w:rPr>
        <w:tab/>
      </w:r>
    </w:p>
    <w:p w:rsidR="00B21EB8" w:rsidRPr="008D53D6" w:rsidRDefault="00B21EB8" w:rsidP="00A732FA">
      <w:pPr>
        <w:widowControl w:val="0"/>
        <w:tabs>
          <w:tab w:val="left" w:pos="9072"/>
        </w:tabs>
        <w:autoSpaceDE w:val="0"/>
        <w:autoSpaceDN w:val="0"/>
        <w:adjustRightInd w:val="0"/>
        <w:spacing w:after="0" w:line="240" w:lineRule="auto"/>
        <w:ind w:right="1"/>
        <w:jc w:val="center"/>
        <w:rPr>
          <w:b/>
          <w:bCs/>
          <w:color w:val="231F20"/>
          <w:sz w:val="28"/>
          <w:szCs w:val="28"/>
        </w:rPr>
      </w:pPr>
      <w:r w:rsidRPr="008D53D6">
        <w:rPr>
          <w:b/>
          <w:bCs/>
          <w:color w:val="231F20"/>
          <w:sz w:val="28"/>
          <w:szCs w:val="28"/>
        </w:rPr>
        <w:t>VI. Miesto a dátum vypracovania oznámenia</w:t>
      </w:r>
    </w:p>
    <w:p w:rsidR="00B21EB8" w:rsidRDefault="00B21EB8" w:rsidP="00A732FA">
      <w:pPr>
        <w:widowControl w:val="0"/>
        <w:tabs>
          <w:tab w:val="left" w:pos="9072"/>
        </w:tabs>
        <w:autoSpaceDE w:val="0"/>
        <w:autoSpaceDN w:val="0"/>
        <w:adjustRightInd w:val="0"/>
        <w:spacing w:after="0" w:line="240" w:lineRule="auto"/>
        <w:ind w:right="1"/>
        <w:jc w:val="both"/>
        <w:rPr>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color w:val="231F20"/>
        </w:rPr>
      </w:pPr>
      <w:r w:rsidRPr="00384990">
        <w:rPr>
          <w:color w:val="231F20"/>
        </w:rPr>
        <w:t xml:space="preserve">Bratislava, </w:t>
      </w:r>
      <w:r w:rsidR="00C14FBB">
        <w:rPr>
          <w:color w:val="231F20"/>
        </w:rPr>
        <w:t>1</w:t>
      </w:r>
      <w:r w:rsidR="00EC24ED">
        <w:rPr>
          <w:color w:val="231F20"/>
        </w:rPr>
        <w:t>4</w:t>
      </w:r>
      <w:r>
        <w:rPr>
          <w:color w:val="231F20"/>
        </w:rPr>
        <w:t>.</w:t>
      </w:r>
      <w:r w:rsidRPr="00384990">
        <w:rPr>
          <w:color w:val="231F20"/>
        </w:rPr>
        <w:t xml:space="preserve"> </w:t>
      </w:r>
      <w:r w:rsidR="00EC24ED">
        <w:rPr>
          <w:color w:val="231F20"/>
        </w:rPr>
        <w:t>októb</w:t>
      </w:r>
      <w:r w:rsidR="00173540">
        <w:rPr>
          <w:color w:val="231F20"/>
        </w:rPr>
        <w:t>r</w:t>
      </w:r>
      <w:r w:rsidR="00A23867">
        <w:rPr>
          <w:color w:val="231F20"/>
        </w:rPr>
        <w:t>a</w:t>
      </w:r>
      <w:r>
        <w:rPr>
          <w:color w:val="231F20"/>
        </w:rPr>
        <w:t xml:space="preserve"> </w:t>
      </w:r>
      <w:r w:rsidRPr="00384990">
        <w:rPr>
          <w:color w:val="231F20"/>
        </w:rPr>
        <w:t>20</w:t>
      </w:r>
      <w:r w:rsidR="00A23867">
        <w:rPr>
          <w:color w:val="231F20"/>
        </w:rPr>
        <w:t>1</w:t>
      </w:r>
      <w:r w:rsidR="00173540">
        <w:rPr>
          <w:color w:val="231F20"/>
        </w:rPr>
        <w:t>5</w:t>
      </w:r>
    </w:p>
    <w:p w:rsidR="00B21EB8" w:rsidRDefault="00B21EB8" w:rsidP="00A732FA">
      <w:pPr>
        <w:widowControl w:val="0"/>
        <w:tabs>
          <w:tab w:val="left" w:pos="9072"/>
        </w:tabs>
        <w:autoSpaceDE w:val="0"/>
        <w:autoSpaceDN w:val="0"/>
        <w:adjustRightInd w:val="0"/>
        <w:spacing w:after="0" w:line="240" w:lineRule="auto"/>
        <w:ind w:right="1"/>
        <w:jc w:val="both"/>
        <w:rPr>
          <w:b/>
          <w:bCs/>
          <w:color w:val="231F20"/>
        </w:rPr>
      </w:pPr>
    </w:p>
    <w:p w:rsidR="00B21EB8" w:rsidRDefault="00B21EB8" w:rsidP="00A732FA">
      <w:pPr>
        <w:widowControl w:val="0"/>
        <w:tabs>
          <w:tab w:val="left" w:pos="9072"/>
        </w:tabs>
        <w:autoSpaceDE w:val="0"/>
        <w:autoSpaceDN w:val="0"/>
        <w:adjustRightInd w:val="0"/>
        <w:spacing w:after="0" w:line="240" w:lineRule="auto"/>
        <w:ind w:right="1"/>
        <w:jc w:val="both"/>
        <w:rPr>
          <w:b/>
          <w:b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color w:val="231F20"/>
        </w:rPr>
      </w:pPr>
    </w:p>
    <w:p w:rsidR="00B21EB8" w:rsidRPr="008D53D6" w:rsidRDefault="00B21EB8" w:rsidP="00A732FA">
      <w:pPr>
        <w:widowControl w:val="0"/>
        <w:tabs>
          <w:tab w:val="left" w:pos="9072"/>
        </w:tabs>
        <w:autoSpaceDE w:val="0"/>
        <w:autoSpaceDN w:val="0"/>
        <w:adjustRightInd w:val="0"/>
        <w:spacing w:after="0" w:line="240" w:lineRule="auto"/>
        <w:ind w:right="1"/>
        <w:jc w:val="center"/>
        <w:rPr>
          <w:b/>
          <w:bCs/>
          <w:color w:val="231F20"/>
          <w:sz w:val="28"/>
          <w:szCs w:val="28"/>
        </w:rPr>
      </w:pPr>
      <w:r w:rsidRPr="008D53D6">
        <w:rPr>
          <w:b/>
          <w:bCs/>
          <w:color w:val="231F20"/>
          <w:sz w:val="28"/>
          <w:szCs w:val="28"/>
        </w:rPr>
        <w:t>VII. Potvrdenie správnosti údajov</w:t>
      </w:r>
    </w:p>
    <w:p w:rsidR="00B21EB8"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384990"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D62A2F" w:rsidRDefault="00B21EB8" w:rsidP="00A732FA">
      <w:pPr>
        <w:keepNext/>
        <w:widowControl w:val="0"/>
        <w:numPr>
          <w:ilvl w:val="0"/>
          <w:numId w:val="7"/>
        </w:numPr>
        <w:tabs>
          <w:tab w:val="left" w:pos="284"/>
          <w:tab w:val="left" w:pos="9072"/>
        </w:tabs>
        <w:autoSpaceDE w:val="0"/>
        <w:autoSpaceDN w:val="0"/>
        <w:adjustRightInd w:val="0"/>
        <w:spacing w:after="0" w:line="240" w:lineRule="auto"/>
        <w:ind w:left="284" w:hanging="284"/>
        <w:jc w:val="both"/>
        <w:rPr>
          <w:b/>
          <w:bCs/>
          <w:i/>
          <w:iCs/>
          <w:color w:val="231F20"/>
        </w:rPr>
      </w:pPr>
      <w:r w:rsidRPr="00D62A2F">
        <w:rPr>
          <w:b/>
          <w:bCs/>
          <w:i/>
          <w:iCs/>
          <w:color w:val="231F20"/>
        </w:rPr>
        <w:t>Meno spracovateľa oznámenia:</w:t>
      </w:r>
    </w:p>
    <w:p w:rsidR="00B21EB8" w:rsidRPr="00D62A2F" w:rsidRDefault="00B21EB8" w:rsidP="00A732FA">
      <w:pPr>
        <w:widowControl w:val="0"/>
        <w:tabs>
          <w:tab w:val="left" w:pos="9072"/>
        </w:tabs>
        <w:autoSpaceDE w:val="0"/>
        <w:autoSpaceDN w:val="0"/>
        <w:adjustRightInd w:val="0"/>
        <w:spacing w:before="120" w:after="0" w:line="240" w:lineRule="auto"/>
        <w:rPr>
          <w:color w:val="231F20"/>
        </w:rPr>
      </w:pPr>
      <w:r w:rsidRPr="00D62A2F">
        <w:rPr>
          <w:color w:val="231F20"/>
        </w:rPr>
        <w:t>Mgr. Pavol Borovský</w:t>
      </w:r>
    </w:p>
    <w:p w:rsidR="00B21EB8" w:rsidRPr="00D62A2F" w:rsidRDefault="00B21EB8" w:rsidP="00A732FA">
      <w:pPr>
        <w:widowControl w:val="0"/>
        <w:tabs>
          <w:tab w:val="left" w:pos="9072"/>
        </w:tabs>
        <w:autoSpaceDE w:val="0"/>
        <w:autoSpaceDN w:val="0"/>
        <w:adjustRightInd w:val="0"/>
        <w:spacing w:after="0" w:line="240" w:lineRule="auto"/>
        <w:ind w:right="1"/>
        <w:rPr>
          <w:color w:val="231F20"/>
        </w:rPr>
      </w:pPr>
      <w:r w:rsidRPr="00D62A2F">
        <w:rPr>
          <w:color w:val="231F20"/>
        </w:rPr>
        <w:t xml:space="preserve">riaditeľ </w:t>
      </w:r>
    </w:p>
    <w:p w:rsidR="00B21EB8" w:rsidRPr="00D62A2F" w:rsidRDefault="00B21EB8" w:rsidP="00A732FA">
      <w:pPr>
        <w:widowControl w:val="0"/>
        <w:tabs>
          <w:tab w:val="left" w:pos="9072"/>
        </w:tabs>
        <w:autoSpaceDE w:val="0"/>
        <w:autoSpaceDN w:val="0"/>
        <w:adjustRightInd w:val="0"/>
        <w:spacing w:after="0" w:line="240" w:lineRule="auto"/>
        <w:ind w:right="1"/>
        <w:rPr>
          <w:color w:val="231F20"/>
        </w:rPr>
      </w:pPr>
      <w:r w:rsidRPr="00D62A2F">
        <w:rPr>
          <w:color w:val="231F20"/>
        </w:rPr>
        <w:t>odbor riadenia OP a metodiky</w:t>
      </w:r>
    </w:p>
    <w:p w:rsidR="00B21EB8" w:rsidRPr="00D62A2F" w:rsidRDefault="00B21EB8" w:rsidP="00A732FA">
      <w:pPr>
        <w:widowControl w:val="0"/>
        <w:tabs>
          <w:tab w:val="left" w:pos="9072"/>
        </w:tabs>
        <w:autoSpaceDE w:val="0"/>
        <w:autoSpaceDN w:val="0"/>
        <w:adjustRightInd w:val="0"/>
        <w:spacing w:after="0" w:line="240" w:lineRule="auto"/>
        <w:ind w:right="1"/>
        <w:jc w:val="both"/>
        <w:rPr>
          <w:color w:val="231F20"/>
        </w:rPr>
      </w:pPr>
      <w:r w:rsidRPr="00D62A2F">
        <w:rPr>
          <w:color w:val="231F20"/>
        </w:rPr>
        <w:t>Ministerstvo hospodárstva Slovenskej republiky</w:t>
      </w:r>
    </w:p>
    <w:p w:rsidR="00B21EB8" w:rsidRPr="00D62A2F"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D62A2F" w:rsidRDefault="00B21EB8" w:rsidP="00A732FA">
      <w:pPr>
        <w:widowControl w:val="0"/>
        <w:tabs>
          <w:tab w:val="left" w:pos="9072"/>
        </w:tabs>
        <w:autoSpaceDE w:val="0"/>
        <w:autoSpaceDN w:val="0"/>
        <w:adjustRightInd w:val="0"/>
        <w:spacing w:after="0" w:line="240" w:lineRule="auto"/>
        <w:ind w:right="1"/>
        <w:jc w:val="both"/>
        <w:rPr>
          <w:b/>
          <w:bCs/>
          <w:i/>
          <w:iCs/>
          <w:color w:val="231F20"/>
        </w:rPr>
      </w:pPr>
    </w:p>
    <w:p w:rsidR="00B21EB8" w:rsidRPr="00D62A2F" w:rsidRDefault="00B21EB8" w:rsidP="00A732FA">
      <w:pPr>
        <w:keepNext/>
        <w:widowControl w:val="0"/>
        <w:numPr>
          <w:ilvl w:val="0"/>
          <w:numId w:val="7"/>
        </w:numPr>
        <w:tabs>
          <w:tab w:val="left" w:pos="284"/>
          <w:tab w:val="left" w:pos="9072"/>
        </w:tabs>
        <w:autoSpaceDE w:val="0"/>
        <w:autoSpaceDN w:val="0"/>
        <w:adjustRightInd w:val="0"/>
        <w:spacing w:after="0" w:line="240" w:lineRule="auto"/>
        <w:ind w:left="284" w:hanging="284"/>
        <w:jc w:val="both"/>
        <w:rPr>
          <w:b/>
          <w:bCs/>
          <w:i/>
          <w:iCs/>
          <w:color w:val="231F20"/>
        </w:rPr>
      </w:pPr>
      <w:r w:rsidRPr="00D62A2F">
        <w:rPr>
          <w:b/>
          <w:bCs/>
          <w:i/>
          <w:iCs/>
          <w:color w:val="231F20"/>
        </w:rPr>
        <w:lastRenderedPageBreak/>
        <w:t>Potvrdenie správnosti údajov oznámenia podpisom oprávneného zástupcu obstarávateľa:</w:t>
      </w:r>
    </w:p>
    <w:p w:rsidR="00B21EB8" w:rsidRPr="00D62A2F" w:rsidRDefault="00173540" w:rsidP="00A732FA">
      <w:pPr>
        <w:widowControl w:val="0"/>
        <w:tabs>
          <w:tab w:val="left" w:pos="9072"/>
        </w:tabs>
        <w:autoSpaceDE w:val="0"/>
        <w:autoSpaceDN w:val="0"/>
        <w:adjustRightInd w:val="0"/>
        <w:spacing w:before="120" w:after="0" w:line="240" w:lineRule="auto"/>
      </w:pPr>
      <w:r>
        <w:t>Mgr</w:t>
      </w:r>
      <w:r w:rsidR="00B21EB8" w:rsidRPr="00D62A2F">
        <w:t xml:space="preserve">. </w:t>
      </w:r>
      <w:r>
        <w:t>Roderik Klinda</w:t>
      </w:r>
      <w:r w:rsidR="00B21EB8" w:rsidRPr="00D62A2F">
        <w:t xml:space="preserve"> </w:t>
      </w:r>
    </w:p>
    <w:p w:rsidR="00B21EB8" w:rsidRPr="00D62A2F" w:rsidRDefault="00B21EB8" w:rsidP="00A732FA">
      <w:pPr>
        <w:widowControl w:val="0"/>
        <w:tabs>
          <w:tab w:val="left" w:pos="9072"/>
        </w:tabs>
        <w:autoSpaceDE w:val="0"/>
        <w:autoSpaceDN w:val="0"/>
        <w:adjustRightInd w:val="0"/>
        <w:spacing w:after="0" w:line="240" w:lineRule="auto"/>
        <w:ind w:right="1"/>
      </w:pPr>
      <w:r w:rsidRPr="00D62A2F">
        <w:t>generálny riaditeľ</w:t>
      </w:r>
    </w:p>
    <w:p w:rsidR="00B21EB8" w:rsidRPr="00D62A2F" w:rsidRDefault="00B21EB8" w:rsidP="00A732FA">
      <w:pPr>
        <w:widowControl w:val="0"/>
        <w:tabs>
          <w:tab w:val="left" w:pos="9072"/>
        </w:tabs>
        <w:autoSpaceDE w:val="0"/>
        <w:autoSpaceDN w:val="0"/>
        <w:adjustRightInd w:val="0"/>
        <w:spacing w:after="0" w:line="240" w:lineRule="auto"/>
        <w:ind w:right="1"/>
      </w:pPr>
      <w:r w:rsidRPr="00D62A2F">
        <w:t xml:space="preserve">sekcia podporných programov </w:t>
      </w:r>
    </w:p>
    <w:p w:rsidR="00B21EB8" w:rsidRDefault="00B21EB8" w:rsidP="00AE7D7A">
      <w:pPr>
        <w:widowControl w:val="0"/>
        <w:tabs>
          <w:tab w:val="left" w:pos="9072"/>
        </w:tabs>
        <w:autoSpaceDE w:val="0"/>
        <w:autoSpaceDN w:val="0"/>
        <w:adjustRightInd w:val="0"/>
        <w:spacing w:after="0" w:line="240" w:lineRule="auto"/>
        <w:ind w:right="1"/>
        <w:jc w:val="both"/>
      </w:pPr>
      <w:r w:rsidRPr="00D62A2F">
        <w:rPr>
          <w:color w:val="231F20"/>
        </w:rPr>
        <w:t>Ministerstvo hospodárstva Slovenskej republiky</w:t>
      </w:r>
    </w:p>
    <w:sectPr w:rsidR="00B21EB8" w:rsidSect="006A2993">
      <w:footerReference w:type="even" r:id="rId13"/>
      <w:footerReference w:type="default" r:id="rId14"/>
      <w:pgSz w:w="12240" w:h="15840"/>
      <w:pgMar w:top="1276" w:right="1325" w:bottom="1417" w:left="1417" w:header="708" w:footer="58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B8" w:rsidRDefault="00B21EB8">
      <w:pPr>
        <w:spacing w:after="0" w:line="240" w:lineRule="auto"/>
      </w:pPr>
      <w:r>
        <w:separator/>
      </w:r>
    </w:p>
  </w:endnote>
  <w:endnote w:type="continuationSeparator" w:id="0">
    <w:p w:rsidR="00B21EB8" w:rsidRDefault="00B2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B8" w:rsidRDefault="00B21EB8" w:rsidP="005C374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21EB8" w:rsidRDefault="00B21EB8" w:rsidP="005C374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B8" w:rsidRDefault="00A23867">
    <w:pPr>
      <w:pStyle w:val="Pta"/>
      <w:jc w:val="center"/>
    </w:pPr>
    <w:r>
      <w:fldChar w:fldCharType="begin"/>
    </w:r>
    <w:r>
      <w:instrText>PAGE   \* MERGEFORMAT</w:instrText>
    </w:r>
    <w:r>
      <w:fldChar w:fldCharType="separate"/>
    </w:r>
    <w:r w:rsidR="003F483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B8" w:rsidRDefault="00B21EB8">
      <w:pPr>
        <w:spacing w:after="0" w:line="240" w:lineRule="auto"/>
      </w:pPr>
      <w:r>
        <w:separator/>
      </w:r>
    </w:p>
  </w:footnote>
  <w:footnote w:type="continuationSeparator" w:id="0">
    <w:p w:rsidR="00B21EB8" w:rsidRDefault="00B2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302"/>
    <w:multiLevelType w:val="hybridMultilevel"/>
    <w:tmpl w:val="5B8A162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A603268"/>
    <w:multiLevelType w:val="hybridMultilevel"/>
    <w:tmpl w:val="5B8A162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04268CF"/>
    <w:multiLevelType w:val="hybridMultilevel"/>
    <w:tmpl w:val="5B8A162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8702A2D"/>
    <w:multiLevelType w:val="hybridMultilevel"/>
    <w:tmpl w:val="8B1C38C8"/>
    <w:lvl w:ilvl="0" w:tplc="041B0001">
      <w:start w:val="1"/>
      <w:numFmt w:val="bullet"/>
      <w:lvlText w:val=""/>
      <w:lvlJc w:val="left"/>
      <w:pPr>
        <w:ind w:left="1797" w:hanging="360"/>
      </w:pPr>
      <w:rPr>
        <w:rFonts w:ascii="Symbol" w:hAnsi="Symbol" w:hint="default"/>
      </w:rPr>
    </w:lvl>
    <w:lvl w:ilvl="1" w:tplc="041B0003" w:tentative="1">
      <w:start w:val="1"/>
      <w:numFmt w:val="bullet"/>
      <w:lvlText w:val="o"/>
      <w:lvlJc w:val="left"/>
      <w:pPr>
        <w:ind w:left="2517" w:hanging="360"/>
      </w:pPr>
      <w:rPr>
        <w:rFonts w:ascii="Courier New" w:hAnsi="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4">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993"/>
        </w:tabs>
        <w:ind w:left="993"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firstLine="0"/>
      </w:pPr>
      <w:rPr>
        <w:rFonts w:cs="Times New Roman"/>
      </w:rPr>
    </w:lvl>
    <w:lvl w:ilvl="5">
      <w:start w:val="1"/>
      <w:numFmt w:val="lowerLetter"/>
      <w:pStyle w:val="Nadpis6"/>
      <w:lvlText w:val="(%6)"/>
      <w:lvlJc w:val="left"/>
      <w:pPr>
        <w:tabs>
          <w:tab w:val="num" w:pos="3960"/>
        </w:tabs>
        <w:ind w:left="3600" w:firstLine="0"/>
      </w:pPr>
      <w:rPr>
        <w:rFonts w:cs="Times New Roman"/>
      </w:rPr>
    </w:lvl>
    <w:lvl w:ilvl="6">
      <w:start w:val="1"/>
      <w:numFmt w:val="lowerRoman"/>
      <w:pStyle w:val="Nadpis7"/>
      <w:lvlText w:val="(%7)"/>
      <w:lvlJc w:val="left"/>
      <w:pPr>
        <w:tabs>
          <w:tab w:val="num" w:pos="4680"/>
        </w:tabs>
        <w:ind w:left="4320" w:firstLine="0"/>
      </w:pPr>
      <w:rPr>
        <w:rFonts w:cs="Times New Roman"/>
      </w:rPr>
    </w:lvl>
    <w:lvl w:ilvl="7">
      <w:start w:val="1"/>
      <w:numFmt w:val="lowerLetter"/>
      <w:pStyle w:val="Nadpis8"/>
      <w:lvlText w:val="(%8)"/>
      <w:lvlJc w:val="left"/>
      <w:pPr>
        <w:tabs>
          <w:tab w:val="num" w:pos="5400"/>
        </w:tabs>
        <w:ind w:left="5040" w:firstLine="0"/>
      </w:pPr>
      <w:rPr>
        <w:rFonts w:cs="Times New Roman"/>
      </w:rPr>
    </w:lvl>
    <w:lvl w:ilvl="8">
      <w:start w:val="1"/>
      <w:numFmt w:val="lowerRoman"/>
      <w:pStyle w:val="Nadpis9"/>
      <w:lvlText w:val="(%9)"/>
      <w:lvlJc w:val="left"/>
      <w:pPr>
        <w:tabs>
          <w:tab w:val="num" w:pos="6120"/>
        </w:tabs>
        <w:ind w:left="5760" w:firstLine="0"/>
      </w:pPr>
      <w:rPr>
        <w:rFonts w:cs="Times New Roman"/>
      </w:rPr>
    </w:lvl>
  </w:abstractNum>
  <w:abstractNum w:abstractNumId="5">
    <w:nsid w:val="1C6A4525"/>
    <w:multiLevelType w:val="hybridMultilevel"/>
    <w:tmpl w:val="0134A0CA"/>
    <w:lvl w:ilvl="0" w:tplc="5796AA5A">
      <w:start w:val="3"/>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35B93742"/>
    <w:multiLevelType w:val="hybridMultilevel"/>
    <w:tmpl w:val="A6ACA3EE"/>
    <w:lvl w:ilvl="0" w:tplc="8AE883AA">
      <w:numFmt w:val="bullet"/>
      <w:lvlText w:val="-"/>
      <w:lvlJc w:val="left"/>
      <w:pPr>
        <w:tabs>
          <w:tab w:val="num" w:pos="1080"/>
        </w:tabs>
        <w:ind w:left="1080" w:hanging="360"/>
      </w:pPr>
      <w:rPr>
        <w:rFonts w:ascii="Arial Narrow" w:eastAsia="Times New Roman" w:hAnsi="Arial Narrow" w:hint="default"/>
      </w:rPr>
    </w:lvl>
    <w:lvl w:ilvl="1" w:tplc="041B0001">
      <w:start w:val="1"/>
      <w:numFmt w:val="bullet"/>
      <w:lvlText w:val=""/>
      <w:lvlJc w:val="left"/>
      <w:pPr>
        <w:tabs>
          <w:tab w:val="num" w:pos="1800"/>
        </w:tabs>
        <w:ind w:left="1800" w:hanging="360"/>
      </w:pPr>
      <w:rPr>
        <w:rFonts w:ascii="Symbol" w:hAnsi="Symbol" w:hint="default"/>
      </w:rPr>
    </w:lvl>
    <w:lvl w:ilvl="2" w:tplc="FFFFFFFF">
      <w:numFmt w:val="bullet"/>
      <w:lvlText w:val="-"/>
      <w:lvlJc w:val="left"/>
      <w:pPr>
        <w:tabs>
          <w:tab w:val="num" w:pos="2520"/>
        </w:tabs>
        <w:ind w:left="2520" w:hanging="360"/>
      </w:pPr>
      <w:rPr>
        <w:rFonts w:ascii="Times New Roman" w:eastAsia="Times New Roman" w:hAnsi="Times New Roman"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7">
    <w:nsid w:val="3F306471"/>
    <w:multiLevelType w:val="hybridMultilevel"/>
    <w:tmpl w:val="10B0A8C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4A9E61FD"/>
    <w:multiLevelType w:val="hybridMultilevel"/>
    <w:tmpl w:val="E88A977A"/>
    <w:lvl w:ilvl="0" w:tplc="041B0001">
      <w:start w:val="1"/>
      <w:numFmt w:val="bullet"/>
      <w:lvlText w:val=""/>
      <w:lvlJc w:val="left"/>
      <w:pPr>
        <w:tabs>
          <w:tab w:val="num" w:pos="1276"/>
        </w:tabs>
        <w:ind w:left="1276" w:hanging="360"/>
      </w:pPr>
      <w:rPr>
        <w:rFonts w:ascii="Symbol" w:hAnsi="Symbol" w:hint="default"/>
      </w:rPr>
    </w:lvl>
    <w:lvl w:ilvl="1" w:tplc="09B24670">
      <w:start w:val="1"/>
      <w:numFmt w:val="bullet"/>
      <w:lvlText w:val="-"/>
      <w:lvlJc w:val="left"/>
      <w:pPr>
        <w:tabs>
          <w:tab w:val="num" w:pos="1996"/>
        </w:tabs>
        <w:ind w:left="1996" w:hanging="360"/>
      </w:pPr>
      <w:rPr>
        <w:rFonts w:ascii="Times New Roman" w:hAnsi="Times New Roman" w:hint="default"/>
      </w:rPr>
    </w:lvl>
    <w:lvl w:ilvl="2" w:tplc="09B24670">
      <w:start w:val="1"/>
      <w:numFmt w:val="bullet"/>
      <w:lvlText w:val="-"/>
      <w:lvlJc w:val="left"/>
      <w:pPr>
        <w:tabs>
          <w:tab w:val="num" w:pos="2716"/>
        </w:tabs>
        <w:ind w:left="2716" w:hanging="180"/>
      </w:pPr>
      <w:rPr>
        <w:rFonts w:ascii="Times New Roman" w:hAnsi="Times New Roman" w:hint="default"/>
      </w:rPr>
    </w:lvl>
    <w:lvl w:ilvl="3" w:tplc="041B000F">
      <w:start w:val="1"/>
      <w:numFmt w:val="decimal"/>
      <w:lvlText w:val="%4."/>
      <w:lvlJc w:val="left"/>
      <w:pPr>
        <w:tabs>
          <w:tab w:val="num" w:pos="3436"/>
        </w:tabs>
        <w:ind w:left="3436" w:hanging="360"/>
      </w:pPr>
      <w:rPr>
        <w:rFonts w:cs="Times New Roman"/>
      </w:rPr>
    </w:lvl>
    <w:lvl w:ilvl="4" w:tplc="041B0019">
      <w:start w:val="1"/>
      <w:numFmt w:val="lowerLetter"/>
      <w:lvlText w:val="%5."/>
      <w:lvlJc w:val="left"/>
      <w:pPr>
        <w:tabs>
          <w:tab w:val="num" w:pos="4156"/>
        </w:tabs>
        <w:ind w:left="4156" w:hanging="360"/>
      </w:pPr>
      <w:rPr>
        <w:rFonts w:cs="Times New Roman"/>
      </w:rPr>
    </w:lvl>
    <w:lvl w:ilvl="5" w:tplc="041B001B">
      <w:start w:val="1"/>
      <w:numFmt w:val="lowerRoman"/>
      <w:lvlText w:val="%6."/>
      <w:lvlJc w:val="right"/>
      <w:pPr>
        <w:tabs>
          <w:tab w:val="num" w:pos="4876"/>
        </w:tabs>
        <w:ind w:left="4876" w:hanging="180"/>
      </w:pPr>
      <w:rPr>
        <w:rFonts w:cs="Times New Roman"/>
      </w:rPr>
    </w:lvl>
    <w:lvl w:ilvl="6" w:tplc="041B000F">
      <w:start w:val="1"/>
      <w:numFmt w:val="decimal"/>
      <w:lvlText w:val="%7."/>
      <w:lvlJc w:val="left"/>
      <w:pPr>
        <w:tabs>
          <w:tab w:val="num" w:pos="5596"/>
        </w:tabs>
        <w:ind w:left="5596" w:hanging="360"/>
      </w:pPr>
      <w:rPr>
        <w:rFonts w:cs="Times New Roman"/>
      </w:rPr>
    </w:lvl>
    <w:lvl w:ilvl="7" w:tplc="041B0019">
      <w:start w:val="1"/>
      <w:numFmt w:val="lowerLetter"/>
      <w:lvlText w:val="%8."/>
      <w:lvlJc w:val="left"/>
      <w:pPr>
        <w:tabs>
          <w:tab w:val="num" w:pos="6316"/>
        </w:tabs>
        <w:ind w:left="6316" w:hanging="360"/>
      </w:pPr>
      <w:rPr>
        <w:rFonts w:cs="Times New Roman"/>
      </w:rPr>
    </w:lvl>
    <w:lvl w:ilvl="8" w:tplc="041B001B">
      <w:start w:val="1"/>
      <w:numFmt w:val="lowerRoman"/>
      <w:lvlText w:val="%9."/>
      <w:lvlJc w:val="right"/>
      <w:pPr>
        <w:tabs>
          <w:tab w:val="num" w:pos="7036"/>
        </w:tabs>
        <w:ind w:left="7036" w:hanging="180"/>
      </w:pPr>
      <w:rPr>
        <w:rFonts w:cs="Times New Roman"/>
      </w:rPr>
    </w:lvl>
  </w:abstractNum>
  <w:abstractNum w:abstractNumId="9">
    <w:nsid w:val="500B0BD1"/>
    <w:multiLevelType w:val="hybridMultilevel"/>
    <w:tmpl w:val="E5348C98"/>
    <w:lvl w:ilvl="0" w:tplc="041B0001">
      <w:start w:val="1"/>
      <w:numFmt w:val="bullet"/>
      <w:lvlText w:val=""/>
      <w:lvlJc w:val="left"/>
      <w:pPr>
        <w:tabs>
          <w:tab w:val="num" w:pos="1276"/>
        </w:tabs>
        <w:ind w:left="1276" w:hanging="360"/>
      </w:pPr>
      <w:rPr>
        <w:rFonts w:ascii="Symbol" w:hAnsi="Symbol" w:hint="default"/>
      </w:rPr>
    </w:lvl>
    <w:lvl w:ilvl="1" w:tplc="041B0003">
      <w:start w:val="1"/>
      <w:numFmt w:val="bullet"/>
      <w:lvlText w:val="o"/>
      <w:lvlJc w:val="left"/>
      <w:pPr>
        <w:tabs>
          <w:tab w:val="num" w:pos="1996"/>
        </w:tabs>
        <w:ind w:left="1996" w:hanging="360"/>
      </w:pPr>
      <w:rPr>
        <w:rFonts w:ascii="Courier New" w:hAnsi="Courier New" w:cs="Courier New" w:hint="default"/>
      </w:rPr>
    </w:lvl>
    <w:lvl w:ilvl="2" w:tplc="09B24670">
      <w:start w:val="1"/>
      <w:numFmt w:val="bullet"/>
      <w:lvlText w:val="-"/>
      <w:lvlJc w:val="left"/>
      <w:pPr>
        <w:tabs>
          <w:tab w:val="num" w:pos="2716"/>
        </w:tabs>
        <w:ind w:left="2716" w:hanging="180"/>
      </w:pPr>
      <w:rPr>
        <w:rFonts w:ascii="Times New Roman" w:hAnsi="Times New Roman" w:hint="default"/>
      </w:rPr>
    </w:lvl>
    <w:lvl w:ilvl="3" w:tplc="041B000F">
      <w:start w:val="1"/>
      <w:numFmt w:val="decimal"/>
      <w:lvlText w:val="%4."/>
      <w:lvlJc w:val="left"/>
      <w:pPr>
        <w:tabs>
          <w:tab w:val="num" w:pos="3436"/>
        </w:tabs>
        <w:ind w:left="3436" w:hanging="360"/>
      </w:pPr>
      <w:rPr>
        <w:rFonts w:cs="Times New Roman"/>
      </w:rPr>
    </w:lvl>
    <w:lvl w:ilvl="4" w:tplc="041B0019">
      <w:start w:val="1"/>
      <w:numFmt w:val="lowerLetter"/>
      <w:lvlText w:val="%5."/>
      <w:lvlJc w:val="left"/>
      <w:pPr>
        <w:tabs>
          <w:tab w:val="num" w:pos="4156"/>
        </w:tabs>
        <w:ind w:left="4156" w:hanging="360"/>
      </w:pPr>
      <w:rPr>
        <w:rFonts w:cs="Times New Roman"/>
      </w:rPr>
    </w:lvl>
    <w:lvl w:ilvl="5" w:tplc="041B001B">
      <w:start w:val="1"/>
      <w:numFmt w:val="lowerRoman"/>
      <w:lvlText w:val="%6."/>
      <w:lvlJc w:val="right"/>
      <w:pPr>
        <w:tabs>
          <w:tab w:val="num" w:pos="4876"/>
        </w:tabs>
        <w:ind w:left="4876" w:hanging="180"/>
      </w:pPr>
      <w:rPr>
        <w:rFonts w:cs="Times New Roman"/>
      </w:rPr>
    </w:lvl>
    <w:lvl w:ilvl="6" w:tplc="041B000F">
      <w:start w:val="1"/>
      <w:numFmt w:val="decimal"/>
      <w:lvlText w:val="%7."/>
      <w:lvlJc w:val="left"/>
      <w:pPr>
        <w:tabs>
          <w:tab w:val="num" w:pos="5596"/>
        </w:tabs>
        <w:ind w:left="5596" w:hanging="360"/>
      </w:pPr>
      <w:rPr>
        <w:rFonts w:cs="Times New Roman"/>
      </w:rPr>
    </w:lvl>
    <w:lvl w:ilvl="7" w:tplc="041B0019">
      <w:start w:val="1"/>
      <w:numFmt w:val="lowerLetter"/>
      <w:lvlText w:val="%8."/>
      <w:lvlJc w:val="left"/>
      <w:pPr>
        <w:tabs>
          <w:tab w:val="num" w:pos="6316"/>
        </w:tabs>
        <w:ind w:left="6316" w:hanging="360"/>
      </w:pPr>
      <w:rPr>
        <w:rFonts w:cs="Times New Roman"/>
      </w:rPr>
    </w:lvl>
    <w:lvl w:ilvl="8" w:tplc="041B001B">
      <w:start w:val="1"/>
      <w:numFmt w:val="lowerRoman"/>
      <w:lvlText w:val="%9."/>
      <w:lvlJc w:val="right"/>
      <w:pPr>
        <w:tabs>
          <w:tab w:val="num" w:pos="7036"/>
        </w:tabs>
        <w:ind w:left="7036" w:hanging="180"/>
      </w:pPr>
      <w:rPr>
        <w:rFonts w:cs="Times New Roman"/>
      </w:rPr>
    </w:lvl>
  </w:abstractNum>
  <w:abstractNum w:abstractNumId="10">
    <w:nsid w:val="697736D1"/>
    <w:multiLevelType w:val="hybridMultilevel"/>
    <w:tmpl w:val="41326B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A8E13EE"/>
    <w:multiLevelType w:val="hybridMultilevel"/>
    <w:tmpl w:val="5B8A162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C385CC9"/>
    <w:multiLevelType w:val="hybridMultilevel"/>
    <w:tmpl w:val="B086A46E"/>
    <w:lvl w:ilvl="0" w:tplc="9B6E696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7F647CC7"/>
    <w:multiLevelType w:val="hybridMultilevel"/>
    <w:tmpl w:val="5B8A162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0"/>
  </w:num>
  <w:num w:numId="4">
    <w:abstractNumId w:val="13"/>
  </w:num>
  <w:num w:numId="5">
    <w:abstractNumId w:val="1"/>
  </w:num>
  <w:num w:numId="6">
    <w:abstractNumId w:val="11"/>
  </w:num>
  <w:num w:numId="7">
    <w:abstractNumId w:val="2"/>
  </w:num>
  <w:num w:numId="8">
    <w:abstractNumId w:val="3"/>
  </w:num>
  <w:num w:numId="9">
    <w:abstractNumId w:val="9"/>
  </w:num>
  <w:num w:numId="10">
    <w:abstractNumId w:val="10"/>
  </w:num>
  <w:num w:numId="11">
    <w:abstractNumId w:val="6"/>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A"/>
    <w:rsid w:val="0000311D"/>
    <w:rsid w:val="000079A9"/>
    <w:rsid w:val="000146F0"/>
    <w:rsid w:val="000167AA"/>
    <w:rsid w:val="000300F1"/>
    <w:rsid w:val="000447CA"/>
    <w:rsid w:val="000828FA"/>
    <w:rsid w:val="000B2FE5"/>
    <w:rsid w:val="000C28FD"/>
    <w:rsid w:val="000E143C"/>
    <w:rsid w:val="000E7536"/>
    <w:rsid w:val="000F5174"/>
    <w:rsid w:val="00126619"/>
    <w:rsid w:val="00130674"/>
    <w:rsid w:val="00151096"/>
    <w:rsid w:val="00152EC9"/>
    <w:rsid w:val="001571D0"/>
    <w:rsid w:val="00164446"/>
    <w:rsid w:val="00173540"/>
    <w:rsid w:val="0019202B"/>
    <w:rsid w:val="001952FB"/>
    <w:rsid w:val="001C4FC5"/>
    <w:rsid w:val="001D048C"/>
    <w:rsid w:val="001D2B01"/>
    <w:rsid w:val="001E6E6D"/>
    <w:rsid w:val="001F2820"/>
    <w:rsid w:val="002348F8"/>
    <w:rsid w:val="00282E34"/>
    <w:rsid w:val="00284F66"/>
    <w:rsid w:val="0028653F"/>
    <w:rsid w:val="002B22A3"/>
    <w:rsid w:val="002D2B28"/>
    <w:rsid w:val="002F28D1"/>
    <w:rsid w:val="002F3C83"/>
    <w:rsid w:val="002F638B"/>
    <w:rsid w:val="00337CA0"/>
    <w:rsid w:val="00345B2D"/>
    <w:rsid w:val="00362C78"/>
    <w:rsid w:val="00366BF4"/>
    <w:rsid w:val="00376EDD"/>
    <w:rsid w:val="00384990"/>
    <w:rsid w:val="003C0096"/>
    <w:rsid w:val="003D7574"/>
    <w:rsid w:val="003F4831"/>
    <w:rsid w:val="003F4F65"/>
    <w:rsid w:val="00407CDA"/>
    <w:rsid w:val="00414F91"/>
    <w:rsid w:val="00415E8A"/>
    <w:rsid w:val="00416374"/>
    <w:rsid w:val="00423617"/>
    <w:rsid w:val="004551DC"/>
    <w:rsid w:val="004659CE"/>
    <w:rsid w:val="00466C66"/>
    <w:rsid w:val="004A4556"/>
    <w:rsid w:val="004C3C76"/>
    <w:rsid w:val="00525DAD"/>
    <w:rsid w:val="00560673"/>
    <w:rsid w:val="005C374A"/>
    <w:rsid w:val="005C7F85"/>
    <w:rsid w:val="005C7FB1"/>
    <w:rsid w:val="005D7AE1"/>
    <w:rsid w:val="0061594B"/>
    <w:rsid w:val="00617B87"/>
    <w:rsid w:val="006244CC"/>
    <w:rsid w:val="006461FD"/>
    <w:rsid w:val="00674526"/>
    <w:rsid w:val="006A052A"/>
    <w:rsid w:val="006A2993"/>
    <w:rsid w:val="006C518B"/>
    <w:rsid w:val="006C70E4"/>
    <w:rsid w:val="007051EC"/>
    <w:rsid w:val="0071362C"/>
    <w:rsid w:val="00740E5E"/>
    <w:rsid w:val="00765BB9"/>
    <w:rsid w:val="007A5DB8"/>
    <w:rsid w:val="007C1FAF"/>
    <w:rsid w:val="007F0C50"/>
    <w:rsid w:val="007F3DA5"/>
    <w:rsid w:val="007F604E"/>
    <w:rsid w:val="007F7181"/>
    <w:rsid w:val="00800B65"/>
    <w:rsid w:val="008378C5"/>
    <w:rsid w:val="00853BD2"/>
    <w:rsid w:val="00856AD1"/>
    <w:rsid w:val="008930BF"/>
    <w:rsid w:val="008D46CD"/>
    <w:rsid w:val="008D53D6"/>
    <w:rsid w:val="008F42A4"/>
    <w:rsid w:val="00912877"/>
    <w:rsid w:val="00913E33"/>
    <w:rsid w:val="00920130"/>
    <w:rsid w:val="00922B37"/>
    <w:rsid w:val="00965DE2"/>
    <w:rsid w:val="00965E20"/>
    <w:rsid w:val="00976059"/>
    <w:rsid w:val="00977231"/>
    <w:rsid w:val="00980408"/>
    <w:rsid w:val="009C5331"/>
    <w:rsid w:val="00A00EC5"/>
    <w:rsid w:val="00A23867"/>
    <w:rsid w:val="00A40548"/>
    <w:rsid w:val="00A5426C"/>
    <w:rsid w:val="00A55DC1"/>
    <w:rsid w:val="00A57965"/>
    <w:rsid w:val="00A732FA"/>
    <w:rsid w:val="00A85BED"/>
    <w:rsid w:val="00AA6A4E"/>
    <w:rsid w:val="00AC07C1"/>
    <w:rsid w:val="00AC5210"/>
    <w:rsid w:val="00AE7D7A"/>
    <w:rsid w:val="00AF1A77"/>
    <w:rsid w:val="00AF22F7"/>
    <w:rsid w:val="00B01079"/>
    <w:rsid w:val="00B1100A"/>
    <w:rsid w:val="00B20CE3"/>
    <w:rsid w:val="00B21EB8"/>
    <w:rsid w:val="00B2611A"/>
    <w:rsid w:val="00B57FED"/>
    <w:rsid w:val="00BD0307"/>
    <w:rsid w:val="00BD21D9"/>
    <w:rsid w:val="00BD5590"/>
    <w:rsid w:val="00BE045D"/>
    <w:rsid w:val="00C00EE5"/>
    <w:rsid w:val="00C14FBB"/>
    <w:rsid w:val="00C33540"/>
    <w:rsid w:val="00C84002"/>
    <w:rsid w:val="00CA357C"/>
    <w:rsid w:val="00CA3E5C"/>
    <w:rsid w:val="00CB5AA4"/>
    <w:rsid w:val="00CB6416"/>
    <w:rsid w:val="00CD7B0E"/>
    <w:rsid w:val="00CE7194"/>
    <w:rsid w:val="00D23605"/>
    <w:rsid w:val="00D27D80"/>
    <w:rsid w:val="00D37442"/>
    <w:rsid w:val="00D62A2F"/>
    <w:rsid w:val="00D70C37"/>
    <w:rsid w:val="00D77213"/>
    <w:rsid w:val="00D84D81"/>
    <w:rsid w:val="00DD659B"/>
    <w:rsid w:val="00DE663E"/>
    <w:rsid w:val="00E07BF2"/>
    <w:rsid w:val="00E11763"/>
    <w:rsid w:val="00E42A76"/>
    <w:rsid w:val="00E67B44"/>
    <w:rsid w:val="00E84C4B"/>
    <w:rsid w:val="00E86827"/>
    <w:rsid w:val="00EA4BFB"/>
    <w:rsid w:val="00EC24ED"/>
    <w:rsid w:val="00ED2D22"/>
    <w:rsid w:val="00ED3C6E"/>
    <w:rsid w:val="00EF2F08"/>
    <w:rsid w:val="00EF6B56"/>
    <w:rsid w:val="00F058D9"/>
    <w:rsid w:val="00F553BE"/>
    <w:rsid w:val="00F65AB7"/>
    <w:rsid w:val="00FB2DF3"/>
    <w:rsid w:val="00FE2FA5"/>
    <w:rsid w:val="00FE39A4"/>
    <w:rsid w:val="00FE4D66"/>
    <w:rsid w:val="00FF2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32FA"/>
    <w:pPr>
      <w:spacing w:after="200" w:line="276" w:lineRule="auto"/>
    </w:pPr>
    <w:rPr>
      <w:rFonts w:ascii="Times New Roman" w:eastAsia="Times New Roman" w:hAnsi="Times New Roman"/>
      <w:sz w:val="24"/>
      <w:szCs w:val="24"/>
      <w:lang w:eastAsia="de-DE"/>
    </w:rPr>
  </w:style>
  <w:style w:type="paragraph" w:styleId="Nadpis1">
    <w:name w:val="heading 1"/>
    <w:aliases w:val="Čo robí (časť)"/>
    <w:basedOn w:val="Normlny"/>
    <w:next w:val="Normlny"/>
    <w:link w:val="Nadpis1Char"/>
    <w:qFormat/>
    <w:locked/>
    <w:rsid w:val="00282E34"/>
    <w:pPr>
      <w:keepNext/>
      <w:numPr>
        <w:numId w:val="13"/>
      </w:numPr>
      <w:spacing w:before="360" w:after="0" w:line="240" w:lineRule="auto"/>
      <w:outlineLvl w:val="0"/>
    </w:pPr>
    <w:rPr>
      <w:kern w:val="32"/>
      <w:sz w:val="28"/>
      <w:szCs w:val="28"/>
      <w:lang w:val="x-none" w:eastAsia="x-none"/>
    </w:rPr>
  </w:style>
  <w:style w:type="paragraph" w:styleId="Nadpis2">
    <w:name w:val="heading 2"/>
    <w:aliases w:val="Úloha"/>
    <w:basedOn w:val="Normlny"/>
    <w:link w:val="Nadpis2Char"/>
    <w:qFormat/>
    <w:locked/>
    <w:rsid w:val="00282E34"/>
    <w:pPr>
      <w:numPr>
        <w:ilvl w:val="1"/>
        <w:numId w:val="13"/>
      </w:numPr>
      <w:spacing w:before="120" w:after="0" w:line="240" w:lineRule="auto"/>
      <w:jc w:val="both"/>
      <w:outlineLvl w:val="1"/>
    </w:pPr>
    <w:rPr>
      <w:lang w:val="x-none" w:eastAsia="x-none"/>
    </w:rPr>
  </w:style>
  <w:style w:type="paragraph" w:styleId="Nadpis3">
    <w:name w:val="heading 3"/>
    <w:aliases w:val="Podúloha,Obyeajný"/>
    <w:basedOn w:val="Normlny"/>
    <w:link w:val="Nadpis3Char"/>
    <w:qFormat/>
    <w:locked/>
    <w:rsid w:val="00282E34"/>
    <w:pPr>
      <w:keepNext/>
      <w:numPr>
        <w:ilvl w:val="2"/>
        <w:numId w:val="13"/>
      </w:numPr>
      <w:spacing w:before="120" w:after="0" w:line="240" w:lineRule="auto"/>
      <w:outlineLvl w:val="2"/>
    </w:pPr>
    <w:rPr>
      <w:lang w:val="x-none" w:eastAsia="x-none"/>
    </w:rPr>
  </w:style>
  <w:style w:type="paragraph" w:styleId="Nadpis4">
    <w:name w:val="heading 4"/>
    <w:aliases w:val="Termín,H4"/>
    <w:basedOn w:val="Normlny"/>
    <w:next w:val="Nadpis2"/>
    <w:link w:val="Nadpis4Char"/>
    <w:qFormat/>
    <w:locked/>
    <w:rsid w:val="00282E34"/>
    <w:pPr>
      <w:numPr>
        <w:ilvl w:val="3"/>
        <w:numId w:val="13"/>
      </w:numPr>
      <w:spacing w:before="120" w:after="120" w:line="240" w:lineRule="auto"/>
      <w:outlineLvl w:val="3"/>
    </w:pPr>
    <w:rPr>
      <w:i/>
      <w:iCs/>
      <w:lang w:val="x-none" w:eastAsia="x-none"/>
    </w:rPr>
  </w:style>
  <w:style w:type="paragraph" w:styleId="Nadpis5">
    <w:name w:val="heading 5"/>
    <w:basedOn w:val="Normlny"/>
    <w:next w:val="Normlny"/>
    <w:link w:val="Nadpis5Char"/>
    <w:qFormat/>
    <w:locked/>
    <w:rsid w:val="00282E34"/>
    <w:pPr>
      <w:numPr>
        <w:ilvl w:val="4"/>
        <w:numId w:val="13"/>
      </w:numPr>
      <w:spacing w:before="240" w:after="60" w:line="240" w:lineRule="auto"/>
      <w:outlineLvl w:val="4"/>
    </w:pPr>
    <w:rPr>
      <w:b/>
      <w:bCs/>
      <w:i/>
      <w:iCs/>
      <w:sz w:val="26"/>
      <w:szCs w:val="26"/>
      <w:lang w:val="x-none" w:eastAsia="x-none"/>
    </w:rPr>
  </w:style>
  <w:style w:type="paragraph" w:styleId="Nadpis6">
    <w:name w:val="heading 6"/>
    <w:basedOn w:val="Normlny"/>
    <w:next w:val="Normlny"/>
    <w:link w:val="Nadpis6Char"/>
    <w:qFormat/>
    <w:locked/>
    <w:rsid w:val="00282E34"/>
    <w:pPr>
      <w:numPr>
        <w:ilvl w:val="5"/>
        <w:numId w:val="13"/>
      </w:numPr>
      <w:spacing w:before="240" w:after="60" w:line="240" w:lineRule="auto"/>
      <w:outlineLvl w:val="5"/>
    </w:pPr>
    <w:rPr>
      <w:b/>
      <w:bCs/>
      <w:sz w:val="22"/>
      <w:szCs w:val="22"/>
      <w:lang w:val="x-none" w:eastAsia="x-none"/>
    </w:rPr>
  </w:style>
  <w:style w:type="paragraph" w:styleId="Nadpis7">
    <w:name w:val="heading 7"/>
    <w:basedOn w:val="Normlny"/>
    <w:next w:val="Normlny"/>
    <w:link w:val="Nadpis7Char"/>
    <w:qFormat/>
    <w:locked/>
    <w:rsid w:val="00282E34"/>
    <w:pPr>
      <w:numPr>
        <w:ilvl w:val="6"/>
        <w:numId w:val="13"/>
      </w:numPr>
      <w:spacing w:before="240" w:after="60" w:line="240" w:lineRule="auto"/>
      <w:outlineLvl w:val="6"/>
    </w:pPr>
    <w:rPr>
      <w:lang w:val="x-none" w:eastAsia="x-none"/>
    </w:rPr>
  </w:style>
  <w:style w:type="paragraph" w:styleId="Nadpis8">
    <w:name w:val="heading 8"/>
    <w:basedOn w:val="Normlny"/>
    <w:next w:val="Normlny"/>
    <w:link w:val="Nadpis8Char"/>
    <w:qFormat/>
    <w:locked/>
    <w:rsid w:val="00282E34"/>
    <w:pPr>
      <w:numPr>
        <w:ilvl w:val="7"/>
        <w:numId w:val="13"/>
      </w:numPr>
      <w:spacing w:before="240" w:after="60" w:line="240" w:lineRule="auto"/>
      <w:outlineLvl w:val="7"/>
    </w:pPr>
    <w:rPr>
      <w:i/>
      <w:iCs/>
      <w:lang w:val="x-none" w:eastAsia="x-none"/>
    </w:rPr>
  </w:style>
  <w:style w:type="paragraph" w:styleId="Nadpis9">
    <w:name w:val="heading 9"/>
    <w:basedOn w:val="Normlny"/>
    <w:next w:val="Normlny"/>
    <w:link w:val="Nadpis9Char"/>
    <w:qFormat/>
    <w:locked/>
    <w:rsid w:val="00282E34"/>
    <w:pPr>
      <w:numPr>
        <w:ilvl w:val="8"/>
        <w:numId w:val="13"/>
      </w:numPr>
      <w:spacing w:before="240" w:after="60" w:line="240" w:lineRule="auto"/>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Podtitul"/>
    <w:link w:val="NzovChar"/>
    <w:uiPriority w:val="99"/>
    <w:qFormat/>
    <w:rsid w:val="00A732FA"/>
    <w:pPr>
      <w:suppressAutoHyphens/>
      <w:spacing w:after="0" w:line="240" w:lineRule="auto"/>
      <w:jc w:val="center"/>
    </w:pPr>
    <w:rPr>
      <w:szCs w:val="20"/>
      <w:lang w:eastAsia="ar-SA"/>
    </w:rPr>
  </w:style>
  <w:style w:type="character" w:customStyle="1" w:styleId="NzovChar">
    <w:name w:val="Názov Char"/>
    <w:basedOn w:val="Predvolenpsmoodseku"/>
    <w:link w:val="Nzov"/>
    <w:uiPriority w:val="99"/>
    <w:locked/>
    <w:rsid w:val="00A732FA"/>
    <w:rPr>
      <w:rFonts w:ascii="Times New Roman" w:hAnsi="Times New Roman" w:cs="Times New Roman"/>
      <w:sz w:val="20"/>
      <w:szCs w:val="20"/>
      <w:lang w:eastAsia="ar-SA" w:bidi="ar-SA"/>
    </w:rPr>
  </w:style>
  <w:style w:type="character" w:styleId="Hypertextovprepojenie">
    <w:name w:val="Hyperlink"/>
    <w:basedOn w:val="Predvolenpsmoodseku"/>
    <w:uiPriority w:val="99"/>
    <w:rsid w:val="00A732FA"/>
    <w:rPr>
      <w:rFonts w:cs="Times New Roman"/>
      <w:color w:val="0000FF"/>
      <w:u w:val="single"/>
    </w:rPr>
  </w:style>
  <w:style w:type="character" w:styleId="Odkaznakomentr">
    <w:name w:val="annotation reference"/>
    <w:basedOn w:val="Predvolenpsmoodseku"/>
    <w:uiPriority w:val="99"/>
    <w:semiHidden/>
    <w:rsid w:val="00A732FA"/>
    <w:rPr>
      <w:rFonts w:cs="Times New Roman"/>
      <w:sz w:val="16"/>
    </w:rPr>
  </w:style>
  <w:style w:type="paragraph" w:styleId="Textkomentra">
    <w:name w:val="annotation text"/>
    <w:basedOn w:val="Normlny"/>
    <w:link w:val="TextkomentraChar"/>
    <w:uiPriority w:val="99"/>
    <w:semiHidden/>
    <w:rsid w:val="00A732FA"/>
    <w:rPr>
      <w:sz w:val="20"/>
      <w:szCs w:val="20"/>
    </w:rPr>
  </w:style>
  <w:style w:type="character" w:customStyle="1" w:styleId="TextkomentraChar">
    <w:name w:val="Text komentára Char"/>
    <w:basedOn w:val="Predvolenpsmoodseku"/>
    <w:link w:val="Textkomentra"/>
    <w:uiPriority w:val="99"/>
    <w:semiHidden/>
    <w:locked/>
    <w:rsid w:val="00A732FA"/>
    <w:rPr>
      <w:rFonts w:ascii="Times New Roman" w:hAnsi="Times New Roman" w:cs="Times New Roman"/>
      <w:sz w:val="20"/>
      <w:szCs w:val="20"/>
      <w:lang w:eastAsia="de-DE"/>
    </w:rPr>
  </w:style>
  <w:style w:type="paragraph" w:styleId="Pta">
    <w:name w:val="footer"/>
    <w:basedOn w:val="Normlny"/>
    <w:link w:val="PtaChar"/>
    <w:uiPriority w:val="99"/>
    <w:rsid w:val="00A732FA"/>
    <w:pPr>
      <w:tabs>
        <w:tab w:val="center" w:pos="4536"/>
        <w:tab w:val="right" w:pos="9072"/>
      </w:tabs>
    </w:pPr>
  </w:style>
  <w:style w:type="character" w:customStyle="1" w:styleId="PtaChar">
    <w:name w:val="Päta Char"/>
    <w:basedOn w:val="Predvolenpsmoodseku"/>
    <w:link w:val="Pta"/>
    <w:uiPriority w:val="99"/>
    <w:locked/>
    <w:rsid w:val="00A732FA"/>
    <w:rPr>
      <w:rFonts w:ascii="Times New Roman" w:hAnsi="Times New Roman" w:cs="Times New Roman"/>
      <w:sz w:val="24"/>
      <w:szCs w:val="24"/>
      <w:lang w:eastAsia="de-DE"/>
    </w:rPr>
  </w:style>
  <w:style w:type="character" w:styleId="slostrany">
    <w:name w:val="page number"/>
    <w:basedOn w:val="Predvolenpsmoodseku"/>
    <w:uiPriority w:val="99"/>
    <w:rsid w:val="00A732FA"/>
    <w:rPr>
      <w:rFonts w:cs="Times New Roman"/>
    </w:rPr>
  </w:style>
  <w:style w:type="paragraph" w:customStyle="1" w:styleId="Default">
    <w:name w:val="Default"/>
    <w:uiPriority w:val="99"/>
    <w:rsid w:val="00A732FA"/>
    <w:pPr>
      <w:autoSpaceDE w:val="0"/>
      <w:autoSpaceDN w:val="0"/>
      <w:adjustRightInd w:val="0"/>
    </w:pPr>
    <w:rPr>
      <w:rFonts w:ascii="Times New Roman" w:eastAsia="Times New Roman" w:hAnsi="Times New Roman"/>
      <w:color w:val="000000"/>
      <w:sz w:val="24"/>
      <w:szCs w:val="24"/>
    </w:rPr>
  </w:style>
  <w:style w:type="paragraph" w:styleId="Podtitul">
    <w:name w:val="Subtitle"/>
    <w:basedOn w:val="Normlny"/>
    <w:next w:val="Normlny"/>
    <w:link w:val="PodtitulChar"/>
    <w:uiPriority w:val="99"/>
    <w:qFormat/>
    <w:rsid w:val="00A732FA"/>
    <w:pPr>
      <w:numPr>
        <w:ilvl w:val="1"/>
      </w:numPr>
    </w:pPr>
    <w:rPr>
      <w:rFonts w:ascii="Cambria" w:hAnsi="Cambria"/>
      <w:i/>
      <w:iCs/>
      <w:color w:val="4F81BD"/>
      <w:spacing w:val="15"/>
    </w:rPr>
  </w:style>
  <w:style w:type="character" w:customStyle="1" w:styleId="PodtitulChar">
    <w:name w:val="Podtitul Char"/>
    <w:basedOn w:val="Predvolenpsmoodseku"/>
    <w:link w:val="Podtitul"/>
    <w:uiPriority w:val="99"/>
    <w:locked/>
    <w:rsid w:val="00A732FA"/>
    <w:rPr>
      <w:rFonts w:ascii="Cambria" w:hAnsi="Cambria" w:cs="Times New Roman"/>
      <w:i/>
      <w:iCs/>
      <w:color w:val="4F81BD"/>
      <w:spacing w:val="15"/>
      <w:sz w:val="24"/>
      <w:szCs w:val="24"/>
      <w:lang w:eastAsia="de-DE"/>
    </w:rPr>
  </w:style>
  <w:style w:type="paragraph" w:styleId="Textbubliny">
    <w:name w:val="Balloon Text"/>
    <w:basedOn w:val="Normlny"/>
    <w:link w:val="TextbublinyChar"/>
    <w:uiPriority w:val="99"/>
    <w:semiHidden/>
    <w:rsid w:val="00A732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732FA"/>
    <w:rPr>
      <w:rFonts w:ascii="Tahoma" w:hAnsi="Tahoma" w:cs="Tahoma"/>
      <w:sz w:val="16"/>
      <w:szCs w:val="16"/>
      <w:lang w:eastAsia="de-DE"/>
    </w:rPr>
  </w:style>
  <w:style w:type="paragraph" w:styleId="Odsekzoznamu">
    <w:name w:val="List Paragraph"/>
    <w:basedOn w:val="Normlny"/>
    <w:uiPriority w:val="99"/>
    <w:qFormat/>
    <w:rsid w:val="00EF2F08"/>
    <w:pPr>
      <w:ind w:left="720"/>
      <w:contextualSpacing/>
    </w:pPr>
  </w:style>
  <w:style w:type="paragraph" w:styleId="Hlavika">
    <w:name w:val="header"/>
    <w:basedOn w:val="Normlny"/>
    <w:link w:val="HlavikaChar"/>
    <w:uiPriority w:val="99"/>
    <w:rsid w:val="002F638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F638B"/>
    <w:rPr>
      <w:rFonts w:ascii="Times New Roman" w:hAnsi="Times New Roman" w:cs="Times New Roman"/>
      <w:sz w:val="24"/>
      <w:szCs w:val="24"/>
      <w:lang w:eastAsia="de-DE"/>
    </w:rPr>
  </w:style>
  <w:style w:type="paragraph" w:styleId="Predmetkomentra">
    <w:name w:val="annotation subject"/>
    <w:basedOn w:val="Textkomentra"/>
    <w:next w:val="Textkomentra"/>
    <w:link w:val="PredmetkomentraChar"/>
    <w:uiPriority w:val="99"/>
    <w:semiHidden/>
    <w:rsid w:val="005C374A"/>
    <w:pPr>
      <w:spacing w:line="240" w:lineRule="auto"/>
    </w:pPr>
    <w:rPr>
      <w:b/>
      <w:bCs/>
    </w:rPr>
  </w:style>
  <w:style w:type="character" w:customStyle="1" w:styleId="PredmetkomentraChar">
    <w:name w:val="Predmet komentára Char"/>
    <w:basedOn w:val="TextkomentraChar"/>
    <w:link w:val="Predmetkomentra"/>
    <w:uiPriority w:val="99"/>
    <w:semiHidden/>
    <w:locked/>
    <w:rsid w:val="005C374A"/>
    <w:rPr>
      <w:rFonts w:ascii="Times New Roman" w:hAnsi="Times New Roman" w:cs="Times New Roman"/>
      <w:b/>
      <w:bCs/>
      <w:sz w:val="20"/>
      <w:szCs w:val="20"/>
      <w:lang w:eastAsia="de-DE"/>
    </w:rPr>
  </w:style>
  <w:style w:type="character" w:customStyle="1" w:styleId="Nadpis1Char">
    <w:name w:val="Nadpis 1 Char"/>
    <w:aliases w:val="Čo robí (časť) Char"/>
    <w:basedOn w:val="Predvolenpsmoodseku"/>
    <w:link w:val="Nadpis1"/>
    <w:rsid w:val="00282E34"/>
    <w:rPr>
      <w:rFonts w:ascii="Times New Roman" w:eastAsia="Times New Roman" w:hAnsi="Times New Roman"/>
      <w:kern w:val="32"/>
      <w:sz w:val="28"/>
      <w:szCs w:val="28"/>
      <w:lang w:val="x-none" w:eastAsia="x-none"/>
    </w:rPr>
  </w:style>
  <w:style w:type="character" w:customStyle="1" w:styleId="Nadpis2Char">
    <w:name w:val="Nadpis 2 Char"/>
    <w:aliases w:val="Úloha Char"/>
    <w:basedOn w:val="Predvolenpsmoodseku"/>
    <w:link w:val="Nadpis2"/>
    <w:rsid w:val="00282E34"/>
    <w:rPr>
      <w:rFonts w:ascii="Times New Roman" w:eastAsia="Times New Roman" w:hAnsi="Times New Roman"/>
      <w:sz w:val="24"/>
      <w:szCs w:val="24"/>
      <w:lang w:val="x-none" w:eastAsia="x-none"/>
    </w:rPr>
  </w:style>
  <w:style w:type="character" w:customStyle="1" w:styleId="Nadpis3Char">
    <w:name w:val="Nadpis 3 Char"/>
    <w:aliases w:val="Podúloha Char,Obyeajný Char"/>
    <w:basedOn w:val="Predvolenpsmoodseku"/>
    <w:link w:val="Nadpis3"/>
    <w:rsid w:val="00282E34"/>
    <w:rPr>
      <w:rFonts w:ascii="Times New Roman" w:eastAsia="Times New Roman" w:hAnsi="Times New Roman"/>
      <w:sz w:val="24"/>
      <w:szCs w:val="24"/>
      <w:lang w:val="x-none" w:eastAsia="x-none"/>
    </w:rPr>
  </w:style>
  <w:style w:type="character" w:customStyle="1" w:styleId="Nadpis4Char">
    <w:name w:val="Nadpis 4 Char"/>
    <w:aliases w:val="Termín Char,H4 Char"/>
    <w:basedOn w:val="Predvolenpsmoodseku"/>
    <w:link w:val="Nadpis4"/>
    <w:rsid w:val="00282E34"/>
    <w:rPr>
      <w:rFonts w:ascii="Times New Roman" w:eastAsia="Times New Roman" w:hAnsi="Times New Roman"/>
      <w:i/>
      <w:iCs/>
      <w:sz w:val="24"/>
      <w:szCs w:val="24"/>
      <w:lang w:val="x-none" w:eastAsia="x-none"/>
    </w:rPr>
  </w:style>
  <w:style w:type="character" w:customStyle="1" w:styleId="Nadpis5Char">
    <w:name w:val="Nadpis 5 Char"/>
    <w:basedOn w:val="Predvolenpsmoodseku"/>
    <w:link w:val="Nadpis5"/>
    <w:rsid w:val="00282E34"/>
    <w:rPr>
      <w:rFonts w:ascii="Times New Roman" w:eastAsia="Times New Roman" w:hAnsi="Times New Roman"/>
      <w:b/>
      <w:bCs/>
      <w:i/>
      <w:iCs/>
      <w:sz w:val="26"/>
      <w:szCs w:val="26"/>
      <w:lang w:val="x-none" w:eastAsia="x-none"/>
    </w:rPr>
  </w:style>
  <w:style w:type="character" w:customStyle="1" w:styleId="Nadpis6Char">
    <w:name w:val="Nadpis 6 Char"/>
    <w:basedOn w:val="Predvolenpsmoodseku"/>
    <w:link w:val="Nadpis6"/>
    <w:rsid w:val="00282E34"/>
    <w:rPr>
      <w:rFonts w:ascii="Times New Roman" w:eastAsia="Times New Roman" w:hAnsi="Times New Roman"/>
      <w:b/>
      <w:bCs/>
      <w:lang w:val="x-none" w:eastAsia="x-none"/>
    </w:rPr>
  </w:style>
  <w:style w:type="character" w:customStyle="1" w:styleId="Nadpis7Char">
    <w:name w:val="Nadpis 7 Char"/>
    <w:basedOn w:val="Predvolenpsmoodseku"/>
    <w:link w:val="Nadpis7"/>
    <w:rsid w:val="00282E34"/>
    <w:rPr>
      <w:rFonts w:ascii="Times New Roman" w:eastAsia="Times New Roman" w:hAnsi="Times New Roman"/>
      <w:sz w:val="24"/>
      <w:szCs w:val="24"/>
      <w:lang w:val="x-none" w:eastAsia="x-none"/>
    </w:rPr>
  </w:style>
  <w:style w:type="character" w:customStyle="1" w:styleId="Nadpis8Char">
    <w:name w:val="Nadpis 8 Char"/>
    <w:basedOn w:val="Predvolenpsmoodseku"/>
    <w:link w:val="Nadpis8"/>
    <w:rsid w:val="00282E34"/>
    <w:rPr>
      <w:rFonts w:ascii="Times New Roman" w:eastAsia="Times New Roman" w:hAnsi="Times New Roman"/>
      <w:i/>
      <w:iCs/>
      <w:sz w:val="24"/>
      <w:szCs w:val="24"/>
      <w:lang w:val="x-none" w:eastAsia="x-none"/>
    </w:rPr>
  </w:style>
  <w:style w:type="character" w:customStyle="1" w:styleId="Nadpis9Char">
    <w:name w:val="Nadpis 9 Char"/>
    <w:basedOn w:val="Predvolenpsmoodseku"/>
    <w:link w:val="Nadpis9"/>
    <w:rsid w:val="00282E34"/>
    <w:rPr>
      <w:rFonts w:ascii="Arial" w:eastAsia="Times New Roman" w:hAnsi="Arial"/>
      <w:lang w:val="x-none" w:eastAsia="x-none"/>
    </w:rPr>
  </w:style>
  <w:style w:type="paragraph" w:customStyle="1" w:styleId="Normlny2">
    <w:name w:val="Normálny2"/>
    <w:uiPriority w:val="99"/>
    <w:rsid w:val="00282E34"/>
    <w:pPr>
      <w:widowControl w:val="0"/>
      <w:autoSpaceDE w:val="0"/>
      <w:autoSpaceDN w:val="0"/>
      <w:jc w:val="both"/>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32FA"/>
    <w:pPr>
      <w:spacing w:after="200" w:line="276" w:lineRule="auto"/>
    </w:pPr>
    <w:rPr>
      <w:rFonts w:ascii="Times New Roman" w:eastAsia="Times New Roman" w:hAnsi="Times New Roman"/>
      <w:sz w:val="24"/>
      <w:szCs w:val="24"/>
      <w:lang w:eastAsia="de-DE"/>
    </w:rPr>
  </w:style>
  <w:style w:type="paragraph" w:styleId="Nadpis1">
    <w:name w:val="heading 1"/>
    <w:aliases w:val="Čo robí (časť)"/>
    <w:basedOn w:val="Normlny"/>
    <w:next w:val="Normlny"/>
    <w:link w:val="Nadpis1Char"/>
    <w:qFormat/>
    <w:locked/>
    <w:rsid w:val="00282E34"/>
    <w:pPr>
      <w:keepNext/>
      <w:numPr>
        <w:numId w:val="13"/>
      </w:numPr>
      <w:spacing w:before="360" w:after="0" w:line="240" w:lineRule="auto"/>
      <w:outlineLvl w:val="0"/>
    </w:pPr>
    <w:rPr>
      <w:kern w:val="32"/>
      <w:sz w:val="28"/>
      <w:szCs w:val="28"/>
      <w:lang w:val="x-none" w:eastAsia="x-none"/>
    </w:rPr>
  </w:style>
  <w:style w:type="paragraph" w:styleId="Nadpis2">
    <w:name w:val="heading 2"/>
    <w:aliases w:val="Úloha"/>
    <w:basedOn w:val="Normlny"/>
    <w:link w:val="Nadpis2Char"/>
    <w:qFormat/>
    <w:locked/>
    <w:rsid w:val="00282E34"/>
    <w:pPr>
      <w:numPr>
        <w:ilvl w:val="1"/>
        <w:numId w:val="13"/>
      </w:numPr>
      <w:spacing w:before="120" w:after="0" w:line="240" w:lineRule="auto"/>
      <w:jc w:val="both"/>
      <w:outlineLvl w:val="1"/>
    </w:pPr>
    <w:rPr>
      <w:lang w:val="x-none" w:eastAsia="x-none"/>
    </w:rPr>
  </w:style>
  <w:style w:type="paragraph" w:styleId="Nadpis3">
    <w:name w:val="heading 3"/>
    <w:aliases w:val="Podúloha,Obyeajný"/>
    <w:basedOn w:val="Normlny"/>
    <w:link w:val="Nadpis3Char"/>
    <w:qFormat/>
    <w:locked/>
    <w:rsid w:val="00282E34"/>
    <w:pPr>
      <w:keepNext/>
      <w:numPr>
        <w:ilvl w:val="2"/>
        <w:numId w:val="13"/>
      </w:numPr>
      <w:spacing w:before="120" w:after="0" w:line="240" w:lineRule="auto"/>
      <w:outlineLvl w:val="2"/>
    </w:pPr>
    <w:rPr>
      <w:lang w:val="x-none" w:eastAsia="x-none"/>
    </w:rPr>
  </w:style>
  <w:style w:type="paragraph" w:styleId="Nadpis4">
    <w:name w:val="heading 4"/>
    <w:aliases w:val="Termín,H4"/>
    <w:basedOn w:val="Normlny"/>
    <w:next w:val="Nadpis2"/>
    <w:link w:val="Nadpis4Char"/>
    <w:qFormat/>
    <w:locked/>
    <w:rsid w:val="00282E34"/>
    <w:pPr>
      <w:numPr>
        <w:ilvl w:val="3"/>
        <w:numId w:val="13"/>
      </w:numPr>
      <w:spacing w:before="120" w:after="120" w:line="240" w:lineRule="auto"/>
      <w:outlineLvl w:val="3"/>
    </w:pPr>
    <w:rPr>
      <w:i/>
      <w:iCs/>
      <w:lang w:val="x-none" w:eastAsia="x-none"/>
    </w:rPr>
  </w:style>
  <w:style w:type="paragraph" w:styleId="Nadpis5">
    <w:name w:val="heading 5"/>
    <w:basedOn w:val="Normlny"/>
    <w:next w:val="Normlny"/>
    <w:link w:val="Nadpis5Char"/>
    <w:qFormat/>
    <w:locked/>
    <w:rsid w:val="00282E34"/>
    <w:pPr>
      <w:numPr>
        <w:ilvl w:val="4"/>
        <w:numId w:val="13"/>
      </w:numPr>
      <w:spacing w:before="240" w:after="60" w:line="240" w:lineRule="auto"/>
      <w:outlineLvl w:val="4"/>
    </w:pPr>
    <w:rPr>
      <w:b/>
      <w:bCs/>
      <w:i/>
      <w:iCs/>
      <w:sz w:val="26"/>
      <w:szCs w:val="26"/>
      <w:lang w:val="x-none" w:eastAsia="x-none"/>
    </w:rPr>
  </w:style>
  <w:style w:type="paragraph" w:styleId="Nadpis6">
    <w:name w:val="heading 6"/>
    <w:basedOn w:val="Normlny"/>
    <w:next w:val="Normlny"/>
    <w:link w:val="Nadpis6Char"/>
    <w:qFormat/>
    <w:locked/>
    <w:rsid w:val="00282E34"/>
    <w:pPr>
      <w:numPr>
        <w:ilvl w:val="5"/>
        <w:numId w:val="13"/>
      </w:numPr>
      <w:spacing w:before="240" w:after="60" w:line="240" w:lineRule="auto"/>
      <w:outlineLvl w:val="5"/>
    </w:pPr>
    <w:rPr>
      <w:b/>
      <w:bCs/>
      <w:sz w:val="22"/>
      <w:szCs w:val="22"/>
      <w:lang w:val="x-none" w:eastAsia="x-none"/>
    </w:rPr>
  </w:style>
  <w:style w:type="paragraph" w:styleId="Nadpis7">
    <w:name w:val="heading 7"/>
    <w:basedOn w:val="Normlny"/>
    <w:next w:val="Normlny"/>
    <w:link w:val="Nadpis7Char"/>
    <w:qFormat/>
    <w:locked/>
    <w:rsid w:val="00282E34"/>
    <w:pPr>
      <w:numPr>
        <w:ilvl w:val="6"/>
        <w:numId w:val="13"/>
      </w:numPr>
      <w:spacing w:before="240" w:after="60" w:line="240" w:lineRule="auto"/>
      <w:outlineLvl w:val="6"/>
    </w:pPr>
    <w:rPr>
      <w:lang w:val="x-none" w:eastAsia="x-none"/>
    </w:rPr>
  </w:style>
  <w:style w:type="paragraph" w:styleId="Nadpis8">
    <w:name w:val="heading 8"/>
    <w:basedOn w:val="Normlny"/>
    <w:next w:val="Normlny"/>
    <w:link w:val="Nadpis8Char"/>
    <w:qFormat/>
    <w:locked/>
    <w:rsid w:val="00282E34"/>
    <w:pPr>
      <w:numPr>
        <w:ilvl w:val="7"/>
        <w:numId w:val="13"/>
      </w:numPr>
      <w:spacing w:before="240" w:after="60" w:line="240" w:lineRule="auto"/>
      <w:outlineLvl w:val="7"/>
    </w:pPr>
    <w:rPr>
      <w:i/>
      <w:iCs/>
      <w:lang w:val="x-none" w:eastAsia="x-none"/>
    </w:rPr>
  </w:style>
  <w:style w:type="paragraph" w:styleId="Nadpis9">
    <w:name w:val="heading 9"/>
    <w:basedOn w:val="Normlny"/>
    <w:next w:val="Normlny"/>
    <w:link w:val="Nadpis9Char"/>
    <w:qFormat/>
    <w:locked/>
    <w:rsid w:val="00282E34"/>
    <w:pPr>
      <w:numPr>
        <w:ilvl w:val="8"/>
        <w:numId w:val="13"/>
      </w:numPr>
      <w:spacing w:before="240" w:after="60" w:line="240" w:lineRule="auto"/>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Podtitul"/>
    <w:link w:val="NzovChar"/>
    <w:uiPriority w:val="99"/>
    <w:qFormat/>
    <w:rsid w:val="00A732FA"/>
    <w:pPr>
      <w:suppressAutoHyphens/>
      <w:spacing w:after="0" w:line="240" w:lineRule="auto"/>
      <w:jc w:val="center"/>
    </w:pPr>
    <w:rPr>
      <w:szCs w:val="20"/>
      <w:lang w:eastAsia="ar-SA"/>
    </w:rPr>
  </w:style>
  <w:style w:type="character" w:customStyle="1" w:styleId="NzovChar">
    <w:name w:val="Názov Char"/>
    <w:basedOn w:val="Predvolenpsmoodseku"/>
    <w:link w:val="Nzov"/>
    <w:uiPriority w:val="99"/>
    <w:locked/>
    <w:rsid w:val="00A732FA"/>
    <w:rPr>
      <w:rFonts w:ascii="Times New Roman" w:hAnsi="Times New Roman" w:cs="Times New Roman"/>
      <w:sz w:val="20"/>
      <w:szCs w:val="20"/>
      <w:lang w:eastAsia="ar-SA" w:bidi="ar-SA"/>
    </w:rPr>
  </w:style>
  <w:style w:type="character" w:styleId="Hypertextovprepojenie">
    <w:name w:val="Hyperlink"/>
    <w:basedOn w:val="Predvolenpsmoodseku"/>
    <w:uiPriority w:val="99"/>
    <w:rsid w:val="00A732FA"/>
    <w:rPr>
      <w:rFonts w:cs="Times New Roman"/>
      <w:color w:val="0000FF"/>
      <w:u w:val="single"/>
    </w:rPr>
  </w:style>
  <w:style w:type="character" w:styleId="Odkaznakomentr">
    <w:name w:val="annotation reference"/>
    <w:basedOn w:val="Predvolenpsmoodseku"/>
    <w:uiPriority w:val="99"/>
    <w:semiHidden/>
    <w:rsid w:val="00A732FA"/>
    <w:rPr>
      <w:rFonts w:cs="Times New Roman"/>
      <w:sz w:val="16"/>
    </w:rPr>
  </w:style>
  <w:style w:type="paragraph" w:styleId="Textkomentra">
    <w:name w:val="annotation text"/>
    <w:basedOn w:val="Normlny"/>
    <w:link w:val="TextkomentraChar"/>
    <w:uiPriority w:val="99"/>
    <w:semiHidden/>
    <w:rsid w:val="00A732FA"/>
    <w:rPr>
      <w:sz w:val="20"/>
      <w:szCs w:val="20"/>
    </w:rPr>
  </w:style>
  <w:style w:type="character" w:customStyle="1" w:styleId="TextkomentraChar">
    <w:name w:val="Text komentára Char"/>
    <w:basedOn w:val="Predvolenpsmoodseku"/>
    <w:link w:val="Textkomentra"/>
    <w:uiPriority w:val="99"/>
    <w:semiHidden/>
    <w:locked/>
    <w:rsid w:val="00A732FA"/>
    <w:rPr>
      <w:rFonts w:ascii="Times New Roman" w:hAnsi="Times New Roman" w:cs="Times New Roman"/>
      <w:sz w:val="20"/>
      <w:szCs w:val="20"/>
      <w:lang w:eastAsia="de-DE"/>
    </w:rPr>
  </w:style>
  <w:style w:type="paragraph" w:styleId="Pta">
    <w:name w:val="footer"/>
    <w:basedOn w:val="Normlny"/>
    <w:link w:val="PtaChar"/>
    <w:uiPriority w:val="99"/>
    <w:rsid w:val="00A732FA"/>
    <w:pPr>
      <w:tabs>
        <w:tab w:val="center" w:pos="4536"/>
        <w:tab w:val="right" w:pos="9072"/>
      </w:tabs>
    </w:pPr>
  </w:style>
  <w:style w:type="character" w:customStyle="1" w:styleId="PtaChar">
    <w:name w:val="Päta Char"/>
    <w:basedOn w:val="Predvolenpsmoodseku"/>
    <w:link w:val="Pta"/>
    <w:uiPriority w:val="99"/>
    <w:locked/>
    <w:rsid w:val="00A732FA"/>
    <w:rPr>
      <w:rFonts w:ascii="Times New Roman" w:hAnsi="Times New Roman" w:cs="Times New Roman"/>
      <w:sz w:val="24"/>
      <w:szCs w:val="24"/>
      <w:lang w:eastAsia="de-DE"/>
    </w:rPr>
  </w:style>
  <w:style w:type="character" w:styleId="slostrany">
    <w:name w:val="page number"/>
    <w:basedOn w:val="Predvolenpsmoodseku"/>
    <w:uiPriority w:val="99"/>
    <w:rsid w:val="00A732FA"/>
    <w:rPr>
      <w:rFonts w:cs="Times New Roman"/>
    </w:rPr>
  </w:style>
  <w:style w:type="paragraph" w:customStyle="1" w:styleId="Default">
    <w:name w:val="Default"/>
    <w:uiPriority w:val="99"/>
    <w:rsid w:val="00A732FA"/>
    <w:pPr>
      <w:autoSpaceDE w:val="0"/>
      <w:autoSpaceDN w:val="0"/>
      <w:adjustRightInd w:val="0"/>
    </w:pPr>
    <w:rPr>
      <w:rFonts w:ascii="Times New Roman" w:eastAsia="Times New Roman" w:hAnsi="Times New Roman"/>
      <w:color w:val="000000"/>
      <w:sz w:val="24"/>
      <w:szCs w:val="24"/>
    </w:rPr>
  </w:style>
  <w:style w:type="paragraph" w:styleId="Podtitul">
    <w:name w:val="Subtitle"/>
    <w:basedOn w:val="Normlny"/>
    <w:next w:val="Normlny"/>
    <w:link w:val="PodtitulChar"/>
    <w:uiPriority w:val="99"/>
    <w:qFormat/>
    <w:rsid w:val="00A732FA"/>
    <w:pPr>
      <w:numPr>
        <w:ilvl w:val="1"/>
      </w:numPr>
    </w:pPr>
    <w:rPr>
      <w:rFonts w:ascii="Cambria" w:hAnsi="Cambria"/>
      <w:i/>
      <w:iCs/>
      <w:color w:val="4F81BD"/>
      <w:spacing w:val="15"/>
    </w:rPr>
  </w:style>
  <w:style w:type="character" w:customStyle="1" w:styleId="PodtitulChar">
    <w:name w:val="Podtitul Char"/>
    <w:basedOn w:val="Predvolenpsmoodseku"/>
    <w:link w:val="Podtitul"/>
    <w:uiPriority w:val="99"/>
    <w:locked/>
    <w:rsid w:val="00A732FA"/>
    <w:rPr>
      <w:rFonts w:ascii="Cambria" w:hAnsi="Cambria" w:cs="Times New Roman"/>
      <w:i/>
      <w:iCs/>
      <w:color w:val="4F81BD"/>
      <w:spacing w:val="15"/>
      <w:sz w:val="24"/>
      <w:szCs w:val="24"/>
      <w:lang w:eastAsia="de-DE"/>
    </w:rPr>
  </w:style>
  <w:style w:type="paragraph" w:styleId="Textbubliny">
    <w:name w:val="Balloon Text"/>
    <w:basedOn w:val="Normlny"/>
    <w:link w:val="TextbublinyChar"/>
    <w:uiPriority w:val="99"/>
    <w:semiHidden/>
    <w:rsid w:val="00A732F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732FA"/>
    <w:rPr>
      <w:rFonts w:ascii="Tahoma" w:hAnsi="Tahoma" w:cs="Tahoma"/>
      <w:sz w:val="16"/>
      <w:szCs w:val="16"/>
      <w:lang w:eastAsia="de-DE"/>
    </w:rPr>
  </w:style>
  <w:style w:type="paragraph" w:styleId="Odsekzoznamu">
    <w:name w:val="List Paragraph"/>
    <w:basedOn w:val="Normlny"/>
    <w:uiPriority w:val="99"/>
    <w:qFormat/>
    <w:rsid w:val="00EF2F08"/>
    <w:pPr>
      <w:ind w:left="720"/>
      <w:contextualSpacing/>
    </w:pPr>
  </w:style>
  <w:style w:type="paragraph" w:styleId="Hlavika">
    <w:name w:val="header"/>
    <w:basedOn w:val="Normlny"/>
    <w:link w:val="HlavikaChar"/>
    <w:uiPriority w:val="99"/>
    <w:rsid w:val="002F638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2F638B"/>
    <w:rPr>
      <w:rFonts w:ascii="Times New Roman" w:hAnsi="Times New Roman" w:cs="Times New Roman"/>
      <w:sz w:val="24"/>
      <w:szCs w:val="24"/>
      <w:lang w:eastAsia="de-DE"/>
    </w:rPr>
  </w:style>
  <w:style w:type="paragraph" w:styleId="Predmetkomentra">
    <w:name w:val="annotation subject"/>
    <w:basedOn w:val="Textkomentra"/>
    <w:next w:val="Textkomentra"/>
    <w:link w:val="PredmetkomentraChar"/>
    <w:uiPriority w:val="99"/>
    <w:semiHidden/>
    <w:rsid w:val="005C374A"/>
    <w:pPr>
      <w:spacing w:line="240" w:lineRule="auto"/>
    </w:pPr>
    <w:rPr>
      <w:b/>
      <w:bCs/>
    </w:rPr>
  </w:style>
  <w:style w:type="character" w:customStyle="1" w:styleId="PredmetkomentraChar">
    <w:name w:val="Predmet komentára Char"/>
    <w:basedOn w:val="TextkomentraChar"/>
    <w:link w:val="Predmetkomentra"/>
    <w:uiPriority w:val="99"/>
    <w:semiHidden/>
    <w:locked/>
    <w:rsid w:val="005C374A"/>
    <w:rPr>
      <w:rFonts w:ascii="Times New Roman" w:hAnsi="Times New Roman" w:cs="Times New Roman"/>
      <w:b/>
      <w:bCs/>
      <w:sz w:val="20"/>
      <w:szCs w:val="20"/>
      <w:lang w:eastAsia="de-DE"/>
    </w:rPr>
  </w:style>
  <w:style w:type="character" w:customStyle="1" w:styleId="Nadpis1Char">
    <w:name w:val="Nadpis 1 Char"/>
    <w:aliases w:val="Čo robí (časť) Char"/>
    <w:basedOn w:val="Predvolenpsmoodseku"/>
    <w:link w:val="Nadpis1"/>
    <w:rsid w:val="00282E34"/>
    <w:rPr>
      <w:rFonts w:ascii="Times New Roman" w:eastAsia="Times New Roman" w:hAnsi="Times New Roman"/>
      <w:kern w:val="32"/>
      <w:sz w:val="28"/>
      <w:szCs w:val="28"/>
      <w:lang w:val="x-none" w:eastAsia="x-none"/>
    </w:rPr>
  </w:style>
  <w:style w:type="character" w:customStyle="1" w:styleId="Nadpis2Char">
    <w:name w:val="Nadpis 2 Char"/>
    <w:aliases w:val="Úloha Char"/>
    <w:basedOn w:val="Predvolenpsmoodseku"/>
    <w:link w:val="Nadpis2"/>
    <w:rsid w:val="00282E34"/>
    <w:rPr>
      <w:rFonts w:ascii="Times New Roman" w:eastAsia="Times New Roman" w:hAnsi="Times New Roman"/>
      <w:sz w:val="24"/>
      <w:szCs w:val="24"/>
      <w:lang w:val="x-none" w:eastAsia="x-none"/>
    </w:rPr>
  </w:style>
  <w:style w:type="character" w:customStyle="1" w:styleId="Nadpis3Char">
    <w:name w:val="Nadpis 3 Char"/>
    <w:aliases w:val="Podúloha Char,Obyeajný Char"/>
    <w:basedOn w:val="Predvolenpsmoodseku"/>
    <w:link w:val="Nadpis3"/>
    <w:rsid w:val="00282E34"/>
    <w:rPr>
      <w:rFonts w:ascii="Times New Roman" w:eastAsia="Times New Roman" w:hAnsi="Times New Roman"/>
      <w:sz w:val="24"/>
      <w:szCs w:val="24"/>
      <w:lang w:val="x-none" w:eastAsia="x-none"/>
    </w:rPr>
  </w:style>
  <w:style w:type="character" w:customStyle="1" w:styleId="Nadpis4Char">
    <w:name w:val="Nadpis 4 Char"/>
    <w:aliases w:val="Termín Char,H4 Char"/>
    <w:basedOn w:val="Predvolenpsmoodseku"/>
    <w:link w:val="Nadpis4"/>
    <w:rsid w:val="00282E34"/>
    <w:rPr>
      <w:rFonts w:ascii="Times New Roman" w:eastAsia="Times New Roman" w:hAnsi="Times New Roman"/>
      <w:i/>
      <w:iCs/>
      <w:sz w:val="24"/>
      <w:szCs w:val="24"/>
      <w:lang w:val="x-none" w:eastAsia="x-none"/>
    </w:rPr>
  </w:style>
  <w:style w:type="character" w:customStyle="1" w:styleId="Nadpis5Char">
    <w:name w:val="Nadpis 5 Char"/>
    <w:basedOn w:val="Predvolenpsmoodseku"/>
    <w:link w:val="Nadpis5"/>
    <w:rsid w:val="00282E34"/>
    <w:rPr>
      <w:rFonts w:ascii="Times New Roman" w:eastAsia="Times New Roman" w:hAnsi="Times New Roman"/>
      <w:b/>
      <w:bCs/>
      <w:i/>
      <w:iCs/>
      <w:sz w:val="26"/>
      <w:szCs w:val="26"/>
      <w:lang w:val="x-none" w:eastAsia="x-none"/>
    </w:rPr>
  </w:style>
  <w:style w:type="character" w:customStyle="1" w:styleId="Nadpis6Char">
    <w:name w:val="Nadpis 6 Char"/>
    <w:basedOn w:val="Predvolenpsmoodseku"/>
    <w:link w:val="Nadpis6"/>
    <w:rsid w:val="00282E34"/>
    <w:rPr>
      <w:rFonts w:ascii="Times New Roman" w:eastAsia="Times New Roman" w:hAnsi="Times New Roman"/>
      <w:b/>
      <w:bCs/>
      <w:lang w:val="x-none" w:eastAsia="x-none"/>
    </w:rPr>
  </w:style>
  <w:style w:type="character" w:customStyle="1" w:styleId="Nadpis7Char">
    <w:name w:val="Nadpis 7 Char"/>
    <w:basedOn w:val="Predvolenpsmoodseku"/>
    <w:link w:val="Nadpis7"/>
    <w:rsid w:val="00282E34"/>
    <w:rPr>
      <w:rFonts w:ascii="Times New Roman" w:eastAsia="Times New Roman" w:hAnsi="Times New Roman"/>
      <w:sz w:val="24"/>
      <w:szCs w:val="24"/>
      <w:lang w:val="x-none" w:eastAsia="x-none"/>
    </w:rPr>
  </w:style>
  <w:style w:type="character" w:customStyle="1" w:styleId="Nadpis8Char">
    <w:name w:val="Nadpis 8 Char"/>
    <w:basedOn w:val="Predvolenpsmoodseku"/>
    <w:link w:val="Nadpis8"/>
    <w:rsid w:val="00282E34"/>
    <w:rPr>
      <w:rFonts w:ascii="Times New Roman" w:eastAsia="Times New Roman" w:hAnsi="Times New Roman"/>
      <w:i/>
      <w:iCs/>
      <w:sz w:val="24"/>
      <w:szCs w:val="24"/>
      <w:lang w:val="x-none" w:eastAsia="x-none"/>
    </w:rPr>
  </w:style>
  <w:style w:type="character" w:customStyle="1" w:styleId="Nadpis9Char">
    <w:name w:val="Nadpis 9 Char"/>
    <w:basedOn w:val="Predvolenpsmoodseku"/>
    <w:link w:val="Nadpis9"/>
    <w:rsid w:val="00282E34"/>
    <w:rPr>
      <w:rFonts w:ascii="Arial" w:eastAsia="Times New Roman" w:hAnsi="Arial"/>
      <w:lang w:val="x-none" w:eastAsia="x-none"/>
    </w:rPr>
  </w:style>
  <w:style w:type="paragraph" w:customStyle="1" w:styleId="Normlny2">
    <w:name w:val="Normálny2"/>
    <w:uiPriority w:val="99"/>
    <w:rsid w:val="00282E34"/>
    <w:pPr>
      <w:widowControl w:val="0"/>
      <w:autoSpaceDE w:val="0"/>
      <w:autoSpaceDN w:val="0"/>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rovsky@mhsr.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uslica@mhsr.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1890</Words>
  <Characters>12351</Characters>
  <Application>Microsoft Office Word</Application>
  <DocSecurity>4</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Kopal Branislav</dc:creator>
  <cp:lastModifiedBy>Kurucova Katarina</cp:lastModifiedBy>
  <cp:revision>2</cp:revision>
  <cp:lastPrinted>2013-05-24T08:55:00Z</cp:lastPrinted>
  <dcterms:created xsi:type="dcterms:W3CDTF">2015-10-15T07:35:00Z</dcterms:created>
  <dcterms:modified xsi:type="dcterms:W3CDTF">2015-10-15T07:35:00Z</dcterms:modified>
</cp:coreProperties>
</file>