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780" w:rsidRDefault="00761780" w:rsidP="00096C3F">
      <w:pPr>
        <w:spacing w:line="240" w:lineRule="auto"/>
        <w:jc w:val="center"/>
        <w:rPr>
          <w:b/>
        </w:rPr>
      </w:pPr>
      <w:r>
        <w:rPr>
          <w:b/>
          <w:bCs/>
        </w:rPr>
        <w:t xml:space="preserve">Návrh zmien </w:t>
      </w:r>
      <w:r>
        <w:rPr>
          <w:b/>
        </w:rPr>
        <w:t>Systému tvorby stanovísk k návrhom aktov EÚ a stavu koordinácie realizácie politík EÚ</w:t>
      </w:r>
    </w:p>
    <w:p w:rsidR="00761780" w:rsidRDefault="00761780" w:rsidP="00761780">
      <w:pPr>
        <w:jc w:val="center"/>
        <w:rPr>
          <w:b/>
          <w:bCs/>
        </w:rPr>
      </w:pPr>
      <w:r>
        <w:rPr>
          <w:b/>
          <w:bCs/>
        </w:rPr>
        <w:t xml:space="preserve">     </w:t>
      </w:r>
    </w:p>
    <w:p w:rsidR="00761780" w:rsidRDefault="00761780" w:rsidP="00761780">
      <w:pPr>
        <w:spacing w:line="240" w:lineRule="auto"/>
        <w:ind w:firstLine="708"/>
        <w:rPr>
          <w:bCs/>
        </w:rPr>
      </w:pPr>
      <w:r>
        <w:rPr>
          <w:bCs/>
        </w:rPr>
        <w:t>Systém tvorby stanovísk k návrhom aktov EÚ a stavu koordinácie realizácie politík EÚ schválený uznesením vlády č. 627 z 23. októbra 2013 sa mení takto:</w:t>
      </w:r>
    </w:p>
    <w:p w:rsidR="00761780" w:rsidRDefault="00761780" w:rsidP="00761780">
      <w:pPr>
        <w:spacing w:line="240" w:lineRule="auto"/>
        <w:rPr>
          <w:rFonts w:eastAsia="Calibri"/>
          <w:color w:val="000000"/>
          <w:lang w:eastAsia="en-US"/>
        </w:rPr>
      </w:pPr>
    </w:p>
    <w:p w:rsidR="00761780" w:rsidRDefault="00761780" w:rsidP="00761780">
      <w:pPr>
        <w:spacing w:line="240" w:lineRule="auto"/>
        <w:rPr>
          <w:rFonts w:eastAsia="Calibri"/>
          <w:color w:val="000000"/>
          <w:lang w:eastAsia="en-US"/>
        </w:rPr>
      </w:pPr>
    </w:p>
    <w:p w:rsidR="00761780" w:rsidRDefault="00761780" w:rsidP="00761780">
      <w:pPr>
        <w:spacing w:after="200" w:line="240" w:lineRule="auto"/>
        <w:jc w:val="center"/>
        <w:rPr>
          <w:rFonts w:eastAsia="Calibri"/>
          <w:b/>
          <w:bCs/>
          <w:lang w:eastAsia="en-US"/>
        </w:rPr>
      </w:pPr>
      <w:r>
        <w:rPr>
          <w:rFonts w:eastAsia="Calibri"/>
          <w:b/>
          <w:bCs/>
          <w:lang w:eastAsia="en-US"/>
        </w:rPr>
        <w:t>Čl. I</w:t>
      </w:r>
    </w:p>
    <w:p w:rsidR="00761780" w:rsidRDefault="00761780" w:rsidP="00761780">
      <w:pPr>
        <w:pStyle w:val="Odsekzoznamu"/>
        <w:numPr>
          <w:ilvl w:val="0"/>
          <w:numId w:val="22"/>
        </w:numPr>
        <w:spacing w:line="240" w:lineRule="auto"/>
        <w:textAlignment w:val="auto"/>
      </w:pPr>
      <w:r>
        <w:t>Čl</w:t>
      </w:r>
      <w:r w:rsidR="00BF3FF2">
        <w:t>.</w:t>
      </w:r>
      <w:r>
        <w:t xml:space="preserve"> 12 ods. 4 znie:</w:t>
      </w:r>
    </w:p>
    <w:p w:rsidR="00761780" w:rsidRDefault="00761780" w:rsidP="00761780">
      <w:pPr>
        <w:pStyle w:val="Odsekzoznamu"/>
        <w:spacing w:line="240" w:lineRule="auto"/>
      </w:pPr>
      <w:r>
        <w:t>„(4) Riadne predbežné stanovisko obsahuje informáciu o obsahu a cieľoch návrhu, o druhu a časovom priebehu rozhodovacieho procesu v EÚ, o súlade s princípom subsidiarity a proporcionality a analytické posúdenie vybraných vplyvov na SR v súlade s Jednotnou metodikou na posudzovanie vybraných vplyvov.“.</w:t>
      </w:r>
    </w:p>
    <w:p w:rsidR="00761780" w:rsidRDefault="00761780" w:rsidP="00761780"/>
    <w:p w:rsidR="00761780" w:rsidRDefault="00761780" w:rsidP="00761780">
      <w:r>
        <w:t>2. Príloha č. 1 znie:</w:t>
      </w:r>
    </w:p>
    <w:p w:rsidR="00761780" w:rsidRDefault="00761780" w:rsidP="00761780">
      <w:pPr>
        <w:widowControl/>
        <w:adjustRightInd/>
        <w:spacing w:line="240" w:lineRule="auto"/>
        <w:jc w:val="left"/>
        <w:rPr>
          <w:b/>
          <w:u w:val="single"/>
        </w:rPr>
      </w:pPr>
    </w:p>
    <w:p w:rsidR="00761780" w:rsidRDefault="00761780" w:rsidP="00761780">
      <w:pPr>
        <w:widowControl/>
        <w:adjustRightInd/>
        <w:spacing w:line="240" w:lineRule="auto"/>
        <w:jc w:val="left"/>
        <w:rPr>
          <w:b/>
          <w:u w:val="single"/>
        </w:rPr>
      </w:pPr>
    </w:p>
    <w:p w:rsidR="00761780" w:rsidRDefault="00761780" w:rsidP="00761780">
      <w:pPr>
        <w:widowControl/>
        <w:adjustRightInd/>
        <w:spacing w:line="240" w:lineRule="auto"/>
        <w:jc w:val="left"/>
        <w:rPr>
          <w:b/>
          <w:u w:val="single"/>
        </w:rPr>
      </w:pPr>
      <w:r>
        <w:rPr>
          <w:b/>
          <w:u w:val="single"/>
        </w:rPr>
        <w:t>„Príloha č. 1</w:t>
      </w:r>
    </w:p>
    <w:p w:rsidR="00761780" w:rsidRDefault="00761780" w:rsidP="00761780">
      <w:pPr>
        <w:widowControl/>
        <w:adjustRightInd/>
        <w:spacing w:line="240" w:lineRule="auto"/>
        <w:jc w:val="left"/>
        <w:rPr>
          <w:b/>
        </w:rPr>
      </w:pPr>
    </w:p>
    <w:p w:rsidR="00761780" w:rsidRDefault="00761780" w:rsidP="00761780">
      <w:pPr>
        <w:keepNext/>
        <w:widowControl/>
        <w:pBdr>
          <w:top w:val="single" w:sz="4" w:space="1" w:color="auto"/>
          <w:left w:val="single" w:sz="4" w:space="4" w:color="auto"/>
          <w:bottom w:val="single" w:sz="4" w:space="1" w:color="auto"/>
          <w:right w:val="single" w:sz="4" w:space="4" w:color="auto"/>
        </w:pBdr>
        <w:shd w:val="clear" w:color="auto" w:fill="D9D9D9"/>
        <w:overflowPunct w:val="0"/>
        <w:autoSpaceDE w:val="0"/>
        <w:autoSpaceDN w:val="0"/>
        <w:spacing w:line="240" w:lineRule="auto"/>
        <w:jc w:val="center"/>
        <w:outlineLvl w:val="2"/>
        <w:rPr>
          <w:b/>
          <w:bCs/>
          <w:sz w:val="26"/>
          <w:szCs w:val="26"/>
          <w:lang w:eastAsia="cs-CZ"/>
        </w:rPr>
      </w:pPr>
      <w:r>
        <w:rPr>
          <w:b/>
          <w:bCs/>
          <w:sz w:val="26"/>
          <w:szCs w:val="26"/>
          <w:lang w:eastAsia="cs-CZ"/>
        </w:rPr>
        <w:t xml:space="preserve">Vzor </w:t>
      </w:r>
    </w:p>
    <w:p w:rsidR="00761780" w:rsidRDefault="00761780" w:rsidP="00761780">
      <w:pPr>
        <w:keepNext/>
        <w:widowControl/>
        <w:pBdr>
          <w:top w:val="single" w:sz="4" w:space="1" w:color="auto"/>
          <w:left w:val="single" w:sz="4" w:space="4" w:color="auto"/>
          <w:bottom w:val="single" w:sz="4" w:space="1" w:color="auto"/>
          <w:right w:val="single" w:sz="4" w:space="4" w:color="auto"/>
        </w:pBdr>
        <w:shd w:val="clear" w:color="auto" w:fill="D9D9D9"/>
        <w:overflowPunct w:val="0"/>
        <w:autoSpaceDE w:val="0"/>
        <w:autoSpaceDN w:val="0"/>
        <w:spacing w:line="240" w:lineRule="auto"/>
        <w:jc w:val="center"/>
        <w:outlineLvl w:val="2"/>
        <w:rPr>
          <w:b/>
          <w:bCs/>
          <w:sz w:val="26"/>
          <w:szCs w:val="26"/>
          <w:lang w:eastAsia="cs-CZ"/>
        </w:rPr>
      </w:pPr>
      <w:r>
        <w:rPr>
          <w:b/>
          <w:bCs/>
          <w:sz w:val="26"/>
          <w:szCs w:val="26"/>
          <w:lang w:eastAsia="cs-CZ"/>
        </w:rPr>
        <w:t>Riadne predbežné stanovisko</w:t>
      </w:r>
    </w:p>
    <w:p w:rsidR="00761780" w:rsidRDefault="00761780" w:rsidP="00761780">
      <w:pPr>
        <w:widowControl/>
        <w:adjustRightInd/>
        <w:spacing w:line="240" w:lineRule="auto"/>
        <w:jc w:val="left"/>
        <w:rPr>
          <w:rFonts w:ascii="Arial" w:hAnsi="Arial" w:cs="Arial"/>
        </w:rPr>
      </w:pPr>
    </w:p>
    <w:p w:rsidR="00761780" w:rsidRDefault="00761780" w:rsidP="00761780">
      <w:pPr>
        <w:widowControl/>
        <w:numPr>
          <w:ilvl w:val="0"/>
          <w:numId w:val="23"/>
        </w:numPr>
        <w:overflowPunct w:val="0"/>
        <w:autoSpaceDE w:val="0"/>
        <w:autoSpaceDN w:val="0"/>
        <w:adjustRightInd/>
        <w:spacing w:line="240" w:lineRule="auto"/>
        <w:ind w:left="284" w:hanging="284"/>
        <w:jc w:val="left"/>
        <w:textAlignment w:val="auto"/>
        <w:rPr>
          <w:b/>
          <w:u w:val="single"/>
        </w:rPr>
      </w:pPr>
      <w:r>
        <w:rPr>
          <w:b/>
          <w:u w:val="single"/>
        </w:rPr>
        <w:t>VŠEOBECNÁ ČASŤ</w:t>
      </w:r>
    </w:p>
    <w:p w:rsidR="00761780" w:rsidRDefault="00761780" w:rsidP="00761780">
      <w:pPr>
        <w:widowControl/>
        <w:adjustRightInd/>
        <w:spacing w:line="240" w:lineRule="auto"/>
        <w:jc w:val="left"/>
      </w:pPr>
    </w:p>
    <w:p w:rsidR="00761780" w:rsidRDefault="00761780" w:rsidP="00761780">
      <w:pPr>
        <w:widowControl/>
        <w:numPr>
          <w:ilvl w:val="0"/>
          <w:numId w:val="24"/>
        </w:numPr>
        <w:tabs>
          <w:tab w:val="num" w:pos="284"/>
        </w:tabs>
        <w:overflowPunct w:val="0"/>
        <w:autoSpaceDE w:val="0"/>
        <w:autoSpaceDN w:val="0"/>
        <w:adjustRightInd/>
        <w:spacing w:line="240" w:lineRule="auto"/>
        <w:ind w:hanging="720"/>
        <w:jc w:val="left"/>
        <w:textAlignment w:val="auto"/>
        <w:rPr>
          <w:b/>
          <w:bCs/>
        </w:rPr>
      </w:pPr>
      <w:r>
        <w:rPr>
          <w:b/>
          <w:bCs/>
        </w:rPr>
        <w:t>Názov</w:t>
      </w:r>
    </w:p>
    <w:p w:rsidR="00761780" w:rsidRDefault="00761780" w:rsidP="00761780">
      <w:pPr>
        <w:widowControl/>
        <w:tabs>
          <w:tab w:val="num" w:pos="284"/>
        </w:tabs>
        <w:adjustRightInd/>
        <w:spacing w:line="240" w:lineRule="auto"/>
        <w:jc w:val="left"/>
      </w:pPr>
    </w:p>
    <w:p w:rsidR="00761780" w:rsidRDefault="00761780" w:rsidP="00761780">
      <w:pPr>
        <w:widowControl/>
        <w:numPr>
          <w:ilvl w:val="0"/>
          <w:numId w:val="24"/>
        </w:numPr>
        <w:tabs>
          <w:tab w:val="num" w:pos="284"/>
        </w:tabs>
        <w:overflowPunct w:val="0"/>
        <w:autoSpaceDE w:val="0"/>
        <w:autoSpaceDN w:val="0"/>
        <w:adjustRightInd/>
        <w:spacing w:line="240" w:lineRule="auto"/>
        <w:ind w:left="284" w:hanging="284"/>
        <w:jc w:val="left"/>
        <w:textAlignment w:val="auto"/>
        <w:rPr>
          <w:b/>
          <w:bCs/>
        </w:rPr>
      </w:pPr>
      <w:r>
        <w:rPr>
          <w:b/>
          <w:bCs/>
        </w:rPr>
        <w:t>Číslo a dátum zverejnenia dokumentu EK, (prípadne číslo a dátum zverejnenia dokumentu Rady EÚ)</w:t>
      </w:r>
    </w:p>
    <w:p w:rsidR="00761780" w:rsidRDefault="00761780" w:rsidP="00761780">
      <w:pPr>
        <w:widowControl/>
        <w:tabs>
          <w:tab w:val="num" w:pos="284"/>
        </w:tabs>
        <w:adjustRightInd/>
        <w:spacing w:line="240" w:lineRule="auto"/>
        <w:jc w:val="left"/>
      </w:pPr>
    </w:p>
    <w:p w:rsidR="00761780" w:rsidRDefault="00761780" w:rsidP="00761780">
      <w:pPr>
        <w:widowControl/>
        <w:numPr>
          <w:ilvl w:val="0"/>
          <w:numId w:val="24"/>
        </w:numPr>
        <w:tabs>
          <w:tab w:val="num" w:pos="284"/>
        </w:tabs>
        <w:overflowPunct w:val="0"/>
        <w:autoSpaceDE w:val="0"/>
        <w:autoSpaceDN w:val="0"/>
        <w:adjustRightInd/>
        <w:spacing w:line="240" w:lineRule="auto"/>
        <w:ind w:hanging="720"/>
        <w:jc w:val="left"/>
        <w:textAlignment w:val="auto"/>
        <w:rPr>
          <w:b/>
          <w:bCs/>
        </w:rPr>
      </w:pPr>
      <w:r>
        <w:rPr>
          <w:b/>
          <w:bCs/>
        </w:rPr>
        <w:t>Označenie výboru alebo pracovnej skupiny</w:t>
      </w:r>
    </w:p>
    <w:p w:rsidR="00761780" w:rsidRDefault="00761780" w:rsidP="00761780">
      <w:pPr>
        <w:widowControl/>
        <w:overflowPunct w:val="0"/>
        <w:autoSpaceDE w:val="0"/>
        <w:autoSpaceDN w:val="0"/>
        <w:spacing w:line="240" w:lineRule="auto"/>
        <w:rPr>
          <w:b/>
          <w:bCs/>
        </w:rPr>
      </w:pPr>
    </w:p>
    <w:p w:rsidR="00761780" w:rsidRDefault="00761780" w:rsidP="00761780">
      <w:pPr>
        <w:widowControl/>
        <w:numPr>
          <w:ilvl w:val="0"/>
          <w:numId w:val="24"/>
        </w:numPr>
        <w:tabs>
          <w:tab w:val="num" w:pos="284"/>
        </w:tabs>
        <w:overflowPunct w:val="0"/>
        <w:autoSpaceDE w:val="0"/>
        <w:autoSpaceDN w:val="0"/>
        <w:adjustRightInd/>
        <w:spacing w:line="240" w:lineRule="auto"/>
        <w:ind w:hanging="720"/>
        <w:jc w:val="left"/>
        <w:textAlignment w:val="auto"/>
        <w:rPr>
          <w:b/>
          <w:bCs/>
        </w:rPr>
      </w:pPr>
      <w:r>
        <w:rPr>
          <w:b/>
          <w:bCs/>
        </w:rPr>
        <w:t>Gestorský ÚOŠS</w:t>
      </w:r>
    </w:p>
    <w:p w:rsidR="00761780" w:rsidRDefault="00761780" w:rsidP="00761780">
      <w:pPr>
        <w:widowControl/>
        <w:tabs>
          <w:tab w:val="num" w:pos="284"/>
        </w:tabs>
        <w:adjustRightInd/>
        <w:spacing w:line="240" w:lineRule="auto"/>
        <w:jc w:val="left"/>
      </w:pPr>
    </w:p>
    <w:p w:rsidR="00761780" w:rsidRDefault="00761780" w:rsidP="00761780">
      <w:pPr>
        <w:widowControl/>
        <w:numPr>
          <w:ilvl w:val="0"/>
          <w:numId w:val="24"/>
        </w:numPr>
        <w:tabs>
          <w:tab w:val="num" w:pos="284"/>
        </w:tabs>
        <w:overflowPunct w:val="0"/>
        <w:autoSpaceDE w:val="0"/>
        <w:autoSpaceDN w:val="0"/>
        <w:adjustRightInd/>
        <w:spacing w:line="240" w:lineRule="auto"/>
        <w:ind w:hanging="720"/>
        <w:jc w:val="left"/>
        <w:textAlignment w:val="auto"/>
        <w:rPr>
          <w:b/>
          <w:bCs/>
        </w:rPr>
      </w:pPr>
      <w:r>
        <w:rPr>
          <w:b/>
          <w:bCs/>
        </w:rPr>
        <w:t>Charakteristika prijímaného aktu</w:t>
      </w:r>
    </w:p>
    <w:p w:rsidR="00761780" w:rsidRDefault="00761780" w:rsidP="00761780">
      <w:pPr>
        <w:widowControl/>
        <w:adjustRightInd/>
        <w:spacing w:line="240" w:lineRule="auto"/>
        <w:ind w:left="720"/>
        <w:jc w:val="left"/>
        <w:rPr>
          <w:b/>
          <w:bCs/>
        </w:rPr>
      </w:pPr>
    </w:p>
    <w:p w:rsidR="00761780" w:rsidRDefault="00761780" w:rsidP="00761780">
      <w:pPr>
        <w:widowControl/>
        <w:numPr>
          <w:ilvl w:val="0"/>
          <w:numId w:val="24"/>
        </w:numPr>
        <w:tabs>
          <w:tab w:val="num" w:pos="284"/>
        </w:tabs>
        <w:overflowPunct w:val="0"/>
        <w:autoSpaceDE w:val="0"/>
        <w:autoSpaceDN w:val="0"/>
        <w:adjustRightInd/>
        <w:spacing w:line="240" w:lineRule="auto"/>
        <w:ind w:hanging="720"/>
        <w:jc w:val="left"/>
        <w:textAlignment w:val="auto"/>
        <w:rPr>
          <w:b/>
          <w:bCs/>
        </w:rPr>
      </w:pPr>
      <w:r>
        <w:rPr>
          <w:b/>
          <w:bCs/>
        </w:rPr>
        <w:t>Metóda schvaľovania</w:t>
      </w:r>
    </w:p>
    <w:p w:rsidR="00761780" w:rsidRDefault="00761780" w:rsidP="00761780">
      <w:pPr>
        <w:widowControl/>
        <w:tabs>
          <w:tab w:val="num" w:pos="284"/>
        </w:tabs>
        <w:adjustRightInd/>
        <w:spacing w:line="240" w:lineRule="auto"/>
        <w:jc w:val="left"/>
      </w:pPr>
      <w:r>
        <w:tab/>
      </w:r>
      <w:r>
        <w:tab/>
      </w:r>
    </w:p>
    <w:p w:rsidR="00761780" w:rsidRDefault="00761780" w:rsidP="00761780">
      <w:pPr>
        <w:widowControl/>
        <w:numPr>
          <w:ilvl w:val="0"/>
          <w:numId w:val="24"/>
        </w:numPr>
        <w:tabs>
          <w:tab w:val="num" w:pos="284"/>
        </w:tabs>
        <w:overflowPunct w:val="0"/>
        <w:autoSpaceDE w:val="0"/>
        <w:autoSpaceDN w:val="0"/>
        <w:adjustRightInd/>
        <w:spacing w:line="240" w:lineRule="auto"/>
        <w:ind w:hanging="720"/>
        <w:jc w:val="left"/>
        <w:textAlignment w:val="auto"/>
        <w:rPr>
          <w:b/>
          <w:bCs/>
        </w:rPr>
      </w:pPr>
      <w:r>
        <w:rPr>
          <w:b/>
          <w:bCs/>
        </w:rPr>
        <w:t>Zhrnutie obsahu a cieľa návrhu</w:t>
      </w:r>
    </w:p>
    <w:p w:rsidR="00761780" w:rsidRDefault="00761780" w:rsidP="00761780">
      <w:pPr>
        <w:widowControl/>
        <w:tabs>
          <w:tab w:val="num" w:pos="284"/>
        </w:tabs>
        <w:adjustRightInd/>
        <w:spacing w:line="240" w:lineRule="auto"/>
        <w:jc w:val="left"/>
      </w:pPr>
    </w:p>
    <w:p w:rsidR="00761780" w:rsidRDefault="00761780" w:rsidP="00761780">
      <w:pPr>
        <w:widowControl/>
        <w:numPr>
          <w:ilvl w:val="0"/>
          <w:numId w:val="24"/>
        </w:numPr>
        <w:tabs>
          <w:tab w:val="num" w:pos="284"/>
        </w:tabs>
        <w:overflowPunct w:val="0"/>
        <w:autoSpaceDE w:val="0"/>
        <w:autoSpaceDN w:val="0"/>
        <w:adjustRightInd/>
        <w:spacing w:line="240" w:lineRule="auto"/>
        <w:ind w:hanging="720"/>
        <w:jc w:val="left"/>
        <w:textAlignment w:val="auto"/>
        <w:rPr>
          <w:b/>
          <w:bCs/>
        </w:rPr>
      </w:pPr>
      <w:r>
        <w:rPr>
          <w:b/>
          <w:bCs/>
        </w:rPr>
        <w:t>Navrhovaný dátum implementácie</w:t>
      </w:r>
    </w:p>
    <w:p w:rsidR="00761780" w:rsidRDefault="00761780" w:rsidP="00761780">
      <w:pPr>
        <w:widowControl/>
        <w:tabs>
          <w:tab w:val="num" w:pos="284"/>
        </w:tabs>
        <w:adjustRightInd/>
        <w:spacing w:line="240" w:lineRule="auto"/>
        <w:ind w:hanging="720"/>
        <w:jc w:val="left"/>
      </w:pPr>
    </w:p>
    <w:p w:rsidR="00761780" w:rsidRDefault="00761780" w:rsidP="00761780">
      <w:pPr>
        <w:widowControl/>
        <w:numPr>
          <w:ilvl w:val="0"/>
          <w:numId w:val="24"/>
        </w:numPr>
        <w:tabs>
          <w:tab w:val="num" w:pos="284"/>
        </w:tabs>
        <w:overflowPunct w:val="0"/>
        <w:autoSpaceDE w:val="0"/>
        <w:autoSpaceDN w:val="0"/>
        <w:adjustRightInd/>
        <w:spacing w:line="240" w:lineRule="auto"/>
        <w:ind w:left="284" w:hanging="284"/>
        <w:jc w:val="left"/>
        <w:textAlignment w:val="auto"/>
        <w:rPr>
          <w:b/>
          <w:bCs/>
        </w:rPr>
      </w:pPr>
      <w:r>
        <w:rPr>
          <w:b/>
          <w:bCs/>
        </w:rPr>
        <w:t>Metóda transpozície do práva SR a predpokladaný dátum transpozície</w:t>
      </w:r>
    </w:p>
    <w:p w:rsidR="00761780" w:rsidRDefault="00761780" w:rsidP="00761780">
      <w:pPr>
        <w:widowControl/>
        <w:tabs>
          <w:tab w:val="num" w:pos="284"/>
        </w:tabs>
        <w:adjustRightInd/>
        <w:spacing w:line="240" w:lineRule="auto"/>
        <w:ind w:hanging="720"/>
        <w:jc w:val="left"/>
      </w:pPr>
    </w:p>
    <w:p w:rsidR="00761780" w:rsidRDefault="00761780" w:rsidP="00761780">
      <w:pPr>
        <w:widowControl/>
        <w:adjustRightInd/>
        <w:spacing w:line="240" w:lineRule="auto"/>
        <w:jc w:val="left"/>
      </w:pPr>
    </w:p>
    <w:p w:rsidR="00761780" w:rsidRDefault="00761780" w:rsidP="00761780">
      <w:pPr>
        <w:widowControl/>
        <w:numPr>
          <w:ilvl w:val="0"/>
          <w:numId w:val="23"/>
        </w:numPr>
        <w:overflowPunct w:val="0"/>
        <w:autoSpaceDE w:val="0"/>
        <w:autoSpaceDN w:val="0"/>
        <w:adjustRightInd/>
        <w:spacing w:line="240" w:lineRule="auto"/>
        <w:ind w:left="426" w:hanging="426"/>
        <w:jc w:val="left"/>
        <w:textAlignment w:val="auto"/>
        <w:rPr>
          <w:b/>
          <w:u w:val="single"/>
        </w:rPr>
      </w:pPr>
      <w:r>
        <w:rPr>
          <w:b/>
          <w:u w:val="single"/>
        </w:rPr>
        <w:t>STANOVISKO SLOVENSKEJ REPUBLIKY</w:t>
      </w:r>
    </w:p>
    <w:p w:rsidR="00761780" w:rsidRDefault="00761780" w:rsidP="00761780">
      <w:pPr>
        <w:widowControl/>
        <w:adjustRightInd/>
        <w:spacing w:line="240" w:lineRule="auto"/>
        <w:jc w:val="left"/>
        <w:rPr>
          <w:b/>
        </w:rPr>
      </w:pPr>
    </w:p>
    <w:p w:rsidR="00761780" w:rsidRDefault="00761780" w:rsidP="00761780">
      <w:pPr>
        <w:widowControl/>
        <w:numPr>
          <w:ilvl w:val="0"/>
          <w:numId w:val="24"/>
        </w:numPr>
        <w:overflowPunct w:val="0"/>
        <w:autoSpaceDE w:val="0"/>
        <w:autoSpaceDN w:val="0"/>
        <w:adjustRightInd/>
        <w:spacing w:line="240" w:lineRule="auto"/>
        <w:ind w:hanging="720"/>
        <w:jc w:val="left"/>
        <w:textAlignment w:val="auto"/>
        <w:rPr>
          <w:b/>
        </w:rPr>
      </w:pPr>
      <w:r>
        <w:rPr>
          <w:b/>
        </w:rPr>
        <w:t>Vecná analýza návrhu</w:t>
      </w:r>
    </w:p>
    <w:p w:rsidR="00761780" w:rsidRDefault="00761780" w:rsidP="00761780">
      <w:pPr>
        <w:widowControl/>
        <w:adjustRightInd/>
        <w:spacing w:line="240" w:lineRule="auto"/>
        <w:ind w:left="720"/>
        <w:jc w:val="left"/>
        <w:rPr>
          <w:b/>
        </w:rPr>
      </w:pPr>
    </w:p>
    <w:p w:rsidR="003A653D" w:rsidRDefault="003A653D" w:rsidP="00761780">
      <w:pPr>
        <w:widowControl/>
        <w:adjustRightInd/>
        <w:spacing w:line="240" w:lineRule="auto"/>
        <w:ind w:left="720"/>
        <w:jc w:val="left"/>
        <w:rPr>
          <w:b/>
        </w:rPr>
      </w:pPr>
    </w:p>
    <w:p w:rsidR="00761780" w:rsidRDefault="00761780" w:rsidP="00761780">
      <w:pPr>
        <w:widowControl/>
        <w:numPr>
          <w:ilvl w:val="0"/>
          <w:numId w:val="24"/>
        </w:numPr>
        <w:overflowPunct w:val="0"/>
        <w:autoSpaceDE w:val="0"/>
        <w:autoSpaceDN w:val="0"/>
        <w:adjustRightInd/>
        <w:spacing w:line="240" w:lineRule="auto"/>
        <w:ind w:hanging="720"/>
        <w:jc w:val="left"/>
        <w:textAlignment w:val="auto"/>
        <w:rPr>
          <w:b/>
        </w:rPr>
      </w:pPr>
      <w:r>
        <w:rPr>
          <w:b/>
        </w:rPr>
        <w:lastRenderedPageBreak/>
        <w:t>Právna analýza návrhu</w:t>
      </w:r>
    </w:p>
    <w:p w:rsidR="00761780" w:rsidRDefault="00761780" w:rsidP="003A653D">
      <w:pPr>
        <w:widowControl/>
        <w:adjustRightInd/>
        <w:spacing w:line="240" w:lineRule="auto"/>
        <w:ind w:left="720"/>
        <w:jc w:val="left"/>
        <w:rPr>
          <w:rFonts w:ascii="Calibri" w:eastAsia="Calibri" w:hAnsi="Calibri"/>
          <w:b/>
          <w:sz w:val="22"/>
          <w:szCs w:val="22"/>
          <w:lang w:eastAsia="en-US"/>
        </w:rPr>
      </w:pPr>
    </w:p>
    <w:p w:rsidR="00761780" w:rsidRDefault="00761780" w:rsidP="003A653D">
      <w:pPr>
        <w:widowControl/>
        <w:numPr>
          <w:ilvl w:val="0"/>
          <w:numId w:val="25"/>
        </w:numPr>
        <w:overflowPunct w:val="0"/>
        <w:autoSpaceDE w:val="0"/>
        <w:autoSpaceDN w:val="0"/>
        <w:adjustRightInd/>
        <w:spacing w:after="200" w:line="240" w:lineRule="auto"/>
        <w:ind w:left="1077" w:hanging="357"/>
        <w:jc w:val="left"/>
        <w:textAlignment w:val="auto"/>
        <w:rPr>
          <w:b/>
        </w:rPr>
      </w:pPr>
      <w:r>
        <w:rPr>
          <w:b/>
        </w:rPr>
        <w:t>Právny základ predkladaného návrhu</w:t>
      </w:r>
    </w:p>
    <w:p w:rsidR="00761780" w:rsidRDefault="00761780" w:rsidP="00761780">
      <w:pPr>
        <w:widowControl/>
        <w:numPr>
          <w:ilvl w:val="0"/>
          <w:numId w:val="25"/>
        </w:numPr>
        <w:overflowPunct w:val="0"/>
        <w:autoSpaceDE w:val="0"/>
        <w:autoSpaceDN w:val="0"/>
        <w:adjustRightInd/>
        <w:spacing w:line="240" w:lineRule="auto"/>
        <w:jc w:val="left"/>
        <w:textAlignment w:val="auto"/>
        <w:rPr>
          <w:b/>
        </w:rPr>
      </w:pPr>
      <w:r>
        <w:rPr>
          <w:b/>
        </w:rPr>
        <w:t>Zásada subsidiarity a zásada proporcionality</w:t>
      </w:r>
    </w:p>
    <w:p w:rsidR="00761780" w:rsidRDefault="00761780" w:rsidP="00761780">
      <w:pPr>
        <w:widowControl/>
        <w:overflowPunct w:val="0"/>
        <w:autoSpaceDE w:val="0"/>
        <w:autoSpaceDN w:val="0"/>
        <w:adjustRightInd/>
        <w:spacing w:line="240" w:lineRule="auto"/>
        <w:ind w:left="1080"/>
        <w:jc w:val="left"/>
        <w:rPr>
          <w:b/>
        </w:rPr>
      </w:pPr>
    </w:p>
    <w:p w:rsidR="00761780" w:rsidRDefault="00761780" w:rsidP="00761780">
      <w:pPr>
        <w:widowControl/>
        <w:numPr>
          <w:ilvl w:val="0"/>
          <w:numId w:val="24"/>
        </w:numPr>
        <w:overflowPunct w:val="0"/>
        <w:autoSpaceDE w:val="0"/>
        <w:autoSpaceDN w:val="0"/>
        <w:adjustRightInd/>
        <w:spacing w:line="240" w:lineRule="auto"/>
        <w:ind w:hanging="720"/>
        <w:jc w:val="left"/>
        <w:textAlignment w:val="auto"/>
        <w:rPr>
          <w:b/>
        </w:rPr>
      </w:pPr>
      <w:r>
        <w:rPr>
          <w:b/>
        </w:rPr>
        <w:t>Analýza jednotlivých ustanovení predkladaného návrhu</w:t>
      </w:r>
    </w:p>
    <w:p w:rsidR="00761780" w:rsidRDefault="00761780" w:rsidP="00761780">
      <w:pPr>
        <w:widowControl/>
        <w:adjustRightInd/>
        <w:spacing w:line="240" w:lineRule="auto"/>
        <w:jc w:val="left"/>
        <w:rPr>
          <w:b/>
        </w:rPr>
      </w:pPr>
    </w:p>
    <w:p w:rsidR="00761780" w:rsidRDefault="00761780" w:rsidP="00761780">
      <w:pPr>
        <w:widowControl/>
        <w:adjustRightInd/>
        <w:spacing w:line="240" w:lineRule="auto"/>
        <w:jc w:val="left"/>
        <w:rPr>
          <w:b/>
        </w:rPr>
      </w:pPr>
      <w:r>
        <w:rPr>
          <w:b/>
        </w:rPr>
        <w:t>13.</w:t>
      </w:r>
      <w:r>
        <w:rPr>
          <w:b/>
        </w:rPr>
        <w:tab/>
        <w:t>Pozícia/vyjednávacia inštrukcia k predkladanému návrhu</w:t>
      </w:r>
    </w:p>
    <w:p w:rsidR="00761780" w:rsidRDefault="00761780" w:rsidP="00761780">
      <w:pPr>
        <w:widowControl/>
        <w:adjustRightInd/>
        <w:spacing w:line="240" w:lineRule="auto"/>
        <w:jc w:val="left"/>
        <w:rPr>
          <w:b/>
          <w:u w:val="single"/>
        </w:rPr>
      </w:pPr>
    </w:p>
    <w:p w:rsidR="00761780" w:rsidRDefault="00761780" w:rsidP="00761780">
      <w:pPr>
        <w:widowControl/>
        <w:adjustRightInd/>
        <w:spacing w:line="240" w:lineRule="auto"/>
        <w:jc w:val="left"/>
        <w:rPr>
          <w:b/>
          <w:u w:val="single"/>
        </w:rPr>
      </w:pPr>
    </w:p>
    <w:p w:rsidR="00761780" w:rsidRDefault="00761780" w:rsidP="00761780">
      <w:pPr>
        <w:widowControl/>
        <w:numPr>
          <w:ilvl w:val="0"/>
          <w:numId w:val="23"/>
        </w:numPr>
        <w:overflowPunct w:val="0"/>
        <w:autoSpaceDE w:val="0"/>
        <w:autoSpaceDN w:val="0"/>
        <w:adjustRightInd/>
        <w:spacing w:line="240" w:lineRule="auto"/>
        <w:ind w:left="284" w:hanging="284"/>
        <w:jc w:val="left"/>
        <w:textAlignment w:val="auto"/>
        <w:rPr>
          <w:b/>
          <w:u w:val="single"/>
        </w:rPr>
      </w:pPr>
      <w:r>
        <w:rPr>
          <w:b/>
          <w:u w:val="single"/>
        </w:rPr>
        <w:t>DÔSLEDKY NA LEGISLATÍVU SR A ADMINISTRATÍVNU PRAX SR</w:t>
      </w:r>
    </w:p>
    <w:p w:rsidR="00761780" w:rsidRDefault="00761780" w:rsidP="00761780">
      <w:pPr>
        <w:widowControl/>
        <w:overflowPunct w:val="0"/>
        <w:autoSpaceDE w:val="0"/>
        <w:autoSpaceDN w:val="0"/>
        <w:adjustRightInd/>
        <w:spacing w:line="240" w:lineRule="auto"/>
        <w:ind w:left="284"/>
        <w:jc w:val="left"/>
        <w:rPr>
          <w:b/>
          <w:u w:val="single"/>
        </w:rPr>
      </w:pPr>
    </w:p>
    <w:p w:rsidR="00761780" w:rsidRDefault="00761780" w:rsidP="00761780">
      <w:pPr>
        <w:widowControl/>
        <w:overflowPunct w:val="0"/>
        <w:autoSpaceDE w:val="0"/>
        <w:autoSpaceDN w:val="0"/>
        <w:adjustRightInd/>
        <w:spacing w:line="240" w:lineRule="auto"/>
        <w:ind w:left="284"/>
        <w:jc w:val="left"/>
        <w:rPr>
          <w:b/>
          <w:u w:val="single"/>
        </w:rPr>
      </w:pPr>
    </w:p>
    <w:p w:rsidR="00761780" w:rsidRDefault="00761780" w:rsidP="00761780">
      <w:pPr>
        <w:widowControl/>
        <w:numPr>
          <w:ilvl w:val="0"/>
          <w:numId w:val="23"/>
        </w:numPr>
        <w:overflowPunct w:val="0"/>
        <w:autoSpaceDE w:val="0"/>
        <w:autoSpaceDN w:val="0"/>
        <w:adjustRightInd/>
        <w:spacing w:line="240" w:lineRule="auto"/>
        <w:ind w:left="284" w:hanging="284"/>
        <w:jc w:val="left"/>
        <w:textAlignment w:val="auto"/>
        <w:rPr>
          <w:b/>
          <w:u w:val="single"/>
        </w:rPr>
      </w:pPr>
      <w:r>
        <w:rPr>
          <w:rStyle w:val="Siln"/>
          <w:color w:val="000000"/>
          <w:u w:val="single"/>
        </w:rPr>
        <w:t>VPLYVY NA VYBRAN</w:t>
      </w:r>
      <w:r w:rsidR="00BF3FF2">
        <w:rPr>
          <w:rStyle w:val="Siln"/>
          <w:color w:val="000000"/>
          <w:u w:val="single"/>
        </w:rPr>
        <w:t>É</w:t>
      </w:r>
      <w:r>
        <w:rPr>
          <w:rStyle w:val="Siln"/>
          <w:color w:val="000000"/>
          <w:u w:val="single"/>
        </w:rPr>
        <w:t xml:space="preserve"> OBLASTI</w:t>
      </w:r>
    </w:p>
    <w:p w:rsidR="00761780" w:rsidRDefault="00761780" w:rsidP="00761780">
      <w:pPr>
        <w:widowControl/>
        <w:adjustRightInd/>
        <w:spacing w:line="240" w:lineRule="auto"/>
        <w:ind w:left="284"/>
        <w:jc w:val="left"/>
        <w:rPr>
          <w:b/>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761780" w:rsidRPr="00761780" w:rsidTr="00761780">
        <w:trPr>
          <w:trHeight w:val="577"/>
        </w:trPr>
        <w:tc>
          <w:tcPr>
            <w:tcW w:w="9180" w:type="dxa"/>
            <w:gridSpan w:val="7"/>
            <w:tcBorders>
              <w:top w:val="single" w:sz="4" w:space="0" w:color="auto"/>
              <w:left w:val="single" w:sz="4" w:space="0" w:color="auto"/>
              <w:bottom w:val="single" w:sz="4" w:space="0" w:color="FFFFFF"/>
              <w:right w:val="single" w:sz="4" w:space="0" w:color="auto"/>
            </w:tcBorders>
            <w:shd w:val="clear" w:color="auto" w:fill="E2E2E2"/>
            <w:vAlign w:val="center"/>
            <w:hideMark/>
          </w:tcPr>
          <w:p w:rsidR="00761780" w:rsidRDefault="00761780">
            <w:pPr>
              <w:widowControl/>
              <w:adjustRightInd/>
              <w:spacing w:line="240" w:lineRule="auto"/>
              <w:jc w:val="left"/>
              <w:rPr>
                <w:rFonts w:eastAsia="Calibri"/>
                <w:b/>
                <w:sz w:val="22"/>
                <w:szCs w:val="22"/>
                <w:lang w:eastAsia="en-US"/>
              </w:rPr>
            </w:pPr>
            <w:r>
              <w:rPr>
                <w:rFonts w:eastAsia="Calibri"/>
                <w:b/>
                <w:sz w:val="22"/>
                <w:szCs w:val="22"/>
                <w:lang w:eastAsia="en-US"/>
              </w:rPr>
              <w:t>Vplyvy navrhovaného materiálu</w:t>
            </w:r>
          </w:p>
        </w:tc>
      </w:tr>
      <w:tr w:rsidR="00957139" w:rsidRPr="00761780" w:rsidTr="00761780">
        <w:tc>
          <w:tcPr>
            <w:tcW w:w="3812" w:type="dxa"/>
            <w:tcBorders>
              <w:top w:val="single" w:sz="4" w:space="0" w:color="auto"/>
              <w:left w:val="single" w:sz="4" w:space="0" w:color="auto"/>
              <w:bottom w:val="nil"/>
              <w:right w:val="single" w:sz="4" w:space="0" w:color="auto"/>
            </w:tcBorders>
            <w:shd w:val="clear" w:color="auto" w:fill="E2E2E2"/>
            <w:hideMark/>
          </w:tcPr>
          <w:p w:rsidR="00957139" w:rsidRDefault="00957139">
            <w:pPr>
              <w:widowControl/>
              <w:adjustRightInd/>
              <w:spacing w:line="240" w:lineRule="auto"/>
              <w:jc w:val="left"/>
              <w:rPr>
                <w:b/>
                <w:sz w:val="20"/>
                <w:szCs w:val="20"/>
                <w:lang w:eastAsia="en-US"/>
              </w:rPr>
            </w:pPr>
            <w:r>
              <w:rPr>
                <w:b/>
                <w:sz w:val="20"/>
                <w:szCs w:val="20"/>
                <w:lang w:eastAsia="en-US"/>
              </w:rPr>
              <w:t>Vplyvy na rozpočet verejnej správy</w:t>
            </w:r>
          </w:p>
        </w:tc>
        <w:sdt>
          <w:sdtPr>
            <w:rPr>
              <w:b/>
              <w:sz w:val="20"/>
            </w:rPr>
            <w:id w:val="1121575439"/>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hideMark/>
              </w:tcPr>
              <w:p w:rsidR="00957139" w:rsidRPr="006B155A" w:rsidRDefault="00572D06" w:rsidP="005C7118">
                <w:pPr>
                  <w:jc w:val="center"/>
                  <w:rPr>
                    <w:b/>
                    <w:sz w:val="20"/>
                  </w:rPr>
                </w:pPr>
                <w:r>
                  <w:rPr>
                    <w:rFonts w:ascii="MS Gothic" w:eastAsia="MS Gothic" w:hAnsi="MS Gothic" w:hint="eastAsia"/>
                    <w:b/>
                    <w:sz w:val="20"/>
                  </w:rPr>
                  <w:t>☐</w:t>
                </w:r>
              </w:p>
            </w:tc>
          </w:sdtContent>
        </w:sdt>
        <w:tc>
          <w:tcPr>
            <w:tcW w:w="1281" w:type="dxa"/>
            <w:tcBorders>
              <w:top w:val="single" w:sz="4" w:space="0" w:color="auto"/>
              <w:left w:val="nil"/>
              <w:bottom w:val="single" w:sz="4" w:space="0" w:color="auto"/>
              <w:right w:val="nil"/>
            </w:tcBorders>
            <w:hideMark/>
          </w:tcPr>
          <w:p w:rsidR="00957139" w:rsidRPr="006B155A" w:rsidRDefault="00957139" w:rsidP="005C7118">
            <w:pPr>
              <w:rPr>
                <w:b/>
                <w:sz w:val="20"/>
              </w:rPr>
            </w:pPr>
            <w:r w:rsidRPr="006B155A">
              <w:rPr>
                <w:b/>
                <w:sz w:val="20"/>
              </w:rPr>
              <w:t>Pozitívne</w:t>
            </w:r>
          </w:p>
        </w:tc>
        <w:sdt>
          <w:sdtPr>
            <w:rPr>
              <w:b/>
              <w:sz w:val="20"/>
            </w:rPr>
            <w:id w:val="142507113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133" w:type="dxa"/>
            <w:tcBorders>
              <w:top w:val="single" w:sz="4" w:space="0" w:color="auto"/>
              <w:left w:val="nil"/>
              <w:bottom w:val="single" w:sz="4" w:space="0" w:color="auto"/>
              <w:right w:val="nil"/>
            </w:tcBorders>
            <w:hideMark/>
          </w:tcPr>
          <w:p w:rsidR="00957139" w:rsidRPr="006B155A" w:rsidRDefault="00957139" w:rsidP="005C7118">
            <w:pPr>
              <w:rPr>
                <w:b/>
                <w:sz w:val="20"/>
              </w:rPr>
            </w:pPr>
            <w:r w:rsidRPr="006B155A">
              <w:rPr>
                <w:b/>
                <w:sz w:val="20"/>
              </w:rPr>
              <w:t>Žiadne</w:t>
            </w:r>
          </w:p>
        </w:tc>
        <w:sdt>
          <w:sdtPr>
            <w:rPr>
              <w:b/>
              <w:sz w:val="20"/>
            </w:rPr>
            <w:id w:val="-85364909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hideMark/>
              </w:tcPr>
              <w:p w:rsidR="00957139" w:rsidRPr="006B155A" w:rsidRDefault="00957139" w:rsidP="005C7118">
                <w:pPr>
                  <w:ind w:left="-107" w:right="-108"/>
                  <w:jc w:val="center"/>
                  <w:rPr>
                    <w:b/>
                    <w:sz w:val="20"/>
                  </w:rPr>
                </w:pPr>
                <w:r w:rsidRPr="006B155A">
                  <w:rPr>
                    <w:rFonts w:ascii="MS Mincho" w:eastAsia="MS Mincho" w:hAnsi="MS Mincho" w:cs="MS Mincho" w:hint="eastAsia"/>
                    <w:b/>
                    <w:sz w:val="20"/>
                  </w:rPr>
                  <w:t>☐</w:t>
                </w:r>
              </w:p>
            </w:tc>
          </w:sdtContent>
        </w:sdt>
        <w:tc>
          <w:tcPr>
            <w:tcW w:w="1297" w:type="dxa"/>
            <w:tcBorders>
              <w:top w:val="single" w:sz="4" w:space="0" w:color="auto"/>
              <w:left w:val="nil"/>
              <w:bottom w:val="single" w:sz="4" w:space="0" w:color="auto"/>
              <w:right w:val="single" w:sz="4" w:space="0" w:color="auto"/>
            </w:tcBorders>
            <w:hideMark/>
          </w:tcPr>
          <w:p w:rsidR="00957139" w:rsidRPr="006B155A" w:rsidRDefault="00957139" w:rsidP="005C7118">
            <w:pPr>
              <w:ind w:left="34"/>
              <w:rPr>
                <w:b/>
                <w:sz w:val="20"/>
              </w:rPr>
            </w:pPr>
            <w:r w:rsidRPr="006B155A">
              <w:rPr>
                <w:b/>
                <w:sz w:val="20"/>
              </w:rPr>
              <w:t>Negatívne</w:t>
            </w:r>
          </w:p>
        </w:tc>
      </w:tr>
      <w:tr w:rsidR="00957139" w:rsidRPr="00761780" w:rsidTr="00761780">
        <w:tc>
          <w:tcPr>
            <w:tcW w:w="3812" w:type="dxa"/>
            <w:tcBorders>
              <w:top w:val="nil"/>
              <w:left w:val="single" w:sz="4" w:space="0" w:color="auto"/>
              <w:bottom w:val="single" w:sz="4" w:space="0" w:color="000000"/>
              <w:right w:val="single" w:sz="4" w:space="0" w:color="auto"/>
            </w:tcBorders>
            <w:shd w:val="clear" w:color="auto" w:fill="E2E2E2"/>
            <w:hideMark/>
          </w:tcPr>
          <w:p w:rsidR="00957139" w:rsidRDefault="00957139">
            <w:pPr>
              <w:widowControl/>
              <w:adjustRightInd/>
              <w:spacing w:line="240" w:lineRule="auto"/>
              <w:jc w:val="left"/>
              <w:rPr>
                <w:sz w:val="20"/>
                <w:szCs w:val="20"/>
                <w:lang w:eastAsia="en-US"/>
              </w:rPr>
            </w:pPr>
            <w:r>
              <w:rPr>
                <w:sz w:val="20"/>
                <w:szCs w:val="20"/>
                <w:lang w:eastAsia="en-US"/>
              </w:rPr>
              <w:t xml:space="preserve">    z toho rozpočtovo zabezpečené vplyvy</w:t>
            </w:r>
          </w:p>
        </w:tc>
        <w:sdt>
          <w:sdtPr>
            <w:rPr>
              <w:sz w:val="20"/>
            </w:rPr>
            <w:id w:val="-5438887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hideMark/>
              </w:tcPr>
              <w:p w:rsidR="00957139" w:rsidRPr="00957139" w:rsidRDefault="007D3D61" w:rsidP="005C7118">
                <w:pPr>
                  <w:jc w:val="center"/>
                  <w:rPr>
                    <w:sz w:val="20"/>
                  </w:rPr>
                </w:pPr>
                <w:r>
                  <w:rPr>
                    <w:rFonts w:ascii="MS Gothic" w:eastAsia="MS Gothic" w:hAnsi="MS Gothic" w:hint="eastAsia"/>
                    <w:sz w:val="20"/>
                  </w:rPr>
                  <w:t>☐</w:t>
                </w:r>
              </w:p>
            </w:tc>
          </w:sdtContent>
        </w:sdt>
        <w:tc>
          <w:tcPr>
            <w:tcW w:w="1281" w:type="dxa"/>
            <w:tcBorders>
              <w:top w:val="single" w:sz="4" w:space="0" w:color="auto"/>
              <w:left w:val="nil"/>
              <w:bottom w:val="single" w:sz="4" w:space="0" w:color="auto"/>
              <w:right w:val="nil"/>
            </w:tcBorders>
            <w:hideMark/>
          </w:tcPr>
          <w:p w:rsidR="00957139" w:rsidRPr="00140533" w:rsidRDefault="00957139" w:rsidP="00CC3B18">
            <w:pPr>
              <w:rPr>
                <w:sz w:val="20"/>
              </w:rPr>
            </w:pPr>
            <w:r w:rsidRPr="00140533">
              <w:rPr>
                <w:sz w:val="20"/>
              </w:rPr>
              <w:t>Áno</w:t>
            </w:r>
          </w:p>
        </w:tc>
        <w:sdt>
          <w:sdtPr>
            <w:rPr>
              <w:sz w:val="20"/>
            </w:rPr>
            <w:id w:val="143000448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957139" w:rsidRPr="00957139" w:rsidRDefault="00957139" w:rsidP="005C7118">
                <w:pPr>
                  <w:jc w:val="center"/>
                  <w:rPr>
                    <w:sz w:val="20"/>
                  </w:rPr>
                </w:pPr>
                <w:r w:rsidRPr="00957139">
                  <w:rPr>
                    <w:rFonts w:ascii="MS Mincho" w:eastAsia="MS Mincho" w:hAnsi="MS Mincho" w:cs="MS Mincho" w:hint="eastAsia"/>
                    <w:sz w:val="20"/>
                  </w:rPr>
                  <w:t>☐</w:t>
                </w:r>
              </w:p>
            </w:tc>
          </w:sdtContent>
        </w:sdt>
        <w:tc>
          <w:tcPr>
            <w:tcW w:w="1133" w:type="dxa"/>
            <w:tcBorders>
              <w:top w:val="single" w:sz="4" w:space="0" w:color="auto"/>
              <w:left w:val="nil"/>
              <w:bottom w:val="single" w:sz="4" w:space="0" w:color="auto"/>
              <w:right w:val="nil"/>
            </w:tcBorders>
            <w:hideMark/>
          </w:tcPr>
          <w:p w:rsidR="00957139" w:rsidRPr="00140533" w:rsidRDefault="00957139" w:rsidP="00CC3B18">
            <w:pPr>
              <w:rPr>
                <w:sz w:val="20"/>
              </w:rPr>
            </w:pPr>
            <w:r w:rsidRPr="00140533">
              <w:rPr>
                <w:sz w:val="20"/>
              </w:rPr>
              <w:t>Nie</w:t>
            </w:r>
          </w:p>
        </w:tc>
        <w:sdt>
          <w:sdtPr>
            <w:rPr>
              <w:sz w:val="20"/>
            </w:rPr>
            <w:id w:val="907426424"/>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hideMark/>
              </w:tcPr>
              <w:p w:rsidR="00957139" w:rsidRPr="00957139" w:rsidRDefault="00957139" w:rsidP="005C7118">
                <w:pPr>
                  <w:jc w:val="center"/>
                  <w:rPr>
                    <w:sz w:val="20"/>
                  </w:rPr>
                </w:pPr>
                <w:r w:rsidRPr="00957139">
                  <w:rPr>
                    <w:rFonts w:ascii="MS Mincho" w:eastAsia="MS Mincho" w:hAnsi="MS Mincho" w:cs="MS Mincho" w:hint="eastAsia"/>
                    <w:sz w:val="20"/>
                  </w:rPr>
                  <w:t>☐</w:t>
                </w:r>
              </w:p>
            </w:tc>
          </w:sdtContent>
        </w:sdt>
        <w:tc>
          <w:tcPr>
            <w:tcW w:w="1297" w:type="dxa"/>
            <w:tcBorders>
              <w:top w:val="single" w:sz="4" w:space="0" w:color="auto"/>
              <w:left w:val="nil"/>
              <w:bottom w:val="single" w:sz="4" w:space="0" w:color="auto"/>
              <w:right w:val="single" w:sz="4" w:space="0" w:color="auto"/>
            </w:tcBorders>
            <w:hideMark/>
          </w:tcPr>
          <w:p w:rsidR="00957139" w:rsidRPr="00140533" w:rsidRDefault="00957139" w:rsidP="00CC3B18">
            <w:pPr>
              <w:ind w:left="34"/>
              <w:rPr>
                <w:sz w:val="20"/>
              </w:rPr>
            </w:pPr>
            <w:r w:rsidRPr="00140533">
              <w:rPr>
                <w:sz w:val="20"/>
              </w:rPr>
              <w:t>Čiastočne</w:t>
            </w:r>
          </w:p>
        </w:tc>
      </w:tr>
      <w:tr w:rsidR="00957139" w:rsidRPr="00761780" w:rsidTr="00761780">
        <w:tc>
          <w:tcPr>
            <w:tcW w:w="3812" w:type="dxa"/>
            <w:tcBorders>
              <w:top w:val="single" w:sz="4" w:space="0" w:color="000000"/>
              <w:left w:val="single" w:sz="4" w:space="0" w:color="auto"/>
              <w:bottom w:val="nil"/>
              <w:right w:val="single" w:sz="4" w:space="0" w:color="auto"/>
            </w:tcBorders>
            <w:shd w:val="clear" w:color="auto" w:fill="E2E2E2"/>
            <w:hideMark/>
          </w:tcPr>
          <w:p w:rsidR="00957139" w:rsidRDefault="00957139">
            <w:pPr>
              <w:widowControl/>
              <w:adjustRightInd/>
              <w:spacing w:line="240" w:lineRule="auto"/>
              <w:jc w:val="left"/>
              <w:rPr>
                <w:b/>
                <w:sz w:val="20"/>
                <w:szCs w:val="20"/>
                <w:lang w:eastAsia="en-US"/>
              </w:rPr>
            </w:pPr>
            <w:r>
              <w:rPr>
                <w:b/>
                <w:sz w:val="20"/>
                <w:szCs w:val="20"/>
                <w:lang w:eastAsia="en-US"/>
              </w:rPr>
              <w:t>Vplyvy na podnikateľské prostredie</w:t>
            </w:r>
          </w:p>
        </w:tc>
        <w:sdt>
          <w:sdtPr>
            <w:rPr>
              <w:b/>
              <w:sz w:val="20"/>
            </w:rPr>
            <w:id w:val="-91856192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hideMark/>
              </w:tcPr>
              <w:p w:rsidR="00957139" w:rsidRPr="006B155A" w:rsidRDefault="007D3D61" w:rsidP="005C7118">
                <w:pPr>
                  <w:jc w:val="center"/>
                  <w:rPr>
                    <w:b/>
                    <w:sz w:val="20"/>
                  </w:rPr>
                </w:pPr>
                <w:r>
                  <w:rPr>
                    <w:rFonts w:ascii="MS Gothic" w:eastAsia="MS Gothic" w:hAnsi="MS Gothic" w:hint="eastAsia"/>
                    <w:b/>
                    <w:sz w:val="20"/>
                  </w:rPr>
                  <w:t>☐</w:t>
                </w:r>
              </w:p>
            </w:tc>
          </w:sdtContent>
        </w:sdt>
        <w:tc>
          <w:tcPr>
            <w:tcW w:w="1281" w:type="dxa"/>
            <w:tcBorders>
              <w:top w:val="single" w:sz="4" w:space="0" w:color="auto"/>
              <w:left w:val="nil"/>
              <w:bottom w:val="single" w:sz="4" w:space="0" w:color="auto"/>
              <w:right w:val="nil"/>
            </w:tcBorders>
            <w:hideMark/>
          </w:tcPr>
          <w:p w:rsidR="00957139" w:rsidRPr="00140533" w:rsidRDefault="00957139" w:rsidP="00CC3B18">
            <w:pPr>
              <w:rPr>
                <w:b/>
                <w:sz w:val="20"/>
              </w:rPr>
            </w:pPr>
            <w:r w:rsidRPr="00140533">
              <w:rPr>
                <w:b/>
                <w:sz w:val="20"/>
              </w:rPr>
              <w:t>Pozitívne</w:t>
            </w:r>
          </w:p>
        </w:tc>
        <w:sdt>
          <w:sdtPr>
            <w:rPr>
              <w:b/>
              <w:sz w:val="20"/>
            </w:rPr>
            <w:id w:val="2027368553"/>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133" w:type="dxa"/>
            <w:tcBorders>
              <w:top w:val="single" w:sz="4" w:space="0" w:color="auto"/>
              <w:left w:val="nil"/>
              <w:bottom w:val="single" w:sz="4" w:space="0" w:color="auto"/>
              <w:right w:val="nil"/>
            </w:tcBorders>
            <w:hideMark/>
          </w:tcPr>
          <w:p w:rsidR="00957139" w:rsidRPr="00140533" w:rsidRDefault="00957139" w:rsidP="00CC3B18">
            <w:pPr>
              <w:rPr>
                <w:b/>
                <w:sz w:val="20"/>
              </w:rPr>
            </w:pPr>
            <w:r w:rsidRPr="00140533">
              <w:rPr>
                <w:b/>
                <w:sz w:val="20"/>
              </w:rPr>
              <w:t>Žiadne</w:t>
            </w:r>
          </w:p>
        </w:tc>
        <w:sdt>
          <w:sdtPr>
            <w:rPr>
              <w:b/>
              <w:sz w:val="20"/>
            </w:rPr>
            <w:id w:val="61102181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hideMark/>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297" w:type="dxa"/>
            <w:tcBorders>
              <w:top w:val="single" w:sz="4" w:space="0" w:color="auto"/>
              <w:left w:val="nil"/>
              <w:bottom w:val="single" w:sz="4" w:space="0" w:color="auto"/>
              <w:right w:val="single" w:sz="4" w:space="0" w:color="auto"/>
            </w:tcBorders>
            <w:hideMark/>
          </w:tcPr>
          <w:p w:rsidR="00957139" w:rsidRPr="00140533" w:rsidRDefault="00957139" w:rsidP="00CC3B18">
            <w:pPr>
              <w:ind w:left="34"/>
              <w:rPr>
                <w:b/>
                <w:sz w:val="20"/>
              </w:rPr>
            </w:pPr>
            <w:r w:rsidRPr="00140533">
              <w:rPr>
                <w:b/>
                <w:sz w:val="20"/>
              </w:rPr>
              <w:t>Negatívne</w:t>
            </w:r>
          </w:p>
        </w:tc>
      </w:tr>
      <w:tr w:rsidR="00957139" w:rsidRPr="00761780" w:rsidTr="00761780">
        <w:tc>
          <w:tcPr>
            <w:tcW w:w="3812" w:type="dxa"/>
            <w:tcBorders>
              <w:top w:val="nil"/>
              <w:left w:val="single" w:sz="4" w:space="0" w:color="000000"/>
              <w:bottom w:val="single" w:sz="4" w:space="0" w:color="000000"/>
              <w:right w:val="single" w:sz="4" w:space="0" w:color="000000"/>
            </w:tcBorders>
            <w:shd w:val="clear" w:color="auto" w:fill="E2E2E2"/>
            <w:hideMark/>
          </w:tcPr>
          <w:p w:rsidR="00957139" w:rsidRDefault="00957139">
            <w:pPr>
              <w:widowControl/>
              <w:adjustRightInd/>
              <w:spacing w:line="240" w:lineRule="auto"/>
              <w:jc w:val="left"/>
              <w:rPr>
                <w:sz w:val="20"/>
                <w:szCs w:val="20"/>
                <w:lang w:eastAsia="en-US"/>
              </w:rPr>
            </w:pPr>
            <w:r>
              <w:rPr>
                <w:sz w:val="20"/>
                <w:szCs w:val="20"/>
                <w:lang w:eastAsia="en-US"/>
              </w:rPr>
              <w:t xml:space="preserve">    z toho vplyvy na MSP</w:t>
            </w:r>
          </w:p>
        </w:tc>
        <w:sdt>
          <w:sdtPr>
            <w:rPr>
              <w:sz w:val="20"/>
            </w:rPr>
            <w:id w:val="-16363151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000000"/>
                  <w:bottom w:val="single" w:sz="4" w:space="0" w:color="auto"/>
                  <w:right w:val="nil"/>
                </w:tcBorders>
                <w:hideMark/>
              </w:tcPr>
              <w:p w:rsidR="00957139" w:rsidRPr="00957139" w:rsidRDefault="00B739D6" w:rsidP="005C7118">
                <w:pPr>
                  <w:jc w:val="center"/>
                  <w:rPr>
                    <w:sz w:val="20"/>
                  </w:rPr>
                </w:pPr>
                <w:r>
                  <w:rPr>
                    <w:rFonts w:ascii="MS Gothic" w:eastAsia="MS Gothic" w:hAnsi="MS Gothic" w:hint="eastAsia"/>
                    <w:sz w:val="20"/>
                  </w:rPr>
                  <w:t>☐</w:t>
                </w:r>
              </w:p>
            </w:tc>
          </w:sdtContent>
        </w:sdt>
        <w:tc>
          <w:tcPr>
            <w:tcW w:w="1281" w:type="dxa"/>
            <w:tcBorders>
              <w:top w:val="single" w:sz="4" w:space="0" w:color="auto"/>
              <w:left w:val="nil"/>
              <w:bottom w:val="single" w:sz="4" w:space="0" w:color="auto"/>
              <w:right w:val="nil"/>
            </w:tcBorders>
            <w:hideMark/>
          </w:tcPr>
          <w:p w:rsidR="00957139" w:rsidRPr="00140533" w:rsidRDefault="00C32B52" w:rsidP="00CC3B18">
            <w:pPr>
              <w:rPr>
                <w:sz w:val="20"/>
              </w:rPr>
            </w:pPr>
            <w:r>
              <w:rPr>
                <w:sz w:val="20"/>
              </w:rPr>
              <w:t>Pozitívne</w:t>
            </w:r>
          </w:p>
        </w:tc>
        <w:sdt>
          <w:sdtPr>
            <w:rPr>
              <w:sz w:val="20"/>
            </w:rPr>
            <w:id w:val="1595129085"/>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957139" w:rsidRPr="00957139" w:rsidRDefault="00B739D6" w:rsidP="005C7118">
                <w:pPr>
                  <w:jc w:val="center"/>
                  <w:rPr>
                    <w:sz w:val="20"/>
                  </w:rPr>
                </w:pPr>
                <w:r>
                  <w:rPr>
                    <w:rFonts w:ascii="MS Gothic" w:eastAsia="MS Gothic" w:hAnsi="MS Gothic" w:hint="eastAsia"/>
                    <w:sz w:val="20"/>
                  </w:rPr>
                  <w:t>☐</w:t>
                </w:r>
              </w:p>
            </w:tc>
          </w:sdtContent>
        </w:sdt>
        <w:tc>
          <w:tcPr>
            <w:tcW w:w="1133" w:type="dxa"/>
            <w:tcBorders>
              <w:top w:val="single" w:sz="4" w:space="0" w:color="auto"/>
              <w:left w:val="nil"/>
              <w:bottom w:val="single" w:sz="4" w:space="0" w:color="auto"/>
              <w:right w:val="nil"/>
            </w:tcBorders>
            <w:hideMark/>
          </w:tcPr>
          <w:p w:rsidR="00957139" w:rsidRPr="00140533" w:rsidRDefault="00C32B52" w:rsidP="00CC3B18">
            <w:pPr>
              <w:rPr>
                <w:sz w:val="20"/>
              </w:rPr>
            </w:pPr>
            <w:r>
              <w:rPr>
                <w:sz w:val="20"/>
              </w:rPr>
              <w:t>Žiadne</w:t>
            </w:r>
          </w:p>
        </w:tc>
        <w:sdt>
          <w:sdtPr>
            <w:rPr>
              <w:sz w:val="20"/>
            </w:rPr>
            <w:id w:val="-498040493"/>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hideMark/>
              </w:tcPr>
              <w:p w:rsidR="00957139" w:rsidRPr="00957139" w:rsidRDefault="00B739D6" w:rsidP="005C7118">
                <w:pPr>
                  <w:jc w:val="center"/>
                  <w:rPr>
                    <w:sz w:val="20"/>
                  </w:rPr>
                </w:pPr>
                <w:r>
                  <w:rPr>
                    <w:rFonts w:ascii="MS Gothic" w:eastAsia="MS Gothic" w:hAnsi="MS Gothic" w:hint="eastAsia"/>
                    <w:sz w:val="20"/>
                  </w:rPr>
                  <w:t>☐</w:t>
                </w:r>
              </w:p>
            </w:tc>
          </w:sdtContent>
        </w:sdt>
        <w:tc>
          <w:tcPr>
            <w:tcW w:w="1297" w:type="dxa"/>
            <w:tcBorders>
              <w:top w:val="single" w:sz="4" w:space="0" w:color="auto"/>
              <w:left w:val="nil"/>
              <w:bottom w:val="single" w:sz="4" w:space="0" w:color="auto"/>
              <w:right w:val="single" w:sz="4" w:space="0" w:color="auto"/>
            </w:tcBorders>
            <w:hideMark/>
          </w:tcPr>
          <w:p w:rsidR="00957139" w:rsidRPr="00140533" w:rsidRDefault="00C32B52" w:rsidP="00CC3B18">
            <w:pPr>
              <w:ind w:left="34"/>
              <w:rPr>
                <w:sz w:val="20"/>
              </w:rPr>
            </w:pPr>
            <w:r>
              <w:rPr>
                <w:sz w:val="20"/>
              </w:rPr>
              <w:t>Negatívne</w:t>
            </w:r>
          </w:p>
        </w:tc>
      </w:tr>
      <w:tr w:rsidR="00957139" w:rsidRPr="00761780" w:rsidTr="00761780">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957139" w:rsidRDefault="00957139">
            <w:pPr>
              <w:widowControl/>
              <w:adjustRightInd/>
              <w:spacing w:line="240" w:lineRule="auto"/>
              <w:jc w:val="left"/>
              <w:rPr>
                <w:b/>
                <w:sz w:val="20"/>
                <w:szCs w:val="20"/>
                <w:lang w:eastAsia="en-US"/>
              </w:rPr>
            </w:pPr>
            <w:r>
              <w:rPr>
                <w:b/>
                <w:sz w:val="20"/>
                <w:szCs w:val="20"/>
                <w:lang w:eastAsia="en-US"/>
              </w:rPr>
              <w:t>Sociálne vplyvy</w:t>
            </w:r>
          </w:p>
        </w:tc>
        <w:sdt>
          <w:sdtPr>
            <w:rPr>
              <w:b/>
              <w:sz w:val="20"/>
            </w:rPr>
            <w:id w:val="267205313"/>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hideMark/>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281" w:type="dxa"/>
            <w:tcBorders>
              <w:top w:val="single" w:sz="4" w:space="0" w:color="auto"/>
              <w:left w:val="nil"/>
              <w:bottom w:val="single" w:sz="4" w:space="0" w:color="auto"/>
              <w:right w:val="nil"/>
            </w:tcBorders>
            <w:hideMark/>
          </w:tcPr>
          <w:p w:rsidR="00957139" w:rsidRPr="00140533" w:rsidRDefault="00957139" w:rsidP="00CC3B18">
            <w:pPr>
              <w:rPr>
                <w:b/>
                <w:sz w:val="20"/>
              </w:rPr>
            </w:pPr>
            <w:r w:rsidRPr="00140533">
              <w:rPr>
                <w:b/>
                <w:sz w:val="20"/>
              </w:rPr>
              <w:t>Pozitívne</w:t>
            </w:r>
          </w:p>
        </w:tc>
        <w:sdt>
          <w:sdtPr>
            <w:rPr>
              <w:b/>
              <w:sz w:val="20"/>
            </w:rPr>
            <w:id w:val="376358871"/>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133" w:type="dxa"/>
            <w:tcBorders>
              <w:top w:val="single" w:sz="4" w:space="0" w:color="auto"/>
              <w:left w:val="nil"/>
              <w:bottom w:val="single" w:sz="4" w:space="0" w:color="auto"/>
              <w:right w:val="nil"/>
            </w:tcBorders>
            <w:hideMark/>
          </w:tcPr>
          <w:p w:rsidR="00957139" w:rsidRPr="00140533" w:rsidRDefault="00957139" w:rsidP="00CC3B18">
            <w:pPr>
              <w:rPr>
                <w:b/>
                <w:sz w:val="20"/>
              </w:rPr>
            </w:pPr>
            <w:r w:rsidRPr="00140533">
              <w:rPr>
                <w:b/>
                <w:sz w:val="20"/>
              </w:rPr>
              <w:t>Žiadne</w:t>
            </w:r>
          </w:p>
        </w:tc>
        <w:sdt>
          <w:sdtPr>
            <w:rPr>
              <w:b/>
              <w:sz w:val="20"/>
            </w:rPr>
            <w:id w:val="-133506310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hideMark/>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297" w:type="dxa"/>
            <w:tcBorders>
              <w:top w:val="single" w:sz="4" w:space="0" w:color="auto"/>
              <w:left w:val="nil"/>
              <w:bottom w:val="single" w:sz="4" w:space="0" w:color="auto"/>
              <w:right w:val="single" w:sz="4" w:space="0" w:color="auto"/>
            </w:tcBorders>
            <w:hideMark/>
          </w:tcPr>
          <w:p w:rsidR="00957139" w:rsidRPr="00140533" w:rsidRDefault="00957139" w:rsidP="00CC3B18">
            <w:pPr>
              <w:ind w:left="34"/>
              <w:rPr>
                <w:b/>
                <w:sz w:val="20"/>
              </w:rPr>
            </w:pPr>
            <w:r w:rsidRPr="00140533">
              <w:rPr>
                <w:b/>
                <w:sz w:val="20"/>
              </w:rPr>
              <w:t>Negatívne</w:t>
            </w:r>
          </w:p>
        </w:tc>
      </w:tr>
      <w:tr w:rsidR="00957139" w:rsidRPr="00761780" w:rsidTr="00761780">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957139" w:rsidRDefault="00957139">
            <w:pPr>
              <w:widowControl/>
              <w:adjustRightInd/>
              <w:spacing w:line="240" w:lineRule="auto"/>
              <w:jc w:val="left"/>
              <w:rPr>
                <w:b/>
                <w:sz w:val="20"/>
                <w:szCs w:val="20"/>
                <w:lang w:eastAsia="en-US"/>
              </w:rPr>
            </w:pPr>
            <w:r>
              <w:rPr>
                <w:b/>
                <w:sz w:val="20"/>
                <w:szCs w:val="20"/>
                <w:lang w:eastAsia="en-US"/>
              </w:rPr>
              <w:t>Vplyvy na životné prostredie</w:t>
            </w:r>
          </w:p>
        </w:tc>
        <w:sdt>
          <w:sdtPr>
            <w:rPr>
              <w:b/>
              <w:sz w:val="20"/>
            </w:rPr>
            <w:id w:val="68340988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hideMark/>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281" w:type="dxa"/>
            <w:tcBorders>
              <w:top w:val="single" w:sz="4" w:space="0" w:color="auto"/>
              <w:left w:val="nil"/>
              <w:bottom w:val="single" w:sz="4" w:space="0" w:color="auto"/>
              <w:right w:val="nil"/>
            </w:tcBorders>
            <w:hideMark/>
          </w:tcPr>
          <w:p w:rsidR="00957139" w:rsidRPr="00140533" w:rsidRDefault="00957139" w:rsidP="00CC3B18">
            <w:pPr>
              <w:rPr>
                <w:b/>
                <w:sz w:val="20"/>
              </w:rPr>
            </w:pPr>
            <w:r w:rsidRPr="00140533">
              <w:rPr>
                <w:b/>
                <w:sz w:val="20"/>
              </w:rPr>
              <w:t>Pozitívne</w:t>
            </w:r>
          </w:p>
        </w:tc>
        <w:sdt>
          <w:sdtPr>
            <w:rPr>
              <w:b/>
              <w:sz w:val="20"/>
            </w:rPr>
            <w:id w:val="-512142308"/>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133" w:type="dxa"/>
            <w:tcBorders>
              <w:top w:val="single" w:sz="4" w:space="0" w:color="auto"/>
              <w:left w:val="nil"/>
              <w:bottom w:val="single" w:sz="4" w:space="0" w:color="auto"/>
              <w:right w:val="nil"/>
            </w:tcBorders>
            <w:hideMark/>
          </w:tcPr>
          <w:p w:rsidR="00957139" w:rsidRPr="00140533" w:rsidRDefault="00957139" w:rsidP="00CC3B18">
            <w:pPr>
              <w:rPr>
                <w:b/>
                <w:sz w:val="20"/>
              </w:rPr>
            </w:pPr>
            <w:r w:rsidRPr="00140533">
              <w:rPr>
                <w:b/>
                <w:sz w:val="20"/>
              </w:rPr>
              <w:t>Žiadne</w:t>
            </w:r>
          </w:p>
        </w:tc>
        <w:sdt>
          <w:sdtPr>
            <w:rPr>
              <w:b/>
              <w:sz w:val="20"/>
            </w:rPr>
            <w:id w:val="-1960947090"/>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hideMark/>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297" w:type="dxa"/>
            <w:tcBorders>
              <w:top w:val="single" w:sz="4" w:space="0" w:color="auto"/>
              <w:left w:val="nil"/>
              <w:bottom w:val="single" w:sz="4" w:space="0" w:color="auto"/>
              <w:right w:val="single" w:sz="4" w:space="0" w:color="auto"/>
            </w:tcBorders>
            <w:hideMark/>
          </w:tcPr>
          <w:p w:rsidR="00957139" w:rsidRPr="00140533" w:rsidRDefault="00957139" w:rsidP="00CC3B18">
            <w:pPr>
              <w:ind w:left="34"/>
              <w:rPr>
                <w:b/>
                <w:sz w:val="20"/>
              </w:rPr>
            </w:pPr>
            <w:r w:rsidRPr="00140533">
              <w:rPr>
                <w:b/>
                <w:sz w:val="20"/>
              </w:rPr>
              <w:t>Negatívne</w:t>
            </w:r>
          </w:p>
        </w:tc>
      </w:tr>
      <w:tr w:rsidR="00957139" w:rsidRPr="00761780" w:rsidTr="00761780">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957139" w:rsidRDefault="00957139">
            <w:pPr>
              <w:widowControl/>
              <w:adjustRightInd/>
              <w:spacing w:line="240" w:lineRule="auto"/>
              <w:jc w:val="left"/>
              <w:rPr>
                <w:b/>
                <w:sz w:val="20"/>
                <w:szCs w:val="20"/>
                <w:lang w:eastAsia="en-US"/>
              </w:rPr>
            </w:pPr>
            <w:r>
              <w:rPr>
                <w:b/>
                <w:sz w:val="20"/>
                <w:szCs w:val="20"/>
                <w:lang w:eastAsia="en-US"/>
              </w:rPr>
              <w:t>Vplyvy na informatizáciu</w:t>
            </w:r>
          </w:p>
        </w:tc>
        <w:sdt>
          <w:sdtPr>
            <w:rPr>
              <w:b/>
              <w:sz w:val="20"/>
            </w:rPr>
            <w:id w:val="141882900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hideMark/>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281" w:type="dxa"/>
            <w:tcBorders>
              <w:top w:val="single" w:sz="4" w:space="0" w:color="auto"/>
              <w:left w:val="nil"/>
              <w:bottom w:val="single" w:sz="4" w:space="0" w:color="auto"/>
              <w:right w:val="nil"/>
            </w:tcBorders>
            <w:hideMark/>
          </w:tcPr>
          <w:p w:rsidR="00957139" w:rsidRPr="00140533" w:rsidRDefault="00957139" w:rsidP="00CC3B18">
            <w:pPr>
              <w:rPr>
                <w:b/>
                <w:sz w:val="20"/>
              </w:rPr>
            </w:pPr>
            <w:r w:rsidRPr="00140533">
              <w:rPr>
                <w:b/>
                <w:sz w:val="20"/>
              </w:rPr>
              <w:t>Pozitívne</w:t>
            </w:r>
          </w:p>
        </w:tc>
        <w:sdt>
          <w:sdtPr>
            <w:rPr>
              <w:b/>
              <w:sz w:val="20"/>
            </w:rPr>
            <w:id w:val="1744292219"/>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133" w:type="dxa"/>
            <w:tcBorders>
              <w:top w:val="single" w:sz="4" w:space="0" w:color="auto"/>
              <w:left w:val="nil"/>
              <w:bottom w:val="single" w:sz="4" w:space="0" w:color="auto"/>
              <w:right w:val="nil"/>
            </w:tcBorders>
            <w:hideMark/>
          </w:tcPr>
          <w:p w:rsidR="00957139" w:rsidRPr="00140533" w:rsidRDefault="00957139" w:rsidP="00CC3B18">
            <w:pPr>
              <w:rPr>
                <w:b/>
                <w:sz w:val="20"/>
              </w:rPr>
            </w:pPr>
            <w:r w:rsidRPr="00140533">
              <w:rPr>
                <w:b/>
                <w:sz w:val="20"/>
              </w:rPr>
              <w:t>Žiadne</w:t>
            </w:r>
          </w:p>
        </w:tc>
        <w:sdt>
          <w:sdtPr>
            <w:rPr>
              <w:b/>
              <w:sz w:val="20"/>
            </w:rPr>
            <w:id w:val="181382786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hideMark/>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297" w:type="dxa"/>
            <w:tcBorders>
              <w:top w:val="single" w:sz="4" w:space="0" w:color="auto"/>
              <w:left w:val="nil"/>
              <w:bottom w:val="single" w:sz="4" w:space="0" w:color="auto"/>
              <w:right w:val="single" w:sz="4" w:space="0" w:color="auto"/>
            </w:tcBorders>
            <w:hideMark/>
          </w:tcPr>
          <w:p w:rsidR="00957139" w:rsidRPr="00140533" w:rsidRDefault="00957139" w:rsidP="00CC3B18">
            <w:pPr>
              <w:ind w:left="34"/>
              <w:rPr>
                <w:b/>
                <w:sz w:val="20"/>
              </w:rPr>
            </w:pPr>
            <w:r w:rsidRPr="00140533">
              <w:rPr>
                <w:b/>
                <w:sz w:val="20"/>
              </w:rPr>
              <w:t>Negatívne</w:t>
            </w:r>
          </w:p>
        </w:tc>
      </w:tr>
      <w:tr w:rsidR="00957139" w:rsidRPr="00A179AE" w:rsidTr="008D3F6A">
        <w:tc>
          <w:tcPr>
            <w:tcW w:w="3812" w:type="dxa"/>
            <w:tcBorders>
              <w:top w:val="single" w:sz="4" w:space="0" w:color="auto"/>
              <w:left w:val="single" w:sz="4" w:space="0" w:color="auto"/>
              <w:bottom w:val="nil"/>
              <w:right w:val="single" w:sz="4" w:space="0" w:color="auto"/>
            </w:tcBorders>
            <w:shd w:val="clear" w:color="auto" w:fill="E2E2E2"/>
          </w:tcPr>
          <w:p w:rsidR="00957139" w:rsidRPr="00653ADA" w:rsidRDefault="00957139" w:rsidP="008D3F6A">
            <w:pPr>
              <w:spacing w:line="240" w:lineRule="auto"/>
              <w:rPr>
                <w:b/>
                <w:sz w:val="20"/>
                <w:szCs w:val="20"/>
              </w:rPr>
            </w:pPr>
            <w:r>
              <w:rPr>
                <w:rFonts w:eastAsia="Calibri"/>
                <w:b/>
                <w:sz w:val="20"/>
                <w:szCs w:val="20"/>
                <w:lang w:eastAsia="en-US"/>
              </w:rPr>
              <w:t>V</w:t>
            </w:r>
            <w:r w:rsidRPr="00127DAC">
              <w:rPr>
                <w:rFonts w:eastAsia="Calibri"/>
                <w:b/>
                <w:sz w:val="20"/>
                <w:szCs w:val="20"/>
                <w:lang w:eastAsia="en-US"/>
              </w:rPr>
              <w:t>plyv</w:t>
            </w:r>
            <w:r>
              <w:rPr>
                <w:rFonts w:eastAsia="Calibri"/>
                <w:b/>
                <w:sz w:val="20"/>
                <w:szCs w:val="20"/>
                <w:lang w:eastAsia="en-US"/>
              </w:rPr>
              <w:t>y</w:t>
            </w:r>
            <w:r w:rsidRPr="00127DAC">
              <w:rPr>
                <w:rFonts w:eastAsia="Calibri"/>
                <w:b/>
                <w:sz w:val="20"/>
                <w:szCs w:val="20"/>
                <w:lang w:eastAsia="en-US"/>
              </w:rPr>
              <w:t xml:space="preserve"> na služby verejnej správy pre občana</w:t>
            </w:r>
            <w:r>
              <w:rPr>
                <w:rFonts w:eastAsia="Calibri"/>
                <w:b/>
                <w:sz w:val="20"/>
                <w:szCs w:val="20"/>
                <w:lang w:eastAsia="en-US"/>
              </w:rPr>
              <w:t>, z toho</w:t>
            </w:r>
          </w:p>
        </w:tc>
        <w:tc>
          <w:tcPr>
            <w:tcW w:w="541" w:type="dxa"/>
            <w:tcBorders>
              <w:top w:val="single" w:sz="4" w:space="0" w:color="auto"/>
              <w:left w:val="single" w:sz="4" w:space="0" w:color="auto"/>
              <w:bottom w:val="nil"/>
              <w:right w:val="nil"/>
            </w:tcBorders>
            <w:shd w:val="clear" w:color="auto" w:fill="auto"/>
          </w:tcPr>
          <w:p w:rsidR="00957139" w:rsidRPr="00653ADA" w:rsidRDefault="00957139" w:rsidP="008D3F6A">
            <w:pPr>
              <w:spacing w:line="240" w:lineRule="auto"/>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957139" w:rsidRPr="00653ADA" w:rsidRDefault="00957139" w:rsidP="008D3F6A">
            <w:pPr>
              <w:spacing w:line="240" w:lineRule="auto"/>
              <w:ind w:right="-108"/>
              <w:rPr>
                <w:b/>
                <w:sz w:val="20"/>
                <w:szCs w:val="20"/>
              </w:rPr>
            </w:pPr>
          </w:p>
        </w:tc>
        <w:tc>
          <w:tcPr>
            <w:tcW w:w="569" w:type="dxa"/>
            <w:tcBorders>
              <w:top w:val="single" w:sz="4" w:space="0" w:color="auto"/>
              <w:left w:val="nil"/>
              <w:bottom w:val="nil"/>
              <w:right w:val="nil"/>
            </w:tcBorders>
            <w:shd w:val="clear" w:color="auto" w:fill="auto"/>
          </w:tcPr>
          <w:p w:rsidR="00957139" w:rsidRPr="00653ADA" w:rsidRDefault="00957139" w:rsidP="008D3F6A">
            <w:pPr>
              <w:spacing w:line="240" w:lineRule="auto"/>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957139" w:rsidRPr="00653ADA" w:rsidRDefault="00957139" w:rsidP="008D3F6A">
            <w:pPr>
              <w:spacing w:line="240" w:lineRule="auto"/>
              <w:rPr>
                <w:b/>
                <w:sz w:val="20"/>
                <w:szCs w:val="20"/>
              </w:rPr>
            </w:pPr>
          </w:p>
        </w:tc>
        <w:tc>
          <w:tcPr>
            <w:tcW w:w="547" w:type="dxa"/>
            <w:tcBorders>
              <w:top w:val="single" w:sz="4" w:space="0" w:color="auto"/>
              <w:left w:val="nil"/>
              <w:bottom w:val="nil"/>
              <w:right w:val="nil"/>
            </w:tcBorders>
            <w:shd w:val="clear" w:color="auto" w:fill="auto"/>
          </w:tcPr>
          <w:p w:rsidR="00957139" w:rsidRPr="00653ADA" w:rsidRDefault="00957139" w:rsidP="008D3F6A">
            <w:pPr>
              <w:spacing w:line="240" w:lineRule="auto"/>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957139" w:rsidRPr="00653ADA" w:rsidRDefault="00957139" w:rsidP="008D3F6A">
            <w:pPr>
              <w:spacing w:line="240" w:lineRule="auto"/>
              <w:ind w:left="54"/>
              <w:rPr>
                <w:b/>
                <w:sz w:val="20"/>
                <w:szCs w:val="20"/>
              </w:rPr>
            </w:pPr>
          </w:p>
        </w:tc>
      </w:tr>
      <w:tr w:rsidR="00957139" w:rsidRPr="00A179AE" w:rsidTr="008D3F6A">
        <w:tc>
          <w:tcPr>
            <w:tcW w:w="3812" w:type="dxa"/>
            <w:tcBorders>
              <w:top w:val="nil"/>
              <w:left w:val="single" w:sz="4" w:space="0" w:color="auto"/>
              <w:bottom w:val="nil"/>
              <w:right w:val="single" w:sz="4" w:space="0" w:color="auto"/>
            </w:tcBorders>
            <w:shd w:val="clear" w:color="auto" w:fill="E2E2E2"/>
          </w:tcPr>
          <w:p w:rsidR="00957139" w:rsidRPr="00E57B5B" w:rsidRDefault="00957139" w:rsidP="009634B3">
            <w:pPr>
              <w:spacing w:line="240" w:lineRule="auto"/>
              <w:ind w:left="196" w:hanging="196"/>
              <w:rPr>
                <w:rFonts w:eastAsia="Calibri"/>
                <w:b/>
                <w:sz w:val="20"/>
                <w:szCs w:val="20"/>
                <w:lang w:eastAsia="en-US"/>
              </w:rPr>
            </w:pPr>
            <w:r w:rsidRPr="00E57B5B">
              <w:rPr>
                <w:rFonts w:eastAsia="Calibri"/>
                <w:b/>
                <w:sz w:val="20"/>
                <w:szCs w:val="20"/>
                <w:lang w:eastAsia="en-US"/>
              </w:rPr>
              <w:t xml:space="preserve">    vplyv</w:t>
            </w:r>
            <w:r>
              <w:rPr>
                <w:rFonts w:eastAsia="Calibri"/>
                <w:b/>
                <w:sz w:val="20"/>
                <w:szCs w:val="20"/>
                <w:lang w:eastAsia="en-US"/>
              </w:rPr>
              <w:t>y</w:t>
            </w:r>
            <w:r w:rsidRPr="00E57B5B">
              <w:rPr>
                <w:rFonts w:eastAsia="Calibri"/>
                <w:b/>
                <w:sz w:val="20"/>
                <w:szCs w:val="20"/>
                <w:lang w:eastAsia="en-US"/>
              </w:rPr>
              <w:t xml:space="preserve"> služ</w:t>
            </w:r>
            <w:r>
              <w:rPr>
                <w:rFonts w:eastAsia="Calibri"/>
                <w:b/>
                <w:sz w:val="20"/>
                <w:szCs w:val="20"/>
                <w:lang w:eastAsia="en-US"/>
              </w:rPr>
              <w:t>ieb</w:t>
            </w:r>
            <w:r w:rsidRPr="00E57B5B">
              <w:rPr>
                <w:rFonts w:eastAsia="Calibri"/>
                <w:b/>
                <w:sz w:val="20"/>
                <w:szCs w:val="20"/>
                <w:lang w:eastAsia="en-US"/>
              </w:rPr>
              <w:t xml:space="preserve"> verejnej správy </w:t>
            </w:r>
            <w:r>
              <w:rPr>
                <w:rFonts w:eastAsia="Calibri"/>
                <w:b/>
                <w:sz w:val="20"/>
                <w:szCs w:val="20"/>
                <w:lang w:eastAsia="en-US"/>
              </w:rPr>
              <w:t>na</w:t>
            </w:r>
            <w:r w:rsidRPr="00E57B5B">
              <w:rPr>
                <w:rFonts w:eastAsia="Calibri"/>
                <w:b/>
                <w:sz w:val="20"/>
                <w:szCs w:val="20"/>
                <w:lang w:eastAsia="en-US"/>
              </w:rPr>
              <w:t xml:space="preserve"> občana</w:t>
            </w:r>
          </w:p>
        </w:tc>
        <w:sdt>
          <w:sdtPr>
            <w:rPr>
              <w:b/>
              <w:sz w:val="20"/>
            </w:rPr>
            <w:id w:val="-1940285632"/>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281" w:type="dxa"/>
            <w:tcBorders>
              <w:top w:val="nil"/>
              <w:left w:val="nil"/>
              <w:bottom w:val="nil"/>
              <w:right w:val="nil"/>
            </w:tcBorders>
            <w:shd w:val="clear" w:color="auto" w:fill="auto"/>
          </w:tcPr>
          <w:p w:rsidR="00957139" w:rsidRPr="00140533" w:rsidRDefault="00957139" w:rsidP="00CC3B18">
            <w:pPr>
              <w:rPr>
                <w:b/>
                <w:sz w:val="20"/>
              </w:rPr>
            </w:pPr>
            <w:r w:rsidRPr="00140533">
              <w:rPr>
                <w:b/>
                <w:sz w:val="20"/>
              </w:rPr>
              <w:t>Pozitívne</w:t>
            </w:r>
          </w:p>
        </w:tc>
        <w:sdt>
          <w:sdtPr>
            <w:rPr>
              <w:b/>
              <w:sz w:val="20"/>
            </w:rPr>
            <w:id w:val="-1270237900"/>
            <w14:checkbox>
              <w14:checked w14:val="0"/>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133" w:type="dxa"/>
            <w:tcBorders>
              <w:top w:val="nil"/>
              <w:left w:val="nil"/>
              <w:bottom w:val="nil"/>
              <w:right w:val="nil"/>
            </w:tcBorders>
            <w:shd w:val="clear" w:color="auto" w:fill="auto"/>
          </w:tcPr>
          <w:p w:rsidR="00957139" w:rsidRPr="00140533" w:rsidRDefault="00957139" w:rsidP="00CC3B18">
            <w:pPr>
              <w:rPr>
                <w:b/>
                <w:sz w:val="20"/>
              </w:rPr>
            </w:pPr>
            <w:r w:rsidRPr="00140533">
              <w:rPr>
                <w:b/>
                <w:sz w:val="20"/>
              </w:rPr>
              <w:t>Žiadne</w:t>
            </w:r>
          </w:p>
        </w:tc>
        <w:sdt>
          <w:sdtPr>
            <w:rPr>
              <w:b/>
              <w:sz w:val="20"/>
            </w:rPr>
            <w:id w:val="-1358033384"/>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297" w:type="dxa"/>
            <w:tcBorders>
              <w:top w:val="nil"/>
              <w:left w:val="nil"/>
              <w:bottom w:val="nil"/>
              <w:right w:val="single" w:sz="4" w:space="0" w:color="auto"/>
            </w:tcBorders>
            <w:shd w:val="clear" w:color="auto" w:fill="auto"/>
          </w:tcPr>
          <w:p w:rsidR="00957139" w:rsidRPr="00140533" w:rsidRDefault="00957139" w:rsidP="00CC3B18">
            <w:pPr>
              <w:ind w:left="34"/>
              <w:rPr>
                <w:b/>
                <w:sz w:val="20"/>
              </w:rPr>
            </w:pPr>
            <w:r w:rsidRPr="00140533">
              <w:rPr>
                <w:b/>
                <w:sz w:val="20"/>
              </w:rPr>
              <w:t>Negatívne</w:t>
            </w:r>
          </w:p>
        </w:tc>
      </w:tr>
      <w:tr w:rsidR="00957139" w:rsidRPr="00A179AE" w:rsidTr="008D3F6A">
        <w:tc>
          <w:tcPr>
            <w:tcW w:w="3812" w:type="dxa"/>
            <w:tcBorders>
              <w:top w:val="nil"/>
              <w:left w:val="single" w:sz="4" w:space="0" w:color="auto"/>
              <w:bottom w:val="single" w:sz="4" w:space="0" w:color="auto"/>
              <w:right w:val="single" w:sz="4" w:space="0" w:color="auto"/>
            </w:tcBorders>
            <w:shd w:val="clear" w:color="auto" w:fill="E2E2E2"/>
          </w:tcPr>
          <w:p w:rsidR="00957139" w:rsidRPr="00E57B5B" w:rsidRDefault="00957139" w:rsidP="009634B3">
            <w:pPr>
              <w:spacing w:line="240" w:lineRule="auto"/>
              <w:ind w:left="168" w:hanging="168"/>
              <w:rPr>
                <w:rFonts w:eastAsia="Calibri"/>
                <w:b/>
                <w:sz w:val="20"/>
                <w:szCs w:val="20"/>
                <w:lang w:eastAsia="en-US"/>
              </w:rPr>
            </w:pPr>
            <w:r w:rsidRPr="00E57B5B">
              <w:rPr>
                <w:rFonts w:eastAsia="Calibri"/>
                <w:b/>
                <w:sz w:val="20"/>
                <w:szCs w:val="20"/>
                <w:lang w:eastAsia="en-US"/>
              </w:rPr>
              <w:t>....vplyv</w:t>
            </w:r>
            <w:r>
              <w:rPr>
                <w:rFonts w:eastAsia="Calibri"/>
                <w:b/>
                <w:sz w:val="20"/>
                <w:szCs w:val="20"/>
                <w:lang w:eastAsia="en-US"/>
              </w:rPr>
              <w:t>y</w:t>
            </w:r>
            <w:r w:rsidRPr="00E57B5B">
              <w:rPr>
                <w:rFonts w:eastAsia="Calibri"/>
                <w:b/>
                <w:sz w:val="20"/>
                <w:szCs w:val="20"/>
                <w:lang w:eastAsia="en-US"/>
              </w:rPr>
              <w:t xml:space="preserve"> na procesy služieb vo verejnej správe</w:t>
            </w:r>
          </w:p>
        </w:tc>
        <w:sdt>
          <w:sdtPr>
            <w:rPr>
              <w:b/>
              <w:sz w:val="20"/>
            </w:rPr>
            <w:id w:val="-1115671161"/>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281" w:type="dxa"/>
            <w:tcBorders>
              <w:top w:val="nil"/>
              <w:left w:val="nil"/>
              <w:bottom w:val="single" w:sz="4" w:space="0" w:color="auto"/>
              <w:right w:val="nil"/>
            </w:tcBorders>
            <w:shd w:val="clear" w:color="auto" w:fill="auto"/>
          </w:tcPr>
          <w:p w:rsidR="00957139" w:rsidRPr="00140533" w:rsidRDefault="00957139" w:rsidP="00CC3B18">
            <w:pPr>
              <w:rPr>
                <w:b/>
                <w:sz w:val="20"/>
              </w:rPr>
            </w:pPr>
            <w:r w:rsidRPr="00140533">
              <w:rPr>
                <w:b/>
                <w:sz w:val="20"/>
              </w:rPr>
              <w:t>Pozitívne</w:t>
            </w:r>
          </w:p>
        </w:tc>
        <w:sdt>
          <w:sdtPr>
            <w:rPr>
              <w:b/>
              <w:sz w:val="20"/>
            </w:rPr>
            <w:id w:val="-220295070"/>
            <w14:checkbox>
              <w14:checked w14:val="0"/>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133" w:type="dxa"/>
            <w:tcBorders>
              <w:top w:val="nil"/>
              <w:left w:val="nil"/>
              <w:bottom w:val="single" w:sz="4" w:space="0" w:color="auto"/>
              <w:right w:val="nil"/>
            </w:tcBorders>
            <w:shd w:val="clear" w:color="auto" w:fill="auto"/>
          </w:tcPr>
          <w:p w:rsidR="00957139" w:rsidRPr="00140533" w:rsidRDefault="00957139" w:rsidP="00CC3B18">
            <w:pPr>
              <w:rPr>
                <w:b/>
                <w:sz w:val="20"/>
              </w:rPr>
            </w:pPr>
            <w:r w:rsidRPr="00140533">
              <w:rPr>
                <w:b/>
                <w:sz w:val="20"/>
              </w:rPr>
              <w:t>Žiadne</w:t>
            </w:r>
          </w:p>
        </w:tc>
        <w:sdt>
          <w:sdtPr>
            <w:rPr>
              <w:b/>
              <w:sz w:val="20"/>
            </w:rPr>
            <w:id w:val="-229854382"/>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rsidR="00957139" w:rsidRPr="006B155A" w:rsidRDefault="00957139" w:rsidP="005C7118">
                <w:pPr>
                  <w:jc w:val="center"/>
                  <w:rPr>
                    <w:b/>
                    <w:sz w:val="20"/>
                  </w:rPr>
                </w:pPr>
                <w:r w:rsidRPr="006B155A">
                  <w:rPr>
                    <w:rFonts w:ascii="MS Gothic" w:eastAsia="MS Gothic" w:hAnsi="MS Gothic" w:hint="eastAsia"/>
                    <w:b/>
                    <w:sz w:val="20"/>
                  </w:rPr>
                  <w:t>☐</w:t>
                </w:r>
              </w:p>
            </w:tc>
          </w:sdtContent>
        </w:sdt>
        <w:tc>
          <w:tcPr>
            <w:tcW w:w="1297" w:type="dxa"/>
            <w:tcBorders>
              <w:top w:val="nil"/>
              <w:left w:val="nil"/>
              <w:bottom w:val="single" w:sz="4" w:space="0" w:color="auto"/>
              <w:right w:val="single" w:sz="4" w:space="0" w:color="auto"/>
            </w:tcBorders>
            <w:shd w:val="clear" w:color="auto" w:fill="auto"/>
          </w:tcPr>
          <w:p w:rsidR="00957139" w:rsidRPr="00140533" w:rsidRDefault="00957139" w:rsidP="00CC3B18">
            <w:pPr>
              <w:ind w:left="34"/>
              <w:rPr>
                <w:b/>
                <w:sz w:val="20"/>
              </w:rPr>
            </w:pPr>
            <w:r w:rsidRPr="00140533">
              <w:rPr>
                <w:b/>
                <w:sz w:val="20"/>
              </w:rPr>
              <w:t>Negatívne</w:t>
            </w:r>
          </w:p>
        </w:tc>
      </w:tr>
    </w:tbl>
    <w:p w:rsidR="00761780" w:rsidRDefault="00761780" w:rsidP="00761780">
      <w:pPr>
        <w:widowControl/>
        <w:adjustRightInd/>
        <w:spacing w:line="240" w:lineRule="auto"/>
        <w:jc w:val="left"/>
      </w:pPr>
    </w:p>
    <w:p w:rsidR="00761780" w:rsidRDefault="00761780" w:rsidP="00761780">
      <w:pPr>
        <w:widowControl/>
        <w:adjustRightInd/>
        <w:spacing w:line="240" w:lineRule="auto"/>
      </w:pPr>
      <w:r>
        <w:t>V prípade identifikovaných vplyvov sú súčasťou riadneho predbežného stanoviska príslušné analýzy vplyvov vypracované v súlade s Jednotnou metodikou na posudzovanie vybraných vplyvov.“</w:t>
      </w:r>
    </w:p>
    <w:p w:rsidR="00761780" w:rsidRDefault="00761780" w:rsidP="00761780">
      <w:pPr>
        <w:widowControl/>
        <w:adjustRightInd/>
        <w:spacing w:line="240" w:lineRule="auto"/>
        <w:jc w:val="left"/>
      </w:pPr>
    </w:p>
    <w:sectPr w:rsidR="00761780" w:rsidSect="00033F71">
      <w:footerReference w:type="default" r:id="rId12"/>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8F" w:rsidRDefault="0085488F">
      <w:r>
        <w:separator/>
      </w:r>
    </w:p>
  </w:endnote>
  <w:endnote w:type="continuationSeparator" w:id="0">
    <w:p w:rsidR="0085488F" w:rsidRDefault="0085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oronto">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71" w:rsidRDefault="00033F71">
    <w:pPr>
      <w:pStyle w:val="Pta"/>
      <w:jc w:val="right"/>
    </w:pPr>
    <w:r>
      <w:fldChar w:fldCharType="begin"/>
    </w:r>
    <w:r>
      <w:instrText>PAGE   \* MERGEFORMAT</w:instrText>
    </w:r>
    <w:r>
      <w:fldChar w:fldCharType="separate"/>
    </w:r>
    <w:r w:rsidR="00B739D6">
      <w:rPr>
        <w:noProof/>
      </w:rPr>
      <w:t>2</w:t>
    </w:r>
    <w:r>
      <w:fldChar w:fldCharType="end"/>
    </w:r>
  </w:p>
  <w:p w:rsidR="009C2704" w:rsidRPr="00DA3A35" w:rsidRDefault="009C2704" w:rsidP="00F15ABC">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8F" w:rsidRDefault="0085488F">
      <w:r>
        <w:separator/>
      </w:r>
    </w:p>
  </w:footnote>
  <w:footnote w:type="continuationSeparator" w:id="0">
    <w:p w:rsidR="0085488F" w:rsidRDefault="00854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7">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4">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1">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2">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4">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97D0001"/>
    <w:multiLevelType w:val="singleLevel"/>
    <w:tmpl w:val="0405000F"/>
    <w:lvl w:ilvl="0">
      <w:start w:val="1"/>
      <w:numFmt w:val="decimal"/>
      <w:pStyle w:val="Heading2lohaKomu"/>
      <w:lvlText w:val="%1."/>
      <w:lvlJc w:val="left"/>
      <w:pPr>
        <w:tabs>
          <w:tab w:val="num" w:pos="720"/>
        </w:tabs>
        <w:ind w:left="720" w:hanging="360"/>
      </w:pPr>
    </w:lvl>
  </w:abstractNum>
  <w:abstractNum w:abstractNumId="26">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5"/>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4"/>
  </w:num>
  <w:num w:numId="12">
    <w:abstractNumId w:val="8"/>
  </w:num>
  <w:num w:numId="13">
    <w:abstractNumId w:val="16"/>
  </w:num>
  <w:num w:numId="14">
    <w:abstractNumId w:val="3"/>
  </w:num>
  <w:num w:numId="15">
    <w:abstractNumId w:val="11"/>
  </w:num>
  <w:num w:numId="16">
    <w:abstractNumId w:val="14"/>
  </w:num>
  <w:num w:numId="17">
    <w:abstractNumId w:val="26"/>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533"/>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422"/>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5CC9"/>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249"/>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0D7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39B"/>
    <w:rsid w:val="005706E8"/>
    <w:rsid w:val="0057070D"/>
    <w:rsid w:val="00571561"/>
    <w:rsid w:val="005716CF"/>
    <w:rsid w:val="005719C5"/>
    <w:rsid w:val="00571C5C"/>
    <w:rsid w:val="005721C7"/>
    <w:rsid w:val="00572A7B"/>
    <w:rsid w:val="00572D06"/>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BAE"/>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930"/>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4D7"/>
    <w:rsid w:val="006A66CF"/>
    <w:rsid w:val="006A67EA"/>
    <w:rsid w:val="006A7458"/>
    <w:rsid w:val="006A7705"/>
    <w:rsid w:val="006A7AC4"/>
    <w:rsid w:val="006A7FBD"/>
    <w:rsid w:val="006B0889"/>
    <w:rsid w:val="006B0980"/>
    <w:rsid w:val="006B0F22"/>
    <w:rsid w:val="006B155A"/>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3D61"/>
    <w:rsid w:val="007D40CD"/>
    <w:rsid w:val="007D41F2"/>
    <w:rsid w:val="007D4C2B"/>
    <w:rsid w:val="007D4D6C"/>
    <w:rsid w:val="007D529E"/>
    <w:rsid w:val="007D5AB5"/>
    <w:rsid w:val="007D5AB6"/>
    <w:rsid w:val="007D6751"/>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BB4"/>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88F"/>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2F3D"/>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139"/>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3E3"/>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9D6"/>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2B52"/>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18"/>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2D4A"/>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B3E"/>
    <w:rsid w:val="00E85DBE"/>
    <w:rsid w:val="00E86573"/>
    <w:rsid w:val="00E86682"/>
    <w:rsid w:val="00E8674A"/>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5FB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27B2F"/>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Textzstupnhosymbolu1">
    <w:name w:val="Text zástupného symbolu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0">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styleId="Textzstupnhosymbolu">
    <w:name w:val="Placeholder Text"/>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Textzstupnhosymbolu1">
    <w:name w:val="Text zástupného symbolu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0">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styleId="Textzstupnhosymbolu">
    <w:name w:val="Placeholder Text"/>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E0B11-7074-4979-90B1-6E22985655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F5AFB7-03C0-479B-90E4-B57F71F264E5}">
  <ds:schemaRefs>
    <ds:schemaRef ds:uri="http://schemas.microsoft.com/sharepoint/v3/contenttype/forms"/>
  </ds:schemaRefs>
</ds:datastoreItem>
</file>

<file path=customXml/itemProps3.xml><?xml version="1.0" encoding="utf-8"?>
<ds:datastoreItem xmlns:ds="http://schemas.openxmlformats.org/officeDocument/2006/customXml" ds:itemID="{79A7E76C-EBC5-400E-AE55-28EBC2299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4BAB328-24A1-4467-9FA8-17D3413A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345</Words>
  <Characters>1968</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Kovac2 Peter</cp:lastModifiedBy>
  <cp:revision>10</cp:revision>
  <cp:lastPrinted>2016-02-22T11:58:00Z</cp:lastPrinted>
  <dcterms:created xsi:type="dcterms:W3CDTF">2016-07-22T11:08:00Z</dcterms:created>
  <dcterms:modified xsi:type="dcterms:W3CDTF">2017-02-07T13:13:00Z</dcterms:modified>
</cp:coreProperties>
</file>