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FC2B55" w:rsidRPr="00FC2B55" w:rsidTr="000800FC">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FC2B55">
              <w:rPr>
                <w:rFonts w:ascii="Times New Roman" w:eastAsia="Times New Roman" w:hAnsi="Times New Roman" w:cs="Times New Roman"/>
                <w:b/>
                <w:bCs/>
                <w:sz w:val="28"/>
                <w:szCs w:val="28"/>
                <w:lang w:eastAsia="sk-SK"/>
              </w:rPr>
              <w:t>Analýza vplyvov na informatizáciu spoločnosti</w:t>
            </w:r>
          </w:p>
          <w:p w:rsidR="00FC2B55" w:rsidRPr="00FC2B55" w:rsidRDefault="00FC2B55" w:rsidP="00FC2B55">
            <w:pPr>
              <w:spacing w:after="0" w:line="240" w:lineRule="auto"/>
              <w:jc w:val="center"/>
              <w:rPr>
                <w:rFonts w:ascii="Times New Roman" w:eastAsia="Times New Roman" w:hAnsi="Times New Roman" w:cs="Times New Roman"/>
                <w:b/>
                <w:i/>
                <w:iCs/>
                <w:sz w:val="2"/>
                <w:lang w:eastAsia="sk-SK"/>
              </w:rPr>
            </w:pPr>
          </w:p>
        </w:tc>
      </w:tr>
      <w:tr w:rsidR="00FC2B55" w:rsidRPr="00FC2B55" w:rsidTr="000800FC">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FC2B55" w:rsidRPr="00FC2B55" w:rsidTr="000800FC">
        <w:trPr>
          <w:trHeight w:val="681"/>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FC2B55" w:rsidRPr="00FC2B55" w:rsidRDefault="00FC2B55" w:rsidP="00FC2B55">
            <w:pPr>
              <w:spacing w:after="0" w:line="240" w:lineRule="auto"/>
              <w:jc w:val="center"/>
              <w:rPr>
                <w:rFonts w:ascii="Times New Roman" w:eastAsia="Times New Roman" w:hAnsi="Times New Roman" w:cs="Times New Roman"/>
                <w:b/>
                <w:lang w:eastAsia="sk-SK"/>
              </w:rPr>
            </w:pPr>
          </w:p>
        </w:tc>
        <w:tc>
          <w:tcPr>
            <w:tcW w:w="1134" w:type="dxa"/>
          </w:tcPr>
          <w:p w:rsidR="00FC2B55" w:rsidRPr="00FC2B55" w:rsidRDefault="00FC2B55" w:rsidP="00FC2B55">
            <w:pPr>
              <w:spacing w:after="0" w:line="240" w:lineRule="auto"/>
              <w:jc w:val="center"/>
              <w:rPr>
                <w:rFonts w:ascii="Times New Roman" w:eastAsia="Times New Roman" w:hAnsi="Times New Roman" w:cs="Times New Roman"/>
                <w:b/>
                <w:lang w:eastAsia="sk-SK"/>
              </w:rPr>
            </w:pPr>
          </w:p>
        </w:tc>
        <w:tc>
          <w:tcPr>
            <w:tcW w:w="1276" w:type="dxa"/>
            <w:gridSpan w:val="2"/>
          </w:tcPr>
          <w:p w:rsidR="00FC2B55" w:rsidRPr="00FC2B55" w:rsidRDefault="00FC2B55" w:rsidP="00FC2B55">
            <w:pPr>
              <w:spacing w:after="0" w:line="240" w:lineRule="auto"/>
              <w:jc w:val="both"/>
              <w:rPr>
                <w:rFonts w:ascii="Times New Roman" w:eastAsia="Times New Roman" w:hAnsi="Times New Roman" w:cs="Times New Roman"/>
                <w:b/>
                <w:lang w:eastAsia="sk-SK"/>
              </w:rPr>
            </w:pPr>
          </w:p>
        </w:tc>
        <w:tc>
          <w:tcPr>
            <w:tcW w:w="1559" w:type="dxa"/>
          </w:tcPr>
          <w:p w:rsidR="00FC2B55" w:rsidRPr="00FC2B55" w:rsidRDefault="00FC2B55" w:rsidP="00FC2B55">
            <w:pPr>
              <w:spacing w:after="0" w:line="240" w:lineRule="auto"/>
              <w:rPr>
                <w:rFonts w:ascii="Times New Roman" w:eastAsia="Times New Roman" w:hAnsi="Times New Roman" w:cs="Times New Roman"/>
                <w:b/>
                <w:i/>
                <w:lang w:eastAsia="sk-SK"/>
              </w:rPr>
            </w:pPr>
          </w:p>
        </w:tc>
      </w:tr>
      <w:tr w:rsidR="00FC2B55" w:rsidRPr="00FC2B55" w:rsidTr="000800FC">
        <w:trPr>
          <w:trHeight w:val="20"/>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134"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276" w:type="dxa"/>
            <w:gridSpan w:val="2"/>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55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3956" w:type="dxa"/>
            <w:shd w:val="clear" w:color="auto" w:fill="BFBFBF"/>
            <w:vAlign w:val="center"/>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FC2B55" w:rsidRPr="00FC2B55" w:rsidRDefault="00FC2B55" w:rsidP="00FC2B55">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984" w:type="dxa"/>
            <w:gridSpan w:val="2"/>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FC2B55" w:rsidRPr="00FC2B55" w:rsidTr="000800FC">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e-Governmente alebo ak je použitie zákona o e-Governmente vylúčené, uveďte čoho sa to týka a z akého dôvodu.)</w:t>
            </w:r>
          </w:p>
        </w:tc>
      </w:tr>
      <w:tr w:rsidR="00FC2B55" w:rsidRPr="00FC2B55" w:rsidTr="000800FC">
        <w:trPr>
          <w:trHeight w:val="20"/>
        </w:trPr>
        <w:tc>
          <w:tcPr>
            <w:tcW w:w="9371" w:type="dxa"/>
            <w:gridSpan w:val="6"/>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údaje ide a v akom konaní.)</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w:t>
            </w:r>
            <w:r w:rsidRPr="00FC2B55">
              <w:rPr>
                <w:rFonts w:ascii="Times New Roman" w:eastAsia="Times New Roman" w:hAnsi="Times New Roman" w:cs="Times New Roman"/>
                <w:sz w:val="20"/>
                <w:lang w:eastAsia="sk-SK"/>
              </w:rPr>
              <w:lastRenderedPageBreak/>
              <w:t xml:space="preserve">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akým spôsobom budú údaje v konaní predkladané/preukazované. Ak sa vyžaduje </w:t>
            </w:r>
            <w:r w:rsidRPr="00FC2B55">
              <w:rPr>
                <w:rFonts w:ascii="Times New Roman" w:eastAsia="Times New Roman" w:hAnsi="Times New Roman" w:cs="Times New Roman"/>
                <w:i/>
                <w:iCs/>
                <w:sz w:val="20"/>
                <w:lang w:eastAsia="sk-SK"/>
              </w:rPr>
              <w:lastRenderedPageBreak/>
              <w:t>predloženie účastníkom konania, uveďte dôvod.)</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43976750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FC2B55" w:rsidRPr="00FC2B55" w:rsidTr="000800FC">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FC2B55" w:rsidRPr="00FC2B55" w:rsidTr="000800FC">
        <w:trPr>
          <w:trHeight w:val="20"/>
        </w:trPr>
        <w:tc>
          <w:tcPr>
            <w:tcW w:w="9371" w:type="dxa"/>
            <w:gridSpan w:val="6"/>
            <w:shd w:val="clear" w:color="auto" w:fill="A6A6A6"/>
          </w:tcPr>
          <w:p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5985797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C2B55" w:rsidRPr="00FC2B55" w:rsidRDefault="00FC2B55" w:rsidP="00FC2B55">
      <w:pPr>
        <w:rPr>
          <w:rFonts w:ascii="Times New Roman" w:eastAsia="Calibri" w:hAnsi="Times New Roman" w:cs="Times New Roman"/>
          <w:b/>
          <w:bCs/>
          <w:color w:val="000000"/>
          <w:sz w:val="28"/>
          <w:szCs w:val="28"/>
        </w:rPr>
      </w:pPr>
      <w:r w:rsidRPr="00FC2B55">
        <w:rPr>
          <w:rFonts w:ascii="Times New Roman" w:eastAsia="Calibri" w:hAnsi="Times New Roman" w:cs="Times New Roman"/>
          <w:b/>
          <w:bCs/>
          <w:color w:val="000000"/>
          <w:sz w:val="28"/>
          <w:szCs w:val="28"/>
        </w:rPr>
        <w:br w:type="page"/>
      </w:r>
    </w:p>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FC2B55">
        <w:rPr>
          <w:rFonts w:ascii="Times New Roman" w:eastAsia="Calibri" w:hAnsi="Times New Roman" w:cs="Times New Roman"/>
          <w:b/>
          <w:bCs/>
          <w:color w:val="000000"/>
          <w:sz w:val="28"/>
          <w:szCs w:val="28"/>
        </w:rPr>
        <w:lastRenderedPageBreak/>
        <w:t xml:space="preserve">Metodický postup pre analýzu vplyvov na informatizáciu </w:t>
      </w:r>
    </w:p>
    <w:p w:rsidR="00FC2B55" w:rsidRPr="00FC2B55" w:rsidRDefault="00FC2B55" w:rsidP="00FC2B55">
      <w:pPr>
        <w:autoSpaceDE w:val="0"/>
        <w:autoSpaceDN w:val="0"/>
        <w:adjustRightInd w:val="0"/>
        <w:spacing w:after="0" w:line="240" w:lineRule="auto"/>
        <w:rPr>
          <w:rFonts w:ascii="Times New Roman" w:eastAsia="Calibri" w:hAnsi="Times New Roman" w:cs="Times New Roman"/>
          <w:color w:val="000000"/>
          <w:sz w:val="24"/>
          <w:szCs w:val="24"/>
        </w:rPr>
      </w:pPr>
    </w:p>
    <w:p w:rsidR="00FC2B55" w:rsidRPr="00FC2B55" w:rsidRDefault="00FC2B55" w:rsidP="00FC2B55">
      <w:pPr>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Predkladateľ pri vypracovávaní doložky v časti týkajúcej sa vplyvov na informatizáciu spoločnosti identifikuje vplyvy na základné piliere informatizácie (biznis vrstvu, aplikačnú a technologickú infraštruktúru a ich financovanie) a vplyvy na prístup k elektronickým službám a znižovanie byrokratického zaťaženia pri elektronickej komunikácii s orgánmi verejnej moci.  Uvedené oblasti predstavujú v zmysle zákona č. 95/2019 Z.z. o ITVS a v zmysle Národnej koncepcie informatizácie verejnej správy posúdenie vplyvov na informačné technológie. </w:t>
      </w:r>
    </w:p>
    <w:p w:rsidR="00FC2B55" w:rsidRPr="00FC2B55" w:rsidRDefault="00FC2B55" w:rsidP="00FC2B55">
      <w:pPr>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Informačnou technológiou  je prostriedok alebo postup, ktorý slúži na spracúvanie údajov alebo informácií v elektronickej podobe, najmä informačný systém, infraštruktúra, informačná činnosť a elektronické služby.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Analýza vplyvov sa v prvej časti (piliere informatizácie a ich financovanie) zameriava na informačný systém ako funkčný celok zabezpečujúci cieľavedomú a systematickú informačnú činnosť prostredníctvom technických prostriedkov a programových prostriedkov. Informačná technológia verejnej správy v pôsobnosti správcu podporuje služby verejnej správy a vzťahuje sa na údaje, procesné postupy, personálne zabezpečenie a organizačné zabezpečenie, ak tvoria funkčný celok alebo ak samy o sebe slúžia na spracúvanie údajov alebo informácií v elektronickej podobe. Preto sa analýza vplyvov zameriava na koncové služby, ktoré poskytuje inštitúcia verejnej správy občanovi alebo podnikateľovi, ako súčasti referenčnej architektúry integrovaného informačného systému verejnej správy.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V druhej časti sa sústreďuje na podmienky, za ktorých je občanom a podnikateľom elektronická služba dostupná a na spôsob, akým orgány verejnej moci využívajú výmenu údajov, ktorými disponujú, na zníženie byrokratickej záťaže pre občanov a podnikateľov. V tejto časti sa sleduje najmä využívanie už existujúcich nástrojov.</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FC2B55">
        <w:rPr>
          <w:rFonts w:ascii="Times New Roman" w:eastAsia="Calibri" w:hAnsi="Times New Roman" w:cs="Times New Roman"/>
          <w:b/>
          <w:color w:val="000000"/>
          <w:sz w:val="26"/>
          <w:szCs w:val="26"/>
        </w:rPr>
        <w:t>Budovanie základných pilierov informatizácie</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
          <w:bCs/>
          <w:color w:val="000000"/>
          <w:sz w:val="24"/>
          <w:szCs w:val="24"/>
          <w:u w:val="single"/>
        </w:rPr>
        <w:t xml:space="preserve">Pilier I.: Biznis vrstva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V rámci tohto piliera sa hodnotí, či predmetný návrh má vplyv na inovácie a zlepšenie existujúcich služieb, t.j.  zmeny koncových služieb, ako aj zavádzanie nových elektronických služieb verejnej správy.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color w:val="000000"/>
          <w:sz w:val="24"/>
          <w:szCs w:val="24"/>
        </w:rPr>
        <w:t>Koncovou službou verejnej správy je  komunikácia občana alebo podnikateľa s inštitúciou verejnej správy pri vybavovaní podaní, oznámení, prístupe k informáciám a ich poskytovaní, alebo účasti verejnosti na správe verejných vecí. Pre zavádzanie novej koncovej služby verejnej správy je charakteristické jej poskytovanie všetkým dotknutým subjektom, pričom sa požaduje včasnosť, transparentnosť a efektívnosť poskytovania tejto služby a zohľadnenie komplexnosti spoločenských interakcií.</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Podľa § 12 ods. 1 písm. b) zákona č. 95/2019 Z. z. o informačných technológiách vo verejnej správe a o zmene a doplnení niektorých zákonov v platnom znení sú správcovia informačných technológií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webovej stránke Ministerstva investícií regionálneho rozvoja a informatizácie Slovenskej republiky (ďalej len „MIRRI SR“).</w:t>
      </w:r>
      <w:bookmarkStart w:id="1" w:name="_Ref12973993"/>
      <w:r w:rsidRPr="00FC2B55">
        <w:rPr>
          <w:rFonts w:ascii="Times New Roman" w:eastAsia="Calibri" w:hAnsi="Times New Roman" w:cs="Times New Roman"/>
          <w:bCs/>
          <w:sz w:val="20"/>
          <w:szCs w:val="20"/>
          <w:vertAlign w:val="superscript"/>
          <w:lang w:eastAsia="sk-SK"/>
        </w:rPr>
        <w:footnoteReference w:id="1"/>
      </w:r>
      <w:bookmarkEnd w:id="1"/>
      <w:r w:rsidRPr="00FC2B55">
        <w:rPr>
          <w:rFonts w:ascii="Times New Roman" w:eastAsia="Calibri" w:hAnsi="Times New Roman" w:cs="Times New Roman"/>
          <w:bCs/>
          <w:color w:val="000000"/>
          <w:sz w:val="24"/>
          <w:szCs w:val="24"/>
        </w:rPr>
        <w:t xml:space="preserve"> </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Zoznam hlavných kontaktných osôb určených na prístup do MetaIS za jednotlivé inštitúcie  verejnej správy sa nachádza na webovej stránke MIRRI SR.</w:t>
      </w:r>
      <w:r w:rsidRPr="00FC2B55">
        <w:rPr>
          <w:rFonts w:ascii="Times New Roman" w:eastAsia="Calibri" w:hAnsi="Times New Roman" w:cs="Times New Roman"/>
          <w:bCs/>
          <w:sz w:val="20"/>
          <w:szCs w:val="20"/>
          <w:vertAlign w:val="superscript"/>
          <w:lang w:eastAsia="sk-SK"/>
        </w:rPr>
        <w:footnoteReference w:id="2"/>
      </w:r>
      <w:r w:rsidRPr="00FC2B55">
        <w:rPr>
          <w:rFonts w:ascii="Times New Roman" w:eastAsia="Calibri" w:hAnsi="Times New Roman" w:cs="Times New Roman"/>
          <w:bCs/>
          <w:color w:val="000000"/>
          <w:sz w:val="24"/>
          <w:szCs w:val="24"/>
        </w:rPr>
        <w:t xml:space="preserve">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Cs/>
          <w:color w:val="000000"/>
          <w:sz w:val="24"/>
          <w:szCs w:val="24"/>
        </w:rPr>
        <w:t>Úrovne elektronizácie elektronických služieb verejnej správy môžu nadobúdať hodnoty od 0 do 5</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color w:val="000000"/>
          <w:sz w:val="24"/>
          <w:szCs w:val="24"/>
          <w:vertAlign w:val="superscript"/>
        </w:rPr>
        <w:footnoteReference w:id="3"/>
      </w:r>
      <w:r w:rsidRPr="00FC2B55">
        <w:rPr>
          <w:rFonts w:ascii="Times New Roman" w:eastAsia="Calibri" w:hAnsi="Times New Roman" w:cs="Times New Roman"/>
          <w:color w:val="000000"/>
          <w:sz w:val="24"/>
          <w:szCs w:val="24"/>
        </w:rPr>
        <w:t>:</w:t>
      </w:r>
    </w:p>
    <w:p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0, pri ktorej informácia o službe a ani služba nie je on-line elektronicky dostupná,</w:t>
      </w:r>
    </w:p>
    <w:p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1, pri ktorej je informácia, potrebná na začatie alebo vykonanie služby, dostupná v elektronickej podobe, najmä informácia o mieste, čase, spôsobe a podmienkach vybavenia služby, pričom samotná služba nie je elektronicky poskytnutá, ani nie je poskytnutý príslušný formulár v elektronickej podobe,</w:t>
      </w:r>
    </w:p>
    <w:p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2,  pri  ktorej  je možné stiahnuť príslušný formulár v elektronickej podobe, ale podanie sa nevykonáva elektronickými prostriedkami,</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úroveň 3,  pri ktorej prebieha vybavovanie služby elektronicky, avšak pri preberaní výsledku služby sa vyžaduje osobný alebo listinný kontakt,</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 xml:space="preserve">úroveň 4, ktorá umožňuje úplné vybavenie služby elektronickými prostriedkami, najmä vybavenie on-line, a to vrátane rozhodnutia, zaplatenia a doručenia, ak sa vyžaduje; pri tejto úrovni sa vylučuje akýkoľvek osobný alebo listinný kontakt, </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úroveň 5, ktorá obsahuje funkčnosť úrovne 3 alebo úrovne 4, a pri ktorej sa naviac využívajú personalizované nastavenia používateľa a možnosť proaktívneho automatizovaného vykonávania častí služby.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Ak návrh predpokladá zmenu existujúcich koncových služieb verejnej správy alebo vytvorenie nových koncových služieb v zmysle uvedených definícií, predkladateľ to uvedie v analýze použitím písmen „A“ alebo „B“ vrátane názvu, kódu a úrovne elektronizácie elektronickej služby verejnej správy  podľa  koncových služieb z centrálneho metainformačného systému verejnej správy.</w:t>
      </w:r>
    </w:p>
    <w:p w:rsidR="00FC2B55" w:rsidRPr="00FC2B55" w:rsidRDefault="00FC2B55" w:rsidP="00FC2B55">
      <w:pPr>
        <w:autoSpaceDE w:val="0"/>
        <w:autoSpaceDN w:val="0"/>
        <w:adjustRightInd w:val="0"/>
        <w:spacing w:after="0" w:line="240" w:lineRule="auto"/>
        <w:jc w:val="both"/>
        <w:rPr>
          <w:rFonts w:ascii="Times New Roman" w:eastAsia="Times New Roman" w:hAnsi="Times New Roman" w:cs="Times New Roman"/>
          <w:iCs/>
          <w:sz w:val="24"/>
          <w:szCs w:val="24"/>
          <w:lang w:eastAsia="sk-SK"/>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 xml:space="preserve">Príklad č. 1: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dve </w:t>
      </w:r>
      <w:r w:rsidRPr="00FC2B55">
        <w:rPr>
          <w:rFonts w:ascii="Times New Roman" w:eastAsia="Calibri" w:hAnsi="Times New Roman" w:cs="Times New Roman"/>
          <w:b/>
          <w:color w:val="000000"/>
          <w:sz w:val="24"/>
          <w:szCs w:val="24"/>
        </w:rPr>
        <w:t>nové</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b/>
          <w:color w:val="000000"/>
          <w:sz w:val="24"/>
          <w:szCs w:val="24"/>
        </w:rPr>
        <w:t>koncové služby</w:t>
      </w:r>
      <w:r w:rsidRPr="00FC2B55">
        <w:rPr>
          <w:rFonts w:ascii="Times New Roman" w:eastAsia="Calibri" w:hAnsi="Times New Roman" w:cs="Times New Roman"/>
          <w:color w:val="000000"/>
          <w:sz w:val="24"/>
          <w:szCs w:val="24"/>
        </w:rPr>
        <w:t>, a to</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 „Povoľovanie verejných zbierok“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„Zverejňovanie údajov zapísaných v registri zbierok“.</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Nové koncové služby v zmysle platných predpisov musia byť zaevidované v MetaIS.</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6.1. vyplní </w:t>
      </w:r>
      <w:r w:rsidRPr="00FC2B55">
        <w:rPr>
          <w:rFonts w:ascii="Times New Roman" w:eastAsia="Calibri" w:hAnsi="Times New Roman" w:cs="Times New Roman"/>
          <w:color w:val="000000"/>
          <w:sz w:val="24"/>
          <w:szCs w:val="24"/>
        </w:rPr>
        <w:t xml:space="preserve">nasledovne: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342"/>
        <w:gridCol w:w="1701"/>
        <w:gridCol w:w="1276"/>
        <w:gridCol w:w="1777"/>
        <w:gridCol w:w="1483"/>
      </w:tblGrid>
      <w:tr w:rsidR="00FC2B55" w:rsidRPr="00FC2B55" w:rsidTr="000800FC">
        <w:trPr>
          <w:trHeight w:val="652"/>
        </w:trPr>
        <w:tc>
          <w:tcPr>
            <w:tcW w:w="3342"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701"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služby</w:t>
            </w:r>
          </w:p>
        </w:tc>
        <w:tc>
          <w:tcPr>
            <w:tcW w:w="127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služby z MetaIS</w:t>
            </w:r>
          </w:p>
        </w:tc>
        <w:tc>
          <w:tcPr>
            <w:tcW w:w="1777"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služby  z MetaIS</w:t>
            </w:r>
          </w:p>
        </w:tc>
        <w:tc>
          <w:tcPr>
            <w:tcW w:w="1483"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 z MetaIS</w:t>
            </w:r>
          </w:p>
        </w:tc>
      </w:tr>
      <w:tr w:rsidR="00FC2B55" w:rsidRPr="00FC2B55" w:rsidTr="000800FC">
        <w:trPr>
          <w:trHeight w:val="552"/>
        </w:trPr>
        <w:tc>
          <w:tcPr>
            <w:tcW w:w="3342" w:type="dxa"/>
            <w:vMerge w:val="restart"/>
          </w:tcPr>
          <w:p w:rsidR="00FC2B55" w:rsidRPr="00FC2B55" w:rsidRDefault="00FC2B55" w:rsidP="00FC2B55">
            <w:pPr>
              <w:spacing w:after="0" w:line="240" w:lineRule="auto"/>
              <w:jc w:val="both"/>
              <w:rPr>
                <w:rFonts w:ascii="Times New Roman" w:eastAsia="Times New Roman" w:hAnsi="Times New Roman" w:cs="Times New Roman"/>
                <w:b/>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701"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276"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ks_1134</w:t>
            </w:r>
          </w:p>
        </w:tc>
        <w:tc>
          <w:tcPr>
            <w:tcW w:w="1777"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 xml:space="preserve">Povoľovanie verejných zbierok </w:t>
            </w:r>
          </w:p>
        </w:tc>
        <w:tc>
          <w:tcPr>
            <w:tcW w:w="1483"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4</w:t>
            </w:r>
          </w:p>
        </w:tc>
      </w:tr>
      <w:tr w:rsidR="00FC2B55" w:rsidRPr="00FC2B55" w:rsidTr="000800FC">
        <w:trPr>
          <w:trHeight w:val="20"/>
        </w:trPr>
        <w:tc>
          <w:tcPr>
            <w:tcW w:w="3342" w:type="dxa"/>
            <w:vMerge/>
          </w:tcPr>
          <w:p w:rsidR="00FC2B55" w:rsidRPr="00FC2B55" w:rsidRDefault="00FC2B55" w:rsidP="00FC2B55">
            <w:pPr>
              <w:spacing w:after="0" w:line="240" w:lineRule="auto"/>
              <w:jc w:val="both"/>
              <w:rPr>
                <w:rFonts w:ascii="Times New Roman" w:eastAsia="Times New Roman" w:hAnsi="Times New Roman" w:cs="Times New Roman"/>
                <w:b/>
                <w:lang w:eastAsia="sk-SK"/>
              </w:rPr>
            </w:pPr>
          </w:p>
        </w:tc>
        <w:tc>
          <w:tcPr>
            <w:tcW w:w="1701"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276"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ks_1135</w:t>
            </w:r>
          </w:p>
        </w:tc>
        <w:tc>
          <w:tcPr>
            <w:tcW w:w="1777"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Zverejňovanie údajov zapísaných v registri zbierok</w:t>
            </w:r>
          </w:p>
        </w:tc>
        <w:tc>
          <w:tcPr>
            <w:tcW w:w="1483"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     </w:t>
            </w: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4</w:t>
            </w:r>
          </w:p>
        </w:tc>
      </w:tr>
    </w:tbl>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 xml:space="preserve">Príklad č. 2: </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predpokladá </w:t>
      </w:r>
      <w:r w:rsidRPr="00FC2B55">
        <w:rPr>
          <w:rFonts w:ascii="Times New Roman" w:eastAsia="Calibri" w:hAnsi="Times New Roman" w:cs="Times New Roman"/>
          <w:b/>
          <w:color w:val="000000"/>
          <w:sz w:val="24"/>
          <w:szCs w:val="24"/>
        </w:rPr>
        <w:t>zmenu existujúcej koncovej služby</w:t>
      </w:r>
      <w:r w:rsidRPr="00FC2B55">
        <w:rPr>
          <w:rFonts w:ascii="Times New Roman" w:eastAsia="Calibri" w:hAnsi="Times New Roman" w:cs="Times New Roman"/>
          <w:color w:val="000000"/>
          <w:sz w:val="24"/>
          <w:szCs w:val="24"/>
        </w:rPr>
        <w:t xml:space="preserve">   „Povoľovanie verejných zbierok“:</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Pôvodná elektronická služba neumožňovala elektronické vyplnenie a podanie žiadosti, ale iba stiahnutie formuláru  žiadosti a jeho vytlačenie, ktorý sa vypĺňal ručne a posielal poštou, t. j. </w:t>
      </w:r>
      <w:r w:rsidRPr="00FC2B55">
        <w:rPr>
          <w:rFonts w:ascii="Times New Roman" w:eastAsia="Calibri" w:hAnsi="Times New Roman" w:cs="Times New Roman"/>
          <w:sz w:val="24"/>
          <w:szCs w:val="24"/>
        </w:rPr>
        <w:t>úroveň elektronizácie služby 2.</w:t>
      </w:r>
    </w:p>
    <w:p w:rsidR="00FC2B55" w:rsidRPr="00FC2B55" w:rsidRDefault="00FC2B55" w:rsidP="00FC2B55">
      <w:pPr>
        <w:spacing w:after="0" w:line="240" w:lineRule="auto"/>
        <w:jc w:val="both"/>
        <w:rPr>
          <w:rFonts w:ascii="Times New Roman" w:eastAsia="Times New Roman" w:hAnsi="Times New Roman" w:cs="Times New Roman"/>
          <w:sz w:val="20"/>
          <w:szCs w:val="20"/>
          <w:lang w:eastAsia="sk-SK"/>
        </w:rPr>
      </w:pPr>
      <w:r w:rsidRPr="00FC2B55">
        <w:rPr>
          <w:rFonts w:ascii="Times New Roman" w:eastAsia="Calibri" w:hAnsi="Times New Roman" w:cs="Times New Roman"/>
          <w:sz w:val="24"/>
          <w:szCs w:val="24"/>
        </w:rPr>
        <w:t xml:space="preserve">Návrh zákona umožní </w:t>
      </w:r>
      <w:r w:rsidRPr="00FC2B55">
        <w:rPr>
          <w:rFonts w:ascii="Times New Roman" w:eastAsia="Calibri" w:hAnsi="Times New Roman" w:cs="Times New Roman"/>
          <w:color w:val="000000"/>
          <w:sz w:val="24"/>
          <w:szCs w:val="24"/>
        </w:rPr>
        <w:t xml:space="preserve">elektronické podanie žiadosti a elektronické vydanie rozhodnutia o zápise zbierky do registra zbierok, z čoho vyplýva  zmena doterajšej úrovne elektronizácie koncovej služby z úrovne 1 na cieľovú úroveň elektronizácie 4.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takom prípade správca vytvorí novú koncovú službu s novým kódom, s rovnakým názvom, s fázou životného cyklu „plánovaná“. Po nasadení novej koncovej služby do prevádzky bude pôvodná koncová služba zneplatnená.</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6.1. vyplní </w:t>
      </w:r>
      <w:r w:rsidRPr="00FC2B55">
        <w:rPr>
          <w:rFonts w:ascii="Times New Roman" w:eastAsia="Calibri" w:hAnsi="Times New Roman" w:cs="Times New Roman"/>
          <w:color w:val="000000"/>
          <w:sz w:val="24"/>
          <w:szCs w:val="24"/>
        </w:rPr>
        <w:t>nasledovne:</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484"/>
        <w:gridCol w:w="1776"/>
        <w:gridCol w:w="1276"/>
        <w:gridCol w:w="1559"/>
        <w:gridCol w:w="1626"/>
      </w:tblGrid>
      <w:tr w:rsidR="00FC2B55" w:rsidRPr="00FC2B55" w:rsidTr="000800FC">
        <w:trPr>
          <w:trHeight w:val="652"/>
        </w:trPr>
        <w:tc>
          <w:tcPr>
            <w:tcW w:w="3484"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Biznis vrstva </w:t>
            </w:r>
          </w:p>
        </w:tc>
        <w:tc>
          <w:tcPr>
            <w:tcW w:w="177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služby</w:t>
            </w:r>
          </w:p>
        </w:tc>
        <w:tc>
          <w:tcPr>
            <w:tcW w:w="127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služby z MetaIS</w:t>
            </w:r>
          </w:p>
        </w:tc>
        <w:tc>
          <w:tcPr>
            <w:tcW w:w="1559"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služby  z MetaIS</w:t>
            </w:r>
          </w:p>
        </w:tc>
        <w:tc>
          <w:tcPr>
            <w:tcW w:w="162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 z MetaIS</w:t>
            </w:r>
          </w:p>
        </w:tc>
      </w:tr>
      <w:tr w:rsidR="00FC2B55" w:rsidRPr="00FC2B55" w:rsidTr="000800FC">
        <w:trPr>
          <w:trHeight w:val="962"/>
        </w:trPr>
        <w:tc>
          <w:tcPr>
            <w:tcW w:w="3484" w:type="dxa"/>
          </w:tcPr>
          <w:p w:rsidR="00FC2B55" w:rsidRPr="00FC2B55" w:rsidRDefault="00FC2B55" w:rsidP="00FC2B55">
            <w:pPr>
              <w:spacing w:after="0" w:line="240" w:lineRule="auto"/>
              <w:jc w:val="both"/>
              <w:rPr>
                <w:rFonts w:ascii="Times New Roman" w:eastAsia="Times New Roman" w:hAnsi="Times New Roman" w:cs="Times New Roman"/>
                <w:b/>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776"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B</w:t>
            </w:r>
          </w:p>
        </w:tc>
        <w:tc>
          <w:tcPr>
            <w:tcW w:w="1276"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ks_1134 bude nahradená službou </w:t>
            </w: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 ks_337777</w:t>
            </w:r>
          </w:p>
        </w:tc>
        <w:tc>
          <w:tcPr>
            <w:tcW w:w="1559" w:type="dxa"/>
          </w:tcPr>
          <w:p w:rsidR="00FC2B55" w:rsidRPr="00FC2B55" w:rsidRDefault="00FC2B55" w:rsidP="00FC2B55">
            <w:pPr>
              <w:spacing w:after="0" w:line="240" w:lineRule="auto"/>
              <w:jc w:val="both"/>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 xml:space="preserve">Povoľovanie verejných zbierok </w:t>
            </w:r>
          </w:p>
        </w:tc>
        <w:tc>
          <w:tcPr>
            <w:tcW w:w="1626"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z 1 na  4</w:t>
            </w:r>
          </w:p>
        </w:tc>
      </w:tr>
    </w:tbl>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r w:rsidRPr="00FC2B55">
        <w:rPr>
          <w:rFonts w:ascii="Times New Roman" w:eastAsia="Calibri" w:hAnsi="Times New Roman" w:cs="Times New Roman"/>
          <w:b/>
          <w:bCs/>
          <w:color w:val="000000"/>
          <w:sz w:val="24"/>
          <w:szCs w:val="24"/>
          <w:u w:val="single"/>
        </w:rPr>
        <w:t>Pilier II.: Aplikačná a technologická vrstva</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rámci tohto piliera sa hodnotí, či predmetný návrh má vplyv na  rozširovanie, inovácie, vytvorenie a zavádzanie nových informačných systémov verejnej správy.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Informačným systémom sa podľa zákona o informačných technológiách verejnej správy rozumie funkčný celok zabezpečujúci cieľavedomú a systematickú informačnú činnosť prostredníctvom technických a programových prostriedkov. </w:t>
      </w:r>
      <w:r w:rsidRPr="00FC2B55">
        <w:rPr>
          <w:rFonts w:ascii="Times New Roman" w:eastAsia="Calibri" w:hAnsi="Times New Roman" w:cs="Times New Roman"/>
          <w:sz w:val="24"/>
          <w:szCs w:val="24"/>
        </w:rPr>
        <w:t>Informačným systémom verejnej správy je informačný systém v pôsobnosti správcu podporujúci služby verejnej správy, služby vo verejnom záujme alebo verejné služby.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Podľa </w:t>
      </w:r>
      <w:r w:rsidRPr="00FC2B55">
        <w:rPr>
          <w:rFonts w:ascii="Times New Roman" w:eastAsia="Times New Roman" w:hAnsi="Times New Roman" w:cs="Times New Roman"/>
          <w:sz w:val="24"/>
          <w:szCs w:val="24"/>
          <w:lang w:eastAsia="sk-SK"/>
        </w:rPr>
        <w:t>§ 12 ods. 1 písm. b)</w:t>
      </w:r>
      <w:r w:rsidRPr="00FC2B55">
        <w:rPr>
          <w:rFonts w:ascii="Times New Roman" w:eastAsia="Times New Roman" w:hAnsi="Times New Roman" w:cs="Times New Roman"/>
          <w:sz w:val="20"/>
          <w:szCs w:val="24"/>
          <w:lang w:eastAsia="sk-SK"/>
        </w:rPr>
        <w:t xml:space="preserve"> </w:t>
      </w:r>
      <w:r w:rsidRPr="00FC2B55">
        <w:rPr>
          <w:rFonts w:ascii="Times New Roman" w:eastAsia="Calibri" w:hAnsi="Times New Roman" w:cs="Times New Roman"/>
          <w:color w:val="000000"/>
          <w:sz w:val="24"/>
          <w:szCs w:val="24"/>
        </w:rPr>
        <w:t>zákona č. 95/2019 Z. z. o informačných technológiách vo verejnej správe a o zmene a doplnení niektorých zákonov v znení neskorších predpisov sú správcovia informačných technológií verejnej správy povinní bezodkladne sprístupňovať informácie o informačných technológiách verejnej správy, ktoré prevádzkujú, prostredníctvom MetaIS. Do tohto systému sa zapisujú nielen prevádzkované, ale aj plánované informačné technológie verejnej správy. Potrebné informácie je možné nájsť na webovej stránke MIRRI SR.</w:t>
      </w:r>
      <w:r w:rsidRPr="00FC2B55">
        <w:rPr>
          <w:rFonts w:ascii="Times New Roman" w:eastAsia="Calibri" w:hAnsi="Times New Roman" w:cs="Times New Roman"/>
          <w:color w:val="000000"/>
          <w:sz w:val="24"/>
          <w:szCs w:val="24"/>
          <w:vertAlign w:val="superscript"/>
        </w:rPr>
        <w:fldChar w:fldCharType="begin"/>
      </w:r>
      <w:r w:rsidRPr="00FC2B55">
        <w:rPr>
          <w:rFonts w:ascii="Times New Roman" w:eastAsia="Calibri" w:hAnsi="Times New Roman" w:cs="Times New Roman"/>
          <w:color w:val="000000"/>
          <w:sz w:val="24"/>
          <w:szCs w:val="24"/>
          <w:vertAlign w:val="superscript"/>
        </w:rPr>
        <w:instrText xml:space="preserve"> NOTEREF _Ref12973993 \h  \* MERGEFORMAT </w:instrText>
      </w:r>
      <w:r w:rsidRPr="00FC2B55">
        <w:rPr>
          <w:rFonts w:ascii="Times New Roman" w:eastAsia="Calibri" w:hAnsi="Times New Roman" w:cs="Times New Roman"/>
          <w:color w:val="000000"/>
          <w:sz w:val="24"/>
          <w:szCs w:val="24"/>
          <w:vertAlign w:val="superscript"/>
        </w:rPr>
      </w:r>
      <w:r w:rsidRPr="00FC2B55">
        <w:rPr>
          <w:rFonts w:ascii="Times New Roman" w:eastAsia="Calibri" w:hAnsi="Times New Roman" w:cs="Times New Roman"/>
          <w:color w:val="000000"/>
          <w:sz w:val="24"/>
          <w:szCs w:val="24"/>
          <w:vertAlign w:val="superscript"/>
        </w:rPr>
        <w:fldChar w:fldCharType="separate"/>
      </w:r>
      <w:r w:rsidR="00F422D4">
        <w:rPr>
          <w:rFonts w:ascii="Times New Roman" w:eastAsia="Calibri" w:hAnsi="Times New Roman" w:cs="Times New Roman"/>
          <w:color w:val="000000"/>
          <w:sz w:val="24"/>
          <w:szCs w:val="24"/>
          <w:vertAlign w:val="superscript"/>
        </w:rPr>
        <w:t>1</w:t>
      </w:r>
      <w:r w:rsidRPr="00FC2B55">
        <w:rPr>
          <w:rFonts w:ascii="Times New Roman" w:eastAsia="Calibri" w:hAnsi="Times New Roman" w:cs="Times New Roman"/>
          <w:color w:val="000000"/>
          <w:sz w:val="24"/>
          <w:szCs w:val="24"/>
          <w:vertAlign w:val="superscript"/>
        </w:rPr>
        <w:fldChar w:fldCharType="end"/>
      </w:r>
      <w:r w:rsidRPr="00FC2B55">
        <w:rPr>
          <w:rFonts w:ascii="Times New Roman" w:eastAsia="Calibri" w:hAnsi="Times New Roman" w:cs="Times New Roman"/>
          <w:color w:val="000000"/>
          <w:sz w:val="24"/>
          <w:szCs w:val="24"/>
          <w:vertAlign w:val="superscript"/>
        </w:rPr>
        <w:t xml:space="preserve">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Pod rozvojom informačného systému sa chápe jeho inovácia chápaná ako proces obnovy, zmeny vizuálneho stavu (redizajnu), optimalizácie vytvoreného informačného systému, technickej  zmeny, alebo rozšírenie, pridanie dátových modulov, využitie vládnych cloudových služieb typu Infraštruktúra ako služba - IaaS, platforma ako služba - PaaS, Softvér ako služba – SaaS, využitie  otvoreného softvéru, zavedenie open API, novej funkčnosti a vzájomné prepájanie informačných systémov na základe štandardov so zabezpečením interoperability. V rámci analýzy vplyvov na informatizáciu nie je potrebné posudzovať rozvoj, ktorého cieľom budú drobné zmeny a modifikácie funkcionalít.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Pre nový informačný systém je charakteristická jeho jedinečnosť, systémovosť, pričom tento je svojou podstatou unikátnym a jedinečným súborom</w:t>
      </w:r>
      <w:r w:rsidRPr="00FC2B55">
        <w:rPr>
          <w:rFonts w:ascii="Times New Roman" w:eastAsia="Calibri" w:hAnsi="Times New Roman" w:cs="Times New Roman"/>
          <w:i/>
          <w:color w:val="000000"/>
          <w:sz w:val="24"/>
          <w:szCs w:val="24"/>
        </w:rPr>
        <w:t xml:space="preserve"> </w:t>
      </w:r>
      <w:r w:rsidRPr="00FC2B55">
        <w:rPr>
          <w:rFonts w:ascii="Times New Roman" w:eastAsia="Calibri" w:hAnsi="Times New Roman" w:cs="Times New Roman"/>
          <w:color w:val="000000"/>
          <w:sz w:val="24"/>
          <w:szCs w:val="24"/>
        </w:rPr>
        <w:t xml:space="preserve">svojich činností, ktoré sa odlišujú od činností rutinných nielen svojím obsahom, ale aj cieľovým zameraním.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prípade, ak návrh materiálu obsahuje zmenu existujúceho alebo vytvorenie nového informačného systému verejnej správy, predkladateľ uvedie v analýze použitím písmen „A“ alebo „B“ vrátane kódu a názvu systému podľa MetaIS.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Pod integrovanou infraštruktúrou sa rozumie koordinovane budovaná a prevádzkovaná infraštruktúra, zabezpečujúca prevádzku informačných systémov verejnej správy v centralizovanej architektúre. Infraštruktúra musí byť dostupná a technologicky interoperabilná.</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rámci analýzy vplyvov na informatizáciu sa preto hodnotí, či </w:t>
      </w:r>
    </w:p>
    <w:p w:rsidR="00FC2B55" w:rsidRPr="00FC2B55" w:rsidRDefault="00FC2B55" w:rsidP="00FC2B55">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budovaný informačný systém verejnej správy bude vyvíjaný a prevádzkovaný vo vládnom cloude alebo </w:t>
      </w:r>
    </w:p>
    <w:p w:rsidR="00FC2B55" w:rsidRPr="00FC2B55" w:rsidRDefault="00FC2B55" w:rsidP="00FC2B55">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inovovaný informačný systém je prevádzkovaný vo vládnom cloude, a ak nie, či bude migrovaný do vládneho cloudu.</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Príklad č. 1:</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predpokladá zavedenie </w:t>
      </w:r>
      <w:r w:rsidRPr="00FC2B55">
        <w:rPr>
          <w:rFonts w:ascii="Times New Roman" w:eastAsia="Calibri" w:hAnsi="Times New Roman" w:cs="Times New Roman"/>
          <w:b/>
          <w:color w:val="000000"/>
          <w:sz w:val="24"/>
          <w:szCs w:val="24"/>
        </w:rPr>
        <w:t>nového</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b/>
          <w:color w:val="000000"/>
          <w:sz w:val="24"/>
          <w:szCs w:val="24"/>
        </w:rPr>
        <w:t>informačného systému</w:t>
      </w:r>
      <w:r w:rsidRPr="00FC2B55">
        <w:rPr>
          <w:rFonts w:ascii="Times New Roman" w:eastAsia="Calibri" w:hAnsi="Times New Roman" w:cs="Times New Roman"/>
          <w:color w:val="000000"/>
          <w:sz w:val="24"/>
          <w:szCs w:val="24"/>
        </w:rPr>
        <w:t xml:space="preserve"> verejnej správy, ktorým je „Register zbierok“. Nový informačný systém bude vyvíjaný a prevádzkovaný vo vládnom cloude. Nový informačný systém musí byť zaevidovaný v MetaIS.</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6.2. vyplní </w:t>
      </w:r>
      <w:r w:rsidRPr="00FC2B55">
        <w:rPr>
          <w:rFonts w:ascii="Times New Roman" w:eastAsia="Calibri" w:hAnsi="Times New Roman" w:cs="Times New Roman"/>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5245"/>
        <w:gridCol w:w="1134"/>
        <w:gridCol w:w="1134"/>
        <w:gridCol w:w="851"/>
        <w:gridCol w:w="1559"/>
      </w:tblGrid>
      <w:tr w:rsidR="00FC2B55" w:rsidRPr="00FC2B55" w:rsidTr="000800FC">
        <w:trPr>
          <w:trHeight w:val="20"/>
        </w:trPr>
        <w:tc>
          <w:tcPr>
            <w:tcW w:w="5245"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851"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rsidTr="000800FC">
        <w:trPr>
          <w:trHeight w:val="20"/>
        </w:trPr>
        <w:tc>
          <w:tcPr>
            <w:tcW w:w="5245"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isvs_5836</w:t>
            </w:r>
          </w:p>
        </w:tc>
        <w:tc>
          <w:tcPr>
            <w:tcW w:w="851"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Register zbierok   </w:t>
            </w:r>
          </w:p>
        </w:tc>
        <w:tc>
          <w:tcPr>
            <w:tcW w:w="1559"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áno</w:t>
            </w:r>
          </w:p>
        </w:tc>
      </w:tr>
    </w:tbl>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Príklad č. 2:</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mení informačný systém verejnej správy, ktorým je „Register zbierok“.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Plánovaná zmena informačného systému musí byť zaevidovaná v „popise cieľového stavu“ predmetného informačného systému, s výstižným popisom kľúčových vlastností, v MetaIS. Ďalej musí byť uvedené, či bude systém prevádzkovaný vo vládnom cloude: </w:t>
      </w:r>
    </w:p>
    <w:p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Alt. 1: Existujúci informačný systém bude migrovaný a následne prevádzkovaný vo vládnom cloude. </w:t>
      </w:r>
    </w:p>
    <w:p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Alt. 2: Existujúci informačný systém je od roku 2017 prevádzkovaný vo vládnom cloude.</w:t>
      </w:r>
    </w:p>
    <w:p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6.2. vyplní </w:t>
      </w:r>
      <w:r w:rsidRPr="00FC2B55">
        <w:rPr>
          <w:rFonts w:ascii="Times New Roman" w:eastAsia="Calibri" w:hAnsi="Times New Roman" w:cs="Times New Roman"/>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536"/>
        <w:gridCol w:w="1134"/>
        <w:gridCol w:w="1134"/>
        <w:gridCol w:w="851"/>
        <w:gridCol w:w="2268"/>
      </w:tblGrid>
      <w:tr w:rsidR="00FC2B55" w:rsidRPr="00FC2B55" w:rsidTr="000800FC">
        <w:trPr>
          <w:trHeight w:val="20"/>
        </w:trPr>
        <w:tc>
          <w:tcPr>
            <w:tcW w:w="453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851"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2268"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rsidTr="000800FC">
        <w:trPr>
          <w:trHeight w:val="445"/>
        </w:trPr>
        <w:tc>
          <w:tcPr>
            <w:tcW w:w="453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B</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isvs_5836</w:t>
            </w:r>
          </w:p>
        </w:tc>
        <w:tc>
          <w:tcPr>
            <w:tcW w:w="851"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Register zbierok   </w:t>
            </w:r>
          </w:p>
        </w:tc>
        <w:tc>
          <w:tcPr>
            <w:tcW w:w="2268"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Alt. 1: Áno v roku 2019                Alt. 2: Áno od roku 2017                </w:t>
            </w:r>
          </w:p>
        </w:tc>
      </w:tr>
    </w:tbl>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r w:rsidRPr="00FC2B55">
        <w:rPr>
          <w:rFonts w:ascii="Times New Roman" w:eastAsia="Calibri" w:hAnsi="Times New Roman" w:cs="Times New Roman"/>
          <w:b/>
          <w:bCs/>
          <w:color w:val="000000"/>
          <w:sz w:val="24"/>
          <w:szCs w:val="24"/>
          <w:u w:val="single"/>
        </w:rPr>
        <w:t>Financovanie informatizácie spolo</w:t>
      </w:r>
      <w:r w:rsidRPr="00FC2B55">
        <w:rPr>
          <w:rFonts w:ascii="Times New Roman" w:eastAsia="Calibri" w:hAnsi="Times New Roman" w:cs="Times New Roman"/>
          <w:color w:val="000000"/>
          <w:sz w:val="24"/>
          <w:szCs w:val="24"/>
          <w:u w:val="single"/>
        </w:rPr>
        <w:t>č</w:t>
      </w:r>
      <w:r w:rsidRPr="00FC2B55">
        <w:rPr>
          <w:rFonts w:ascii="Times New Roman" w:eastAsia="Calibri" w:hAnsi="Times New Roman" w:cs="Times New Roman"/>
          <w:b/>
          <w:bCs/>
          <w:color w:val="000000"/>
          <w:sz w:val="24"/>
          <w:szCs w:val="24"/>
          <w:u w:val="single"/>
        </w:rPr>
        <w:t>nosti</w:t>
      </w:r>
    </w:p>
    <w:p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Financovanie procesu informatizácie v súčasnosti prebieha na nasledovných úrovniach:</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rezortná úroveň</w:t>
      </w:r>
      <w:r w:rsidRPr="00FC2B55">
        <w:rPr>
          <w:rFonts w:ascii="Times New Roman" w:eastAsia="Calibri" w:hAnsi="Times New Roman" w:cs="Times New Roman"/>
          <w:color w:val="000000"/>
          <w:sz w:val="24"/>
          <w:szCs w:val="24"/>
        </w:rPr>
        <w:t xml:space="preserve"> – financovanie projektov realizovaných v rámci jednotlivých rezortov a v rámci jednotlivých rozpočtových kapitol,</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nadrezortná úroveň</w:t>
      </w:r>
      <w:r w:rsidRPr="00FC2B55">
        <w:rPr>
          <w:rFonts w:ascii="Times New Roman" w:eastAsia="Calibri" w:hAnsi="Times New Roman" w:cs="Times New Roman"/>
          <w:color w:val="000000"/>
          <w:sz w:val="24"/>
          <w:szCs w:val="24"/>
        </w:rPr>
        <w:t xml:space="preserve"> – financovanie projektov s nadrezortnou pôsobnosťou. Finančné prostriedky budú rozpočtované v rámci kapitoly ministerstva financií. </w:t>
      </w:r>
    </w:p>
    <w:p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rámci rezortnej a nadrezortnej úrovne je možné financovanie:</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z prostriedkov Európskej únie</w:t>
      </w:r>
      <w:r w:rsidRPr="00FC2B55">
        <w:rPr>
          <w:rFonts w:ascii="Times New Roman" w:eastAsia="Calibri" w:hAnsi="Times New Roman" w:cs="Times New Roman"/>
          <w:color w:val="000000"/>
          <w:sz w:val="24"/>
          <w:szCs w:val="24"/>
        </w:rPr>
        <w:t xml:space="preserve"> – prostredníctvom čerpania štrukturálnych fondov Európskej únie, ako aj prostredníctvom komunitárnych programov (v oblasti vedy a výskumu napr. 7. rámcový program a komunitárne programy v oblasti vzdelávania).</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z ďalších zdrojov financovania</w:t>
      </w:r>
      <w:r w:rsidRPr="00FC2B55">
        <w:rPr>
          <w:rFonts w:ascii="Times New Roman" w:eastAsia="Calibri" w:hAnsi="Times New Roman" w:cs="Times New Roman"/>
          <w:color w:val="000000"/>
          <w:sz w:val="24"/>
          <w:szCs w:val="24"/>
        </w:rPr>
        <w:t xml:space="preserve"> – z prostriedkov Európskej investičnej banky, Svetovej banky a pod..</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rsidR="00FC2B55" w:rsidRPr="00FC2B55" w:rsidRDefault="00FC2B55" w:rsidP="00FC2B55">
      <w:pPr>
        <w:autoSpaceDE w:val="0"/>
        <w:autoSpaceDN w:val="0"/>
        <w:adjustRightInd w:val="0"/>
        <w:spacing w:before="240" w:after="200" w:line="240" w:lineRule="auto"/>
        <w:jc w:val="both"/>
        <w:rPr>
          <w:rFonts w:ascii="Times New Roman" w:eastAsia="Calibri" w:hAnsi="Times New Roman" w:cs="Times New Roman"/>
          <w:i/>
          <w:color w:val="000000"/>
          <w:sz w:val="24"/>
          <w:szCs w:val="24"/>
        </w:rPr>
      </w:pPr>
      <w:r w:rsidRPr="00FC2B55">
        <w:rPr>
          <w:rFonts w:ascii="Times New Roman" w:eastAsia="Calibri" w:hAnsi="Times New Roman" w:cs="Times New Roman"/>
          <w:i/>
          <w:color w:val="000000"/>
          <w:sz w:val="24"/>
          <w:szCs w:val="24"/>
        </w:rPr>
        <w:t>Príklad č.1:</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nový informačný systém verejnej správy, ktorý bude financovaný zo štátneho rozpočtu.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bode 6.3. vyplní nasledovne</w:t>
      </w:r>
      <w:r w:rsidRPr="00FC2B55">
        <w:rPr>
          <w:rFonts w:ascii="Times New Roman" w:eastAsia="Calibri" w:hAnsi="Times New Roman" w:cs="Times New Roman"/>
          <w:color w:val="000000"/>
          <w:sz w:val="24"/>
          <w:szCs w:val="24"/>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FC2B55" w:rsidRPr="00FC2B55" w:rsidTr="000800FC">
        <w:trPr>
          <w:trHeight w:val="20"/>
        </w:trPr>
        <w:tc>
          <w:tcPr>
            <w:tcW w:w="9087" w:type="dxa"/>
            <w:gridSpan w:val="4"/>
            <w:tcBorders>
              <w:bottom w:val="single" w:sz="4" w:space="0" w:color="auto"/>
            </w:tcBorders>
            <w:shd w:val="clear" w:color="auto" w:fill="BFBFBF"/>
          </w:tcPr>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Financovanie procesu informatizácie</w:t>
            </w:r>
          </w:p>
        </w:tc>
      </w:tr>
      <w:tr w:rsidR="00FC2B55" w:rsidRPr="00FC2B55" w:rsidTr="000800FC">
        <w:trPr>
          <w:trHeight w:val="20"/>
        </w:trPr>
        <w:tc>
          <w:tcPr>
            <w:tcW w:w="3956" w:type="dxa"/>
            <w:shd w:val="clear" w:color="auto" w:fill="BFBFBF"/>
          </w:tcPr>
          <w:p w:rsidR="00FC2B55" w:rsidRPr="00FC2B55" w:rsidRDefault="00FC2B55" w:rsidP="00FC2B55">
            <w:pPr>
              <w:spacing w:after="0" w:line="20" w:lineRule="atLeast"/>
              <w:rPr>
                <w:rFonts w:ascii="Times New Roman" w:eastAsia="Times New Roman" w:hAnsi="Times New Roman" w:cs="Times New Roman"/>
                <w:b/>
                <w:sz w:val="24"/>
                <w:szCs w:val="24"/>
                <w:lang w:eastAsia="sk-SK"/>
              </w:rPr>
            </w:pPr>
          </w:p>
        </w:tc>
        <w:tc>
          <w:tcPr>
            <w:tcW w:w="1162"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Rezortná úroveň</w:t>
            </w:r>
          </w:p>
        </w:tc>
        <w:tc>
          <w:tcPr>
            <w:tcW w:w="1560"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Nadrezortná úroveň</w:t>
            </w:r>
          </w:p>
        </w:tc>
        <w:tc>
          <w:tcPr>
            <w:tcW w:w="2409" w:type="dxa"/>
            <w:shd w:val="clear" w:color="auto" w:fill="BFBFBF"/>
          </w:tcPr>
          <w:p w:rsidR="00FC2B55" w:rsidRPr="00FC2B55" w:rsidRDefault="00FC2B55" w:rsidP="00FC2B55">
            <w:pPr>
              <w:spacing w:after="0" w:line="240" w:lineRule="auto"/>
              <w:rPr>
                <w:rFonts w:ascii="Times New Roman" w:eastAsia="Times New Roman" w:hAnsi="Times New Roman" w:cs="Times New Roman"/>
                <w:b/>
                <w:sz w:val="24"/>
                <w:szCs w:val="24"/>
                <w:lang w:eastAsia="sk-SK"/>
              </w:rPr>
            </w:pPr>
            <w:r w:rsidRPr="00FC2B55">
              <w:rPr>
                <w:rFonts w:ascii="Times New Roman" w:eastAsia="Times New Roman" w:hAnsi="Times New Roman" w:cs="Times New Roman"/>
                <w:b/>
                <w:sz w:val="24"/>
                <w:szCs w:val="24"/>
                <w:lang w:eastAsia="sk-SK"/>
              </w:rPr>
              <w:t>A - z prostriedkov EÚ</w:t>
            </w:r>
          </w:p>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B - z ďalších zdrojov financovania</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4"/>
                <w:szCs w:val="24"/>
                <w:lang w:eastAsia="sk-SK"/>
              </w:rPr>
              <w:t>6.3.</w:t>
            </w:r>
            <w:r w:rsidRPr="00FC2B55">
              <w:rPr>
                <w:rFonts w:ascii="Times New Roman" w:eastAsia="Times New Roman" w:hAnsi="Times New Roman" w:cs="Times New Roman"/>
                <w:sz w:val="24"/>
                <w:szCs w:val="24"/>
                <w:lang w:eastAsia="sk-SK"/>
              </w:rPr>
              <w:t xml:space="preserve"> Vyžaduje si proces informatizácie  finančné investície?</w:t>
            </w:r>
          </w:p>
          <w:p w:rsidR="00FC2B55" w:rsidRPr="00FC2B55" w:rsidRDefault="00FC2B55" w:rsidP="00FC2B55">
            <w:pPr>
              <w:spacing w:after="0"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4"/>
                <w:szCs w:val="24"/>
                <w:lang w:eastAsia="sk-SK"/>
              </w:rPr>
              <w:t>(Uveďte príslušnú úroveň financovania a kvantifikáciu finančných výdavkov uveďte  v analýze vplyvov na rozpočet verejnej správy.)</w:t>
            </w:r>
          </w:p>
        </w:tc>
        <w:tc>
          <w:tcPr>
            <w:tcW w:w="1162"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X</w:t>
            </w:r>
          </w:p>
        </w:tc>
        <w:tc>
          <w:tcPr>
            <w:tcW w:w="1560"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240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p>
        </w:tc>
      </w:tr>
    </w:tbl>
    <w:p w:rsidR="00FC2B55" w:rsidRPr="00FC2B55" w:rsidRDefault="00FC2B55" w:rsidP="00FC2B55">
      <w:pPr>
        <w:autoSpaceDE w:val="0"/>
        <w:autoSpaceDN w:val="0"/>
        <w:adjustRightInd w:val="0"/>
        <w:spacing w:before="240" w:after="200" w:line="240" w:lineRule="auto"/>
        <w:jc w:val="both"/>
        <w:rPr>
          <w:rFonts w:ascii="Times New Roman" w:eastAsia="Calibri" w:hAnsi="Times New Roman" w:cs="Times New Roman"/>
          <w:i/>
          <w:color w:val="000000"/>
          <w:sz w:val="24"/>
          <w:szCs w:val="24"/>
        </w:rPr>
      </w:pPr>
      <w:r w:rsidRPr="00FC2B55">
        <w:rPr>
          <w:rFonts w:ascii="Times New Roman" w:eastAsia="Calibri" w:hAnsi="Times New Roman" w:cs="Times New Roman"/>
          <w:i/>
          <w:color w:val="000000"/>
          <w:sz w:val="24"/>
          <w:szCs w:val="24"/>
        </w:rPr>
        <w:t>Príklad č.2:</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rsidR="00FC2B55" w:rsidRPr="00FC2B55" w:rsidRDefault="00FC2B55" w:rsidP="00FC2B55">
      <w:pPr>
        <w:spacing w:after="200" w:line="276"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Analýza vplyvov sa </w:t>
      </w:r>
      <w:r w:rsidRPr="00FC2B55">
        <w:rPr>
          <w:rFonts w:ascii="Times New Roman" w:eastAsia="Calibri" w:hAnsi="Times New Roman" w:cs="Times New Roman"/>
          <w:sz w:val="24"/>
          <w:szCs w:val="24"/>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FC2B55" w:rsidRPr="00FC2B55" w:rsidTr="000800FC">
        <w:trPr>
          <w:trHeight w:val="20"/>
        </w:trPr>
        <w:tc>
          <w:tcPr>
            <w:tcW w:w="9087" w:type="dxa"/>
            <w:gridSpan w:val="4"/>
            <w:tcBorders>
              <w:bottom w:val="single" w:sz="4" w:space="0" w:color="auto"/>
            </w:tcBorders>
            <w:shd w:val="clear" w:color="auto" w:fill="BFBFBF"/>
          </w:tcPr>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Financovanie procesu informatizácie</w:t>
            </w:r>
          </w:p>
        </w:tc>
      </w:tr>
      <w:tr w:rsidR="00FC2B55" w:rsidRPr="00FC2B55" w:rsidTr="000800FC">
        <w:trPr>
          <w:trHeight w:val="20"/>
        </w:trPr>
        <w:tc>
          <w:tcPr>
            <w:tcW w:w="3956" w:type="dxa"/>
            <w:shd w:val="clear" w:color="auto" w:fill="BFBFBF"/>
          </w:tcPr>
          <w:p w:rsidR="00FC2B55" w:rsidRPr="00FC2B55" w:rsidRDefault="00FC2B55" w:rsidP="00FC2B55">
            <w:pPr>
              <w:spacing w:after="0" w:line="20" w:lineRule="atLeast"/>
              <w:rPr>
                <w:rFonts w:ascii="Times New Roman" w:eastAsia="Times New Roman" w:hAnsi="Times New Roman" w:cs="Times New Roman"/>
                <w:b/>
                <w:sz w:val="24"/>
                <w:szCs w:val="24"/>
                <w:lang w:eastAsia="sk-SK"/>
              </w:rPr>
            </w:pPr>
          </w:p>
        </w:tc>
        <w:tc>
          <w:tcPr>
            <w:tcW w:w="1162"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Rezortná úroveň</w:t>
            </w:r>
          </w:p>
        </w:tc>
        <w:tc>
          <w:tcPr>
            <w:tcW w:w="1560"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Nadrezortná úroveň</w:t>
            </w:r>
          </w:p>
        </w:tc>
        <w:tc>
          <w:tcPr>
            <w:tcW w:w="2409" w:type="dxa"/>
            <w:shd w:val="clear" w:color="auto" w:fill="BFBFBF"/>
          </w:tcPr>
          <w:p w:rsidR="00FC2B55" w:rsidRPr="00FC2B55" w:rsidRDefault="00FC2B55" w:rsidP="00FC2B55">
            <w:pPr>
              <w:spacing w:after="0" w:line="240" w:lineRule="auto"/>
              <w:rPr>
                <w:rFonts w:ascii="Times New Roman" w:eastAsia="Times New Roman" w:hAnsi="Times New Roman" w:cs="Times New Roman"/>
                <w:b/>
                <w:sz w:val="24"/>
                <w:szCs w:val="24"/>
                <w:lang w:eastAsia="sk-SK"/>
              </w:rPr>
            </w:pPr>
            <w:r w:rsidRPr="00FC2B55">
              <w:rPr>
                <w:rFonts w:ascii="Times New Roman" w:eastAsia="Times New Roman" w:hAnsi="Times New Roman" w:cs="Times New Roman"/>
                <w:b/>
                <w:sz w:val="24"/>
                <w:szCs w:val="24"/>
                <w:lang w:eastAsia="sk-SK"/>
              </w:rPr>
              <w:t>A - z prostriedkov EÚ</w:t>
            </w:r>
          </w:p>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B - z ďalších zdrojov financovania</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4"/>
                <w:szCs w:val="24"/>
                <w:lang w:eastAsia="sk-SK"/>
              </w:rPr>
              <w:t>6.3.</w:t>
            </w:r>
            <w:r w:rsidRPr="00FC2B55">
              <w:rPr>
                <w:rFonts w:ascii="Times New Roman" w:eastAsia="Times New Roman" w:hAnsi="Times New Roman" w:cs="Times New Roman"/>
                <w:sz w:val="24"/>
                <w:szCs w:val="24"/>
                <w:lang w:eastAsia="sk-SK"/>
              </w:rPr>
              <w:t xml:space="preserve"> Vyžaduje si proces informatizácie  finančné investície?</w:t>
            </w:r>
          </w:p>
          <w:p w:rsidR="00FC2B55" w:rsidRPr="00FC2B55" w:rsidRDefault="00FC2B55" w:rsidP="00FC2B55">
            <w:pPr>
              <w:spacing w:after="0"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4"/>
                <w:szCs w:val="24"/>
                <w:lang w:eastAsia="sk-SK"/>
              </w:rPr>
              <w:t>(Uveďte príslušnú úroveň financovania a kvantifikáciu finančných výdavkov uveďte  v analýze vplyvov na rozpočet verejnej správy.)</w:t>
            </w:r>
          </w:p>
        </w:tc>
        <w:tc>
          <w:tcPr>
            <w:tcW w:w="1162"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X</w:t>
            </w:r>
          </w:p>
        </w:tc>
        <w:tc>
          <w:tcPr>
            <w:tcW w:w="1560"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240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A</w:t>
            </w:r>
          </w:p>
        </w:tc>
      </w:tr>
    </w:tbl>
    <w:p w:rsidR="00FC2B55" w:rsidRPr="00FC2B55" w:rsidRDefault="00FC2B55" w:rsidP="00FC2B55">
      <w:pPr>
        <w:spacing w:after="0" w:line="240" w:lineRule="auto"/>
        <w:rPr>
          <w:rFonts w:ascii="Times New Roman" w:eastAsia="Times New Roman" w:hAnsi="Times New Roman" w:cs="Times New Roman"/>
          <w:b/>
          <w:bCs/>
          <w:sz w:val="24"/>
          <w:szCs w:val="24"/>
          <w:lang w:eastAsia="sk-SK"/>
        </w:rPr>
      </w:pP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    </w:t>
      </w:r>
    </w:p>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FC2B55">
        <w:rPr>
          <w:rFonts w:ascii="Times New Roman" w:eastAsia="Calibri" w:hAnsi="Times New Roman" w:cs="Times New Roman"/>
          <w:b/>
          <w:color w:val="000000"/>
          <w:sz w:val="26"/>
          <w:szCs w:val="26"/>
        </w:rPr>
        <w:t>Zjednodušenie prístupu ku konaniu a odstraňovanie byrokracie</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Elektronické konanie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Povinnosť vykonávať verejnú moc elektronicky vo všeobecnosti platí od 1. novembra 2013, resp. po uplynutí prechodného obdobia od 1. novembra 2016, s výnimkami podľa § 17 ods. 1 písm. a) až c) zákona o e-Governmente.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 vecnej pôsobnosti zákona o e-Governmente vyplýva, že sa vzťahuje na výkon verejnej moci, teda na prípady, kedy sa rozhoduje o, zjednodušene, konkrétnych právach a povinnostiach fyzických osôb alebo právnických osôb. Inými slovami, je obmedzená na konania, ktorých výsledkom je rozhodnutie ako individuálny právny akt a nevzťahuje sa na akýkoľvek výkon právomocí orgánov verejnej moci podľa osobitných zákonov. Na ilustráciu tohto rozdielu je možné použiť napríklad konania podľa Stavebného zákona, v ktorých obec vystupuje ako stavebný úrad. V rámci územného plánovania obec vykonáva rôzne činnosti a konania, ktorých výsledkom sú územnoplánovacie podklady a územnoplánovacia dokumentácia (napr. urbanistická štúdia či územný plán obce), avšak vzhľadom na typ týchto konaní a povahu ich výsledku nejde o konanie o právach, či povinnostiach konkrétnych osôb. Naopak, ak ide napríklad o výsledky územného konania, povedzme rozhodnutie o umiestnení stavby či rozhodnutie o stavebnej uzávere, tu ide o také konanie, ktorého výsledkom je individuálny právny akt, ktorý priamo zakladá práva, či ukladá povinnosti konkrétnej osobe.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 pohľadu podporovania informatizácie je dôležité, aby najmä v prípadoch, kedy štát koná a ukladá občanom a podnikateľom povinnosti, resp. občania a podnikatelia si uplatňujú svoje práva, bolo občanom a podnikateľom umožnené začať a dokončiť celé konanie elektronicky, prostredníctvom elektronického podania, elektronickej komunikácie a prijatím elektronického rozhodnutia vo veci samej.</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 o e-Governmente upravuje základné inštitúty, ktoré sú v konaniach použiteľné na to, aby mohlo konanie prebehnúť elektronicky. Sú nimi prístupové miesta, elektronické podanie a elektronický úradný dokument, na realizáciu elektronickej komunikácie, elektronická schránka na doručovanie, nástroje na autentifikáciu a autorizáciu, spoločné moduly na zabezpečenie súvisiacich činností, ako aj zaručená konverzia na zabezpečenie možnosti transformácie dokumentu do elektronickej podoby a referenčné registre na získavanie relevantných údajov. Využitie týchto inštitútov slúži nielen na zabezpečenie elektronickej podoby konania, ale aj na zjednotenie jeho priebehu. Inými slovami, je dôležitá nielen dostupnosť nástrojov pre občana a podnikateľa, ale aj dobrá orientácia v nich a zabezpečenie toho, aby v komunikácii so štátom vždy vedel, ktorý nástroj, resp. inštitút môže použiť a kde je mu dostupný.</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rozsah elektronizácie konania (celé konanie, niektoré časti) a jednotlivé inštitúty a postupy, ktoré sa na elektronické konanie využívajú. Pozitívnym vplyvom na informatizáciu sa v prípadoch elektronických konaní rozumie v prvom rade stav, kedy je konanie možné začať a dokončiť elektronicky. Nahradenie inštitútov a postupov podľa zákona o e-Governmente inými inštitútmi a postupmi je možné akceptovať len ak to zákon pripúšťa, neznižuje sa tým úroveň dostupnosti a kvality pre občana a podnikateľa a existuje na to relevantný dôvod, spočívajúci v osobitosti daného konania.</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1</w:t>
      </w:r>
      <w:r w:rsidRPr="00FC2B55">
        <w:rPr>
          <w:rFonts w:ascii="Times New Roman" w:eastAsia="Calibri" w:hAnsi="Times New Roman" w:cs="Times New Roman"/>
          <w:color w:val="000000"/>
          <w:sz w:val="24"/>
          <w:szCs w:val="24"/>
        </w:rPr>
        <w:t>:</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Novela Správneho poriadku (zákon č. 238/2017 Z.z.) zaviedla niektoré zmeny v podaní, rozhodnutí a doručovaní. Vo vzťahu k podaniu o.i. zjednotila pojmy podľa Správneho poriadku s pojmami podľa zákona o e-Governmente, v elektronickej podobe podania a rozhodnutia zaviedla inštitút autorizácie podľa tohto zákona a v elektronickom doručovaní v plnej miere odkázala na zákon o e-Governmente. Vykonané zmeny teda viedli k zjednoteniu inštitútov Správneho poriadku so zákonom o e-Governmente pri zachovaní možnosti vykonania konania v celku elektronicky. </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50587391"/>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1162207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sz w:val="20"/>
                <w:szCs w:val="20"/>
              </w:rPr>
            </w:pPr>
            <w:r w:rsidRPr="00FC2B55">
              <w:rPr>
                <w:rFonts w:ascii="Times New Roman" w:eastAsia="Times New Roman" w:hAnsi="Times New Roman" w:cs="Times New Roman"/>
                <w:sz w:val="20"/>
                <w:lang w:eastAsia="sk-SK"/>
              </w:rPr>
              <w:t>Kódexový procesný predpis, upravujúci pravidlá pre konanie, v ktorom v oblasti verejnej správy správne orgány rozhodujú o právach, právom chránených záujmoch alebo povinnostiach fyzických osôb a právnických osôb.</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152794370"/>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95220237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80773441"/>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98750797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2</w:t>
      </w:r>
      <w:r w:rsidRPr="00FC2B55">
        <w:rPr>
          <w:rFonts w:ascii="Times New Roman" w:eastAsia="Calibri" w:hAnsi="Times New Roman" w:cs="Times New Roman"/>
          <w:color w:val="000000"/>
          <w:sz w:val="24"/>
          <w:szCs w:val="24"/>
        </w:rPr>
        <w:t>:</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Novela Daňového poriadku (zákon č. 267/2017 Z. z.) zaviedla o. i. osobitnú úpravu pre podávanie podaní, ktoré má zákonom predpísanú štruktúrovanú formu (§ 13 ods. 5). Pre tieto podania sa upravuje len možnosť podať ich prostredníctvom elektronickej podateľne podľa </w:t>
      </w:r>
      <w:hyperlink r:id="rId8" w:anchor="paragraf-33.odsek-2" w:tooltip="Odkaz na predpis alebo ustanovenie" w:history="1">
        <w:r w:rsidRPr="00FC2B55">
          <w:rPr>
            <w:rFonts w:ascii="Times New Roman" w:eastAsia="Calibri" w:hAnsi="Times New Roman" w:cs="Times New Roman"/>
            <w:color w:val="000000"/>
            <w:sz w:val="24"/>
            <w:szCs w:val="24"/>
          </w:rPr>
          <w:t>§ 33 ods. 2</w:t>
        </w:r>
      </w:hyperlink>
      <w:r w:rsidRPr="00FC2B55">
        <w:rPr>
          <w:rFonts w:ascii="Times New Roman" w:eastAsia="Calibri" w:hAnsi="Times New Roman" w:cs="Times New Roman"/>
          <w:color w:val="000000"/>
          <w:sz w:val="24"/>
          <w:szCs w:val="24"/>
        </w:rPr>
        <w:t> Daňového poriadku cez určené dátové rozhranie a v súlade s podmienkami  a podrobnosťami o elektronickej komunikácii zverejnenými na webovom sídle finančného riaditeľstva – teda nie aj cez ústredný portál verejnej správy.</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Ak posudzujeme len túto zmenu, tak platí, že dané konanie je možné uskutočniť v celku elektronicky, avšak niektoré inštitúty zákona o e-Governmente (ústredný portál verejnej správy ako prístupové miesto) sú na účely podania vylúčené. </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228608138"/>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1345231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sz w:val="20"/>
                <w:szCs w:val="20"/>
              </w:rPr>
            </w:pPr>
            <w:r w:rsidRPr="00FC2B55">
              <w:rPr>
                <w:rFonts w:ascii="Times New Roman" w:eastAsia="Times New Roman" w:hAnsi="Times New Roman" w:cs="Times New Roman"/>
                <w:sz w:val="20"/>
                <w:lang w:eastAsia="sk-SK"/>
              </w:rPr>
              <w:t>Procesný predpis, upravujúci pravidlá pre konanie v oblasti správy daní.</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730189445"/>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200840120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044723407"/>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7805005"/>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Štruktúrované podania podľa § 13 ods. 5 je možné podať len prostredníctvom prístupového miesta prevádzkovaného finančným riaditeľstvom z dôvodu ...</w:t>
            </w: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Zásada „jedenkrát a dosť“</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Jedným z primárnych prínosov informatizácie by malo byť zjednodušenie v komunikácii občana a podnikateľa so štátom, pričom podstatným zjednodušením je najmä využívanie údajov, ktoré sú na konanie potrebné a ktorými už štát disponuje. Ide o princíp, ktorý je na zákonnej úrovni zakotvený nielen v § 17 ods. 5 až 7 zákona o e-Governmente ale najmä v zákone č. 177/2018 Z. z. v znení neskorších predpisov, ktorý tento princíp ukladá ako povinnosť voči tam ustanoveným registrom a zákonným evidenciám. </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Pokiaľ ide o pojem „zákonom ustanovená evidencia“, myslí sa tým najvšeobecnejšie vyjadrenie, zahŕňajúce nielen registre a zoznamy, ale akékoľvek evidencie a databázy údajov, ktorými orgány verejnej moci disponujú, ktoré vytvárajú pri plnení svojich úloh, bez ohľadu na to, či sú formálne zriadené zákonom alebo ich vedenie zo zákona „len“ vyplýva.</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Pod pojmom „údaje“ sa myslia v najvšeobecnejšom vyjadrení všetky dokumenty, informácie, preukazovanie skutočností a iné veci, ktoré sa v konaní predkladajú alebo preukazujú orgánu verejnej moci a na základe ktorých sa rozhoduje.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Žiaducim stavom je, aby v prípade zavádzania nových konaní bol tento princíp v plnej miere rešpektovaný a nové konania s ním už počítali ako s bežnou praxou – teda aby občania a podnikatelia neboli povinní predkladať orgánu údaje, ktorými štát disponuje. V prípade existujúcich konaní je žiaducim stavom, aby bol tento princíp zavedený v čo najkratšom možnom čase.</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 povahy niektorých konaní vyplýva, že tento princíp nie je možné zaviesť – nie preto, že by to nebolo objektívne možné, ale preto, že by to poprelo zmysel alebo charakter daného konania, resp. predkladania údajov. Ako typický príklad je možné uviesť predkladanie dôkazov v konaniach pred civilným súdom. Podľa § 185 ods. 2 CSP súd má za určitých podmienok možnosť (avšak nie povinnosť) aj bez návrhu (teda z vlastnej iniciatívy) vykonať dôkaz, ktorý vyplýva z verejných registrov a zoznamov. Zmyslom takto formulovaného ustanovenia pritom nie je „udržanie byrokratickej prekážky“, ale charakter civilného sporového konania samotného. V inom príklade, v konaní o udelení oprávnenia na oboznamovanie sa s utajovanými skutočnosťami podľa zákona č. 215/2004 Z. z. v znení neskorších predpisov je ustanovená o.i. povinnosť predkladať dokumenty a údaje v tzv. bezpečnostnom dotazníku, pričom v danom prípade je dôležitá nielen hodnota údaja (teda obsah toho, čo sa predkladá a preukazuje) ale aj samotný fakt, či a s akým obsahom sám účastník konania dokument či údaj predloží. Inými slovami, posudzuje sa (aj) konanie účastníka pri predkladaní a nielen samotný skutočný stav danej veci.</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miera používania údajov z existujúcich zákonných evidencií z úradnej moci a odbremenenie občanov a podnikateľov od preukazovania a predkladania údajov, ktorými štát disponuje. Pozitívnym vplyvom na informatizáciu sa v prípade posudzovania zásady „jedenkrát a dosť“ rozumie stav, kedy účastník konania nemusí predkladať orgánu žiadne údaje, ktoré sú vedené v zákonných evidenciách a tieto údaje si orgán získava sám – či už od účinnosti predkladaného návrhu zákona alebo po uplynutí primeraného prechodného obdobia pri existujúcich konaniach. Nedodržanie tohto princípu je možné akceptovať výlučne v prípade, ak je to nevyhnutné z dôvodu povahy samotného konania, resp. ak je predkladanie zo strany účastníka pre dané konanie nevyhnutné.</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1</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Zákonom č. 215/2019 Z. z. sa zavádza o. i. registrácia v informačnom systéme elektronickej fakturácie (ďalej len „fakturačný systém“). Na účely tejto registrácie je potrebné získať údaje o samotnom subjekte, ako aj o osobách, ktoré sú v jeho mene zo zákona oprávnené konať. Podľa § 6 ods. 3 a 10 sa údaje na účely registrácie získajú z iných evidencií štátu.</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45465158"/>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7799779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Konanie o registrácii vo fakturačnom systéme podľa § 6 zákona.</w:t>
            </w:r>
          </w:p>
          <w:p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Získavajú sa údaje v rozsahu identifikačných údajov registrovanej osoby, konkrétne .... a údaje o osobách oprávnených konať v jej mene v rozsahu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67203900"/>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4763862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právnických osôb, podnikateľov a orgánov verejnej moci podľa zákona č. 272/2015 Z.z. v znení neskorších predpisov.</w:t>
            </w:r>
          </w:p>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Zoznam hospodárskych subjektov podľa zákona č. 343/2015 Z.z. v znení neskorších predpisov.</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98890797"/>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0572752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Údaje bude podľa § 6 ods. 3 získavať MF SR priamo z vyššie uvedených evidencií a podľa § 6 ods. 10 ich správcovia evidencií budú povinní poskytovať MF SR spôsobom podľa § 17 ods. 6 zákona o e-Governmente.</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62638287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306867552"/>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Údaje budú získavané z úradnej moci od začiatku aplikácie daného ustanovenia o registračnom konaní.</w:t>
            </w: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2</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Na vyššie spomenutom konaní o udelení oprávnenia na oboznamovanie sa s utajovanými skutočnosťami je možné ilustrovať príklad, kedy zákon zachováva povinnosť predkladania údajov v konaní orgánu verejnej moci. Odmyslíme predkladanie iných dokumentov a na účely príkladu budeme brať do úvahy len povinnosť predkladať osobný dotazník a bezpečnostný dotazník podľa § 16 ods. 1 písm. a) prvý a piaty bod zákona č. 215/2004 Z. z., tak 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81670661"/>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8206875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Predkladanie materiálov na bezpečnostnú previerku podľa § 16 ods. 1. </w:t>
            </w:r>
          </w:p>
          <w:p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Predkladajú sa osobný dotazník a bezpečnostný dotazník.</w:t>
            </w:r>
          </w:p>
          <w:p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Osobný dotazník obsahuje údaje podľa prílohy č. 2 zákona a bezpečnostný dotazník podľa prílohy č. 3 zákona.</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61387007"/>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89889882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Register fyzických osôb podľa zákona č. 253/1998 Z. z. v znení neskorších predpisov. </w:t>
            </w:r>
          </w:p>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právnických osôb, podnikateľov a orgánov verejnej moci podľa zákona č. 272/2015 Z. z. v znení neskorších predpisov.</w:t>
            </w:r>
          </w:p>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trestov podľa zákona č. 330/2007 Z. z. v znení neskorších predpisov.</w:t>
            </w:r>
          </w:p>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Evidencie orgánov finančnej správy podľa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78284518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82682442"/>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Údaje musí predkladať žiadateľ z dôvodu nevyhnutnosti posudzovať bezpečnostnú spoľahlivosť podľa § 14 ods. 1 zákona.</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51360327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323591493"/>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Údaje musí predkladať žiadateľ z dôvodu nevyhnutnosti posudzovať bezpečnostnú spoľahlivosť podľa § 14 ods. 1 zákona.</w:t>
            </w: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Výmena údajov medzi orgánmi verejnej moci</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Pendantom povinnosti orgánov verejnej moci používať údaje v konaniach z úradnej moci a nežiadať si ich predkladanie účastníkmi konania je povinnosť tých orgánov, ktoré údajmi disponujú, poskytnúť ich orgánu, ktorý ich na plnenie úloh potrebuje. Ďalším rozmerom výmeny údajov je aj ich používanie v prípadoch, kedy sa nejedná o konanie o právach, právom chránených záujmoch a povinnostiach, ale výmena údajov je potrebná na riadne plnenie zákonom ustanovených povinností.</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Keďže orgán verejnej moci môže robiť len to, čo mu zákon dovoľuje, musí mať aj poskytovanie údajov zákonnú oporu. V tomto smere je referenčnou úprava zákona č. 177/2018 Z. z., ktorá nielen výslovne ustanovuje evidencie, z ktorých sa údaje povinne poskytujú, ale pri rozširovaní zoznamu týchto evidencií zároveň v osobitných predpisoch ruší povinnosť predkladania údajov účastníkmi konaní, resp. zavádza povinnosť ich získavania z úradnej moci.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praxi právnych úprav mimo zákona č. 177/2018 Z. z. sa vyskytujú v zásade dva spôsoby úpravy poskytovania údajov. Prvým je taxatívne vymenovanie údajov a/alebo subjektov, ktorým je možné z konkrétnej evidencie údaje poskytnúť, prípadne na aký konkrétny účel. Druhým je všeobecné vyjadrenie možnosti poskytnúť údaje druhovo určenej skupine subjektov na plnenie zákonom ustanovených úloh vo všeobecnosti.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miera dostupnosti údajov pre orgány verejnej moci na plnenie ich zákonných úloh a spôsob ich poskytovania. Žiadaným stavom je taká právna úprava, ktorá nielen umožňuje zdieľanie a využívanie údajov orgánmi verejnej moci, ale zároveň je dostatočne všeobecná, aby sa vzťahovala na všetky prípady plnenia zákonom ustanovených úloh a súčasne ukladala povinnosť orgánom verejnej moci údaje si navzájom poskytovať, bezodplatne a automatizovaným spôsobom. Z hľadiska spôsobu poskytovania údajov a vychádzajúc aj z princípu využívania existujúcich centrálnych riešení v informačných technológiách je vhodným riešením využitie modulu procesnej integrácie a integrácie údajov podľa § 10 ods. 11 zákona o e-Governmente, ktorý je centrálnou platformou na poskytovanie údajov medzi OVM na účely plnenia zákonných úloh, pričom jeho funkcionalitou je aj evidovanie rolí a oprávnení na automatizované získavanie údajov a zabezpečenie integrity poskytovaných údajov. Takto nastavená právna úprava je úpravou s pozitívnym vplyvom na informatizáciu.</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Vyššie uvedené rešpektuje aj výnimky, ktoré môžu byť odôvodnené povahou údajov a systémov, z ktorých sa poskytujú, najmä ak ide o údaje, ktoré sú utajovanou skutočnosťou. Inými slovami, obmedzenie vyššie uvedeného žiadaného stavu je prípustné vtedy, ak je to nevyhnutné na naplnenie účelu ochrany konkrétneho záujmu a zároveň je to obmedzenie len v nevyhnutnej miere.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Zákonom č. 272/2015 Z. z. bol zriadení register právnických osôb, podnikateľov a orgánov verejnej moci. V § 7 ods. 1 tohto zákona bolo v čase prijatia zákona upravené poskytovanie údajov z neho v plnom rozsahu, ako automatizované, bezodplatné, elektronické, na účely plnenia úloh podľa osobitných predpisov pre orgány verejnej moci, osoby, ktorým bol výkon verejnej moci zverený, členské štáty EÚ a iné štáty, ak tak vyplýva z medzinárodnej zmluvy, ktorou je SR viazaná.</w:t>
      </w: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color w:val="000000"/>
          <w:sz w:val="24"/>
          <w:szCs w:val="24"/>
        </w:rPr>
        <w:t>Analýza vplyvov v časti 6.6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74075212"/>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2653221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Register právnických osôb, podnikateľov a orgánov verejnej moci.</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328901085"/>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32743113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 xml:space="preserve">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329482266"/>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63869375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Poskytovanie je zabezpečené elektronicky a automatizovaným spôsobom.</w:t>
            </w:r>
            <w:r w:rsidRPr="00FC2B55">
              <w:rPr>
                <w:rFonts w:ascii="Times New Roman" w:eastAsia="Times New Roman" w:hAnsi="Times New Roman" w:cs="Times New Roman"/>
                <w:sz w:val="20"/>
                <w:szCs w:val="20"/>
                <w:lang w:eastAsia="sk-SK"/>
              </w:rPr>
              <w:t xml:space="preserve">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91101638"/>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2037922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Referenčné údaje</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Cieľom zavedenia referenčných registrov je umožniť zdieľanie a využívanie údajov medzi informačnými systémami orgánov verejnej moci a ich poskytovanie pre výkon verejnej moci elektronicky.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Na základe domnienky správnosti referenčných údajov budú môcť orgány verejnej moci použiť referenčné údaje o subjektoch evidencie pre výkon verejnej moci elektronicky. Použitím referenčných údajov o subjektoch evidencie pre výkon verejnej moci elektronicky bude možné zrušiť povinnosti fyzických a právnických osôb predkladať pre účely správnych a iných konaní informácie, ktoré sú už vedené v referenčných registroch (v súlade s princípom „jedenkrát a dosť“). Zmyslom referenčných údajov je však aj zabezpečenie jednotnosti hodnôt údajov, ktoré vychádza z povinnosti referencovať (preberať údaj z referenčného registra) a nezapisovať ho do svojej evidencie.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pripravenosť na vyhlásenie údajov za referenčné a výber údajov, ktoré sú vo vzťahu k danej evidencii referenčné.</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Zákon č. 272/2015 Z.z. bol už v čase jeho prípravy a prijímania vnímaný ako právny základ pre register, ktorý sa stane zdrojom referenčných údajov o subjektoch v ňom zapísaných. </w:t>
      </w: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color w:val="000000"/>
          <w:sz w:val="24"/>
          <w:szCs w:val="24"/>
        </w:rPr>
        <w:t>Analýza vplyvov v časti 6.7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tcPr>
          <w:p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361403900"/>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99769744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Zriaďuje sa nový register. Register právnických osôb, podnikateľov a orgánov verejnej moci.</w:t>
            </w:r>
          </w:p>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Referenčnými údajmi budú údaje o </w:t>
            </w:r>
          </w:p>
          <w:p w:rsidR="00FC2B55" w:rsidRPr="00FC2B55" w:rsidRDefault="00FC2B55" w:rsidP="00FC2B55">
            <w:pPr>
              <w:numPr>
                <w:ilvl w:val="0"/>
                <w:numId w:val="3"/>
              </w:numPr>
              <w:spacing w:after="0" w:line="240" w:lineRule="auto"/>
              <w:contextualSpacing/>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právnickej osobe v rozsahu ...</w:t>
            </w:r>
          </w:p>
          <w:p w:rsidR="00FC2B55" w:rsidRPr="00FC2B55" w:rsidRDefault="00FC2B55" w:rsidP="00FC2B55">
            <w:pPr>
              <w:numPr>
                <w:ilvl w:val="0"/>
                <w:numId w:val="3"/>
              </w:numPr>
              <w:spacing w:after="0" w:line="240" w:lineRule="auto"/>
              <w:contextualSpacing/>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fyzickej osobe podnikateľovi v rozsahu ...</w:t>
            </w:r>
          </w:p>
          <w:p w:rsidR="00FC2B55" w:rsidRPr="00FC2B55" w:rsidRDefault="00FC2B55" w:rsidP="00FC2B55">
            <w:pPr>
              <w:numPr>
                <w:ilvl w:val="0"/>
                <w:numId w:val="3"/>
              </w:numPr>
              <w:spacing w:after="0" w:line="240" w:lineRule="auto"/>
              <w:contextualSpacing/>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orgáne verejnej moci v rozsahu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V priebehu roka 2016.</w:t>
            </w:r>
          </w:p>
        </w:tc>
      </w:tr>
    </w:tbl>
    <w:p w:rsidR="00FC2B55" w:rsidRPr="00FC2B55" w:rsidRDefault="00FC2B55" w:rsidP="00FC2B55">
      <w:pPr>
        <w:spacing w:after="0" w:line="240" w:lineRule="auto"/>
        <w:jc w:val="both"/>
        <w:rPr>
          <w:rFonts w:ascii="Times New Roman" w:eastAsia="Times New Roman" w:hAnsi="Times New Roman" w:cs="Times New Roman"/>
          <w:b/>
          <w:bCs/>
          <w:i/>
          <w:sz w:val="24"/>
          <w:szCs w:val="24"/>
          <w:highlight w:val="yellow"/>
          <w:lang w:eastAsia="sk-SK"/>
        </w:rPr>
      </w:pP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autoSpaceDE w:val="0"/>
        <w:autoSpaceDN w:val="0"/>
        <w:spacing w:after="240" w:line="240" w:lineRule="auto"/>
        <w:ind w:firstLine="708"/>
        <w:jc w:val="both"/>
        <w:rPr>
          <w:rFonts w:ascii="Times New Roman" w:eastAsia="Times New Roman" w:hAnsi="Times New Roman" w:cs="Times New Roman"/>
          <w:sz w:val="24"/>
          <w:szCs w:val="24"/>
          <w:lang w:eastAsia="sk-SK"/>
        </w:rPr>
      </w:pPr>
    </w:p>
    <w:p w:rsidR="00274130" w:rsidRDefault="00F06266"/>
    <w:sectPr w:rsidR="0027413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18" w:rsidRDefault="00AC6818" w:rsidP="00FC2B55">
      <w:pPr>
        <w:spacing w:after="0" w:line="240" w:lineRule="auto"/>
      </w:pPr>
      <w:r>
        <w:separator/>
      </w:r>
    </w:p>
  </w:endnote>
  <w:endnote w:type="continuationSeparator" w:id="0">
    <w:p w:rsidR="00AC6818" w:rsidRDefault="00AC6818" w:rsidP="00F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399668"/>
      <w:docPartObj>
        <w:docPartGallery w:val="Page Numbers (Bottom of Page)"/>
        <w:docPartUnique/>
      </w:docPartObj>
    </w:sdtPr>
    <w:sdtEndPr/>
    <w:sdtContent>
      <w:p w:rsidR="00FC2B55" w:rsidRDefault="00FC2B55" w:rsidP="00FC2B55">
        <w:pPr>
          <w:pStyle w:val="Pta"/>
          <w:jc w:val="right"/>
        </w:pPr>
        <w:r w:rsidRPr="00CF1A40">
          <w:rPr>
            <w:rFonts w:ascii="Times New Roman" w:hAnsi="Times New Roman" w:cs="Times New Roman"/>
            <w:sz w:val="24"/>
            <w:szCs w:val="24"/>
          </w:rPr>
          <w:fldChar w:fldCharType="begin"/>
        </w:r>
        <w:r w:rsidRPr="00CF1A40">
          <w:rPr>
            <w:rFonts w:ascii="Times New Roman" w:hAnsi="Times New Roman" w:cs="Times New Roman"/>
            <w:sz w:val="24"/>
            <w:szCs w:val="24"/>
          </w:rPr>
          <w:instrText>PAGE   \* MERGEFORMAT</w:instrText>
        </w:r>
        <w:r w:rsidRPr="00CF1A40">
          <w:rPr>
            <w:rFonts w:ascii="Times New Roman" w:hAnsi="Times New Roman" w:cs="Times New Roman"/>
            <w:sz w:val="24"/>
            <w:szCs w:val="24"/>
          </w:rPr>
          <w:fldChar w:fldCharType="separate"/>
        </w:r>
        <w:r w:rsidR="00F06266">
          <w:rPr>
            <w:rFonts w:ascii="Times New Roman" w:hAnsi="Times New Roman" w:cs="Times New Roman"/>
            <w:noProof/>
            <w:sz w:val="24"/>
            <w:szCs w:val="24"/>
          </w:rPr>
          <w:t>1</w:t>
        </w:r>
        <w:r w:rsidRPr="00CF1A40">
          <w:rPr>
            <w:rFonts w:ascii="Times New Roman" w:hAnsi="Times New Roman" w:cs="Times New Roman"/>
            <w:sz w:val="24"/>
            <w:szCs w:val="24"/>
          </w:rPr>
          <w:fldChar w:fldCharType="end"/>
        </w:r>
      </w:p>
    </w:sdtContent>
  </w:sdt>
  <w:p w:rsidR="00FC2B55" w:rsidRPr="00FF7125" w:rsidRDefault="00FC2B55" w:rsidP="00FC2B55">
    <w:pPr>
      <w:pStyle w:val="Pta"/>
      <w:rPr>
        <w:sz w:val="24"/>
        <w:szCs w:val="24"/>
      </w:rPr>
    </w:pPr>
  </w:p>
  <w:p w:rsidR="00FC2B55" w:rsidRPr="00FC2B55" w:rsidRDefault="00FC2B55" w:rsidP="00FC2B5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18" w:rsidRDefault="00AC6818" w:rsidP="00FC2B55">
      <w:pPr>
        <w:spacing w:after="0" w:line="240" w:lineRule="auto"/>
      </w:pPr>
      <w:r>
        <w:separator/>
      </w:r>
    </w:p>
  </w:footnote>
  <w:footnote w:type="continuationSeparator" w:id="0">
    <w:p w:rsidR="00AC6818" w:rsidRDefault="00AC6818" w:rsidP="00FC2B55">
      <w:pPr>
        <w:spacing w:after="0" w:line="240" w:lineRule="auto"/>
      </w:pPr>
      <w:r>
        <w:continuationSeparator/>
      </w:r>
    </w:p>
  </w:footnote>
  <w:footnote w:id="1">
    <w:p w:rsidR="00FC2B55" w:rsidRPr="000D5A39" w:rsidRDefault="00FC2B55" w:rsidP="00FC2B55">
      <w:pPr>
        <w:pStyle w:val="Textpoznmkypodiarou"/>
        <w:jc w:val="both"/>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hyperlink r:id="rId1" w:history="1">
        <w:r w:rsidRPr="000D5A39">
          <w:rPr>
            <w:rStyle w:val="Hypertextovprepojenie"/>
            <w:rFonts w:ascii="Times New Roman" w:hAnsi="Times New Roman"/>
          </w:rPr>
          <w:t>https://www.mirri.gov.sk/sekcie/informatizacia/egovernment/sprava-architektury/centralny-metainfromacny-system-verejnej-spravy-metais/index.html</w:t>
        </w:r>
      </w:hyperlink>
      <w:r w:rsidRPr="000D5A39">
        <w:rPr>
          <w:rFonts w:ascii="Times New Roman" w:hAnsi="Times New Roman"/>
        </w:rPr>
        <w:t xml:space="preserve"> </w:t>
      </w:r>
    </w:p>
  </w:footnote>
  <w:footnote w:id="2">
    <w:p w:rsidR="00FC2B55" w:rsidRPr="000D5A39" w:rsidRDefault="00FC2B55" w:rsidP="00FC2B55">
      <w:pPr>
        <w:pStyle w:val="Textpoznmkypodiarou"/>
        <w:jc w:val="both"/>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r w:rsidRPr="000D5A39">
        <w:rPr>
          <w:rFonts w:ascii="Times New Roman" w:hAnsi="Times New Roman"/>
          <w:color w:val="000000"/>
        </w:rPr>
        <w:t>https://metais.vicepremier.gov.sk/help</w:t>
      </w:r>
      <w:r w:rsidRPr="000D5A39">
        <w:rPr>
          <w:rFonts w:ascii="Times New Roman" w:hAnsi="Times New Roman"/>
          <w:color w:val="0000FF"/>
          <w:u w:val="single"/>
        </w:rPr>
        <w:t xml:space="preserve"> , časť „Zoznam hlavných kontaktných osôb s prístupom na zapisovanie údajov do MetaIS“.</w:t>
      </w:r>
    </w:p>
  </w:footnote>
  <w:footnote w:id="3">
    <w:p w:rsidR="00FC2B55" w:rsidRPr="000D5A39" w:rsidRDefault="00FC2B55" w:rsidP="00FC2B55">
      <w:pPr>
        <w:pStyle w:val="Textpoznmkypodiarou"/>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r w:rsidRPr="000D5A39">
        <w:rPr>
          <w:rFonts w:ascii="Times New Roman" w:hAnsi="Times New Roman"/>
          <w:color w:val="000000"/>
        </w:rPr>
        <w:t>§ 34 Vyhlášky ÚPVII č. 78/2020 Z. z. o štandardoch pre informačné technológie verejnej správy.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55" w:rsidRPr="006045CB" w:rsidRDefault="00FC2B55" w:rsidP="00FC2B55">
    <w:pPr>
      <w:pStyle w:val="Hlavika"/>
      <w:jc w:val="right"/>
      <w:rPr>
        <w:rFonts w:ascii="Times New Roman" w:hAnsi="Times New Roman" w:cs="Times New Roman"/>
        <w:sz w:val="24"/>
        <w:szCs w:val="24"/>
      </w:rPr>
    </w:pPr>
    <w:r w:rsidRPr="006045CB">
      <w:rPr>
        <w:rFonts w:ascii="Times New Roman" w:hAnsi="Times New Roman" w:cs="Times New Roman"/>
        <w:sz w:val="24"/>
        <w:szCs w:val="24"/>
      </w:rPr>
      <w:t xml:space="preserve">Príloha č. </w:t>
    </w:r>
    <w:r w:rsidR="004A2F4C">
      <w:rPr>
        <w:rFonts w:ascii="Times New Roman" w:hAnsi="Times New Roman" w:cs="Times New Roman"/>
        <w:sz w:val="24"/>
        <w:szCs w:val="24"/>
      </w:rPr>
      <w:t>6</w:t>
    </w:r>
  </w:p>
  <w:p w:rsidR="00FC2B55" w:rsidRDefault="00FC2B5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55"/>
    <w:rsid w:val="000757A2"/>
    <w:rsid w:val="001012F3"/>
    <w:rsid w:val="004A2F4C"/>
    <w:rsid w:val="00540118"/>
    <w:rsid w:val="00702F97"/>
    <w:rsid w:val="0080106A"/>
    <w:rsid w:val="008801B5"/>
    <w:rsid w:val="008C32BA"/>
    <w:rsid w:val="00947AF0"/>
    <w:rsid w:val="009E09F7"/>
    <w:rsid w:val="00AC6818"/>
    <w:rsid w:val="00F06266"/>
    <w:rsid w:val="00F422D4"/>
    <w:rsid w:val="00FC2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02F2D-8E20-4FB8-A9EB-68343C2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C2B5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2B55"/>
    <w:rPr>
      <w:sz w:val="20"/>
      <w:szCs w:val="20"/>
    </w:rPr>
  </w:style>
  <w:style w:type="character" w:styleId="Odkaznapoznmkupodiarou">
    <w:name w:val="footnote reference"/>
    <w:aliases w:val="Footnote symbol,Footnote reference number"/>
    <w:semiHidden/>
    <w:unhideWhenUsed/>
    <w:rsid w:val="00FC2B55"/>
    <w:rPr>
      <w:vertAlign w:val="superscript"/>
    </w:rPr>
  </w:style>
  <w:style w:type="character" w:styleId="Hypertextovprepojenie">
    <w:name w:val="Hyperlink"/>
    <w:uiPriority w:val="99"/>
    <w:unhideWhenUsed/>
    <w:rsid w:val="00FC2B55"/>
    <w:rPr>
      <w:color w:val="0000FF"/>
      <w:u w:val="single"/>
    </w:rPr>
  </w:style>
  <w:style w:type="table" w:customStyle="1" w:styleId="Mriekatabuky3">
    <w:name w:val="Mriežka tabuľky3"/>
    <w:basedOn w:val="Normlnatabuka"/>
    <w:next w:val="Mriekatabuky"/>
    <w:uiPriority w:val="5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2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2B55"/>
  </w:style>
  <w:style w:type="paragraph" w:styleId="Pta">
    <w:name w:val="footer"/>
    <w:basedOn w:val="Normlny"/>
    <w:link w:val="PtaChar"/>
    <w:uiPriority w:val="99"/>
    <w:unhideWhenUsed/>
    <w:rsid w:val="00FC2B55"/>
    <w:pPr>
      <w:tabs>
        <w:tab w:val="center" w:pos="4536"/>
        <w:tab w:val="right" w:pos="9072"/>
      </w:tabs>
      <w:spacing w:after="0" w:line="240" w:lineRule="auto"/>
    </w:pPr>
  </w:style>
  <w:style w:type="character" w:customStyle="1" w:styleId="PtaChar">
    <w:name w:val="Päta Char"/>
    <w:basedOn w:val="Predvolenpsmoodseku"/>
    <w:link w:val="Pta"/>
    <w:uiPriority w:val="99"/>
    <w:rsid w:val="00FC2B55"/>
  </w:style>
  <w:style w:type="paragraph" w:styleId="Textbubliny">
    <w:name w:val="Balloon Text"/>
    <w:basedOn w:val="Normlny"/>
    <w:link w:val="TextbublinyChar"/>
    <w:uiPriority w:val="99"/>
    <w:semiHidden/>
    <w:unhideWhenUsed/>
    <w:rsid w:val="00F422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2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202001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rri.gov.sk/sekcie/informatizacia/egovernment/sprava-architektury/centralny-metainfromacny-system-verejnej-spravy-metais/index.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6"/>
    <f:field ref="objsubject" par="" edit="true" text=""/>
    <f:field ref="objcreatedby" par="" text="Drieniková, Kristína"/>
    <f:field ref="objcreatedat" par="" text="3.11.2020 15:32:18"/>
    <f:field ref="objchangedby" par="" text="Matúšek, Miloš, JUDr."/>
    <f:field ref="objmodifiedat" par="" text="4.11.2020 13:20: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6077</Words>
  <Characters>34641</Characters>
  <Application>Microsoft Office Word</Application>
  <DocSecurity>4</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Pavlikova Katarina</cp:lastModifiedBy>
  <cp:revision>2</cp:revision>
  <cp:lastPrinted>2021-01-04T10:53:00Z</cp:lastPrinted>
  <dcterms:created xsi:type="dcterms:W3CDTF">2021-06-01T09:16:00Z</dcterms:created>
  <dcterms:modified xsi:type="dcterms:W3CDTF">2021-06-01T09:16:00Z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COO.2145.1000.3.4079704</vt:lpwstr>
  </property>
  <property fmtid="{D5CDD505-2E9C-101B-9397-08002B2CF9AE}" pid="152" name="FSC#FSCFOLIO@1.1001:docpropproject">
    <vt:lpwstr/>
  </property>
</Properties>
</file>