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C2" w:rsidRDefault="001924C2" w:rsidP="00632A23">
      <w:pPr>
        <w:jc w:val="center"/>
        <w:rPr>
          <w:b/>
        </w:rPr>
      </w:pPr>
      <w:bookmarkStart w:id="0" w:name="_Toc382555104"/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031C44" w:rsidRDefault="005F174C" w:rsidP="00DE058A">
      <w:pPr>
        <w:jc w:val="center"/>
        <w:rPr>
          <w:b/>
          <w:sz w:val="36"/>
          <w:szCs w:val="36"/>
        </w:rPr>
      </w:pPr>
      <w:r w:rsidRPr="009C1738">
        <w:rPr>
          <w:b/>
          <w:sz w:val="36"/>
          <w:szCs w:val="36"/>
        </w:rPr>
        <w:t>Výročn</w:t>
      </w:r>
      <w:r w:rsidR="00FB010E" w:rsidRPr="009C1738">
        <w:rPr>
          <w:b/>
          <w:sz w:val="36"/>
          <w:szCs w:val="36"/>
        </w:rPr>
        <w:t>á</w:t>
      </w:r>
      <w:r w:rsidRPr="009C1738">
        <w:rPr>
          <w:b/>
          <w:sz w:val="36"/>
          <w:szCs w:val="36"/>
        </w:rPr>
        <w:t xml:space="preserve"> správ</w:t>
      </w:r>
      <w:r w:rsidR="00FB010E" w:rsidRPr="009C1738">
        <w:rPr>
          <w:b/>
          <w:sz w:val="36"/>
          <w:szCs w:val="36"/>
        </w:rPr>
        <w:t>a</w:t>
      </w:r>
      <w:r w:rsidR="00D42502" w:rsidRPr="009C1738">
        <w:rPr>
          <w:b/>
          <w:sz w:val="36"/>
          <w:szCs w:val="36"/>
        </w:rPr>
        <w:t xml:space="preserve"> </w:t>
      </w:r>
      <w:r w:rsidR="003743E4" w:rsidRPr="009C1738">
        <w:rPr>
          <w:b/>
          <w:sz w:val="36"/>
          <w:szCs w:val="36"/>
        </w:rPr>
        <w:t>o aktivitách sieťových partnerov v oblasti ochrany finančných záujmov E</w:t>
      </w:r>
      <w:r w:rsidR="001924C2" w:rsidRPr="009C1738">
        <w:rPr>
          <w:b/>
          <w:sz w:val="36"/>
          <w:szCs w:val="36"/>
        </w:rPr>
        <w:t xml:space="preserve">Ú </w:t>
      </w:r>
      <w:r w:rsidR="003743E4" w:rsidRPr="009C1738">
        <w:rPr>
          <w:b/>
          <w:sz w:val="36"/>
          <w:szCs w:val="36"/>
        </w:rPr>
        <w:t xml:space="preserve"> v</w:t>
      </w:r>
      <w:r w:rsidR="001924C2" w:rsidRPr="009C1738">
        <w:rPr>
          <w:b/>
          <w:sz w:val="36"/>
          <w:szCs w:val="36"/>
        </w:rPr>
        <w:t> </w:t>
      </w:r>
      <w:r w:rsidR="003743E4" w:rsidRPr="009C1738">
        <w:rPr>
          <w:b/>
          <w:sz w:val="36"/>
          <w:szCs w:val="36"/>
        </w:rPr>
        <w:t>S</w:t>
      </w:r>
      <w:r w:rsidR="001924C2" w:rsidRPr="009C1738">
        <w:rPr>
          <w:b/>
          <w:sz w:val="36"/>
          <w:szCs w:val="36"/>
        </w:rPr>
        <w:t>lovenskej republike</w:t>
      </w:r>
    </w:p>
    <w:p w:rsidR="00355C3D" w:rsidRPr="009C1738" w:rsidRDefault="003743E4" w:rsidP="00DE058A">
      <w:pPr>
        <w:jc w:val="center"/>
        <w:rPr>
          <w:b/>
          <w:sz w:val="36"/>
          <w:szCs w:val="36"/>
        </w:rPr>
      </w:pPr>
      <w:r w:rsidRPr="009C1738">
        <w:rPr>
          <w:b/>
          <w:sz w:val="36"/>
          <w:szCs w:val="36"/>
        </w:rPr>
        <w:t>za rok 2013</w:t>
      </w:r>
      <w:bookmarkEnd w:id="0"/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p w:rsidR="001924C2" w:rsidRPr="009C1738" w:rsidRDefault="001924C2" w:rsidP="00632A23">
      <w:pPr>
        <w:jc w:val="center"/>
        <w:rPr>
          <w:b/>
          <w:sz w:val="24"/>
          <w:szCs w:val="24"/>
        </w:rPr>
      </w:pPr>
      <w:r w:rsidRPr="009C1738">
        <w:rPr>
          <w:b/>
          <w:sz w:val="24"/>
          <w:szCs w:val="24"/>
        </w:rPr>
        <w:t>Apríl 2014</w:t>
      </w:r>
    </w:p>
    <w:p w:rsidR="001924C2" w:rsidRDefault="001924C2" w:rsidP="00632A23">
      <w:pPr>
        <w:jc w:val="center"/>
        <w:rPr>
          <w:b/>
        </w:rPr>
      </w:pPr>
    </w:p>
    <w:p w:rsidR="001924C2" w:rsidRDefault="001924C2" w:rsidP="00632A23">
      <w:pPr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23240838"/>
        <w:docPartObj>
          <w:docPartGallery w:val="Table of Contents"/>
          <w:docPartUnique/>
        </w:docPartObj>
      </w:sdtPr>
      <w:sdtEndPr/>
      <w:sdtContent>
        <w:p w:rsidR="00003769" w:rsidRDefault="00003769" w:rsidP="00C20E28">
          <w:pPr>
            <w:pStyle w:val="Hlavikaobsahu"/>
            <w:tabs>
              <w:tab w:val="left" w:pos="1470"/>
            </w:tabs>
          </w:pPr>
          <w:r>
            <w:t>Obsah</w:t>
          </w:r>
          <w:r w:rsidR="00C20E28">
            <w:tab/>
          </w:r>
        </w:p>
        <w:p w:rsidR="0067762F" w:rsidRDefault="00003769" w:rsidP="0067762F">
          <w:pPr>
            <w:pStyle w:val="Obsah1"/>
            <w:rPr>
              <w:rFonts w:eastAsiaTheme="minorEastAsia"/>
              <w:noProof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4972194" w:history="1">
            <w:r w:rsidR="0067762F" w:rsidRPr="00BD3811">
              <w:rPr>
                <w:rStyle w:val="Hypertextovprepojenie"/>
                <w:noProof/>
              </w:rPr>
              <w:t>1.</w:t>
            </w:r>
            <w:r w:rsidR="00C46397">
              <w:rPr>
                <w:rStyle w:val="Hypertextovprepojenie"/>
                <w:noProof/>
              </w:rPr>
              <w:t xml:space="preserve">  </w:t>
            </w:r>
            <w:r w:rsidR="0067762F" w:rsidRPr="00BD3811">
              <w:rPr>
                <w:rStyle w:val="Hypertextovprepojenie"/>
                <w:noProof/>
              </w:rPr>
              <w:t>Úvod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_Toc384972194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3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 w:rsidP="0067762F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384972195" w:history="1">
            <w:r w:rsidR="0067762F" w:rsidRPr="00BD3811">
              <w:rPr>
                <w:rStyle w:val="Hypertextovprepojenie"/>
                <w:noProof/>
              </w:rPr>
              <w:t xml:space="preserve">2. </w:t>
            </w:r>
            <w:r w:rsidR="00C46397">
              <w:rPr>
                <w:rStyle w:val="Hypertextovprepojenie"/>
                <w:noProof/>
              </w:rPr>
              <w:t xml:space="preserve"> </w:t>
            </w:r>
            <w:r w:rsidR="0067762F" w:rsidRPr="00BD3811">
              <w:rPr>
                <w:rStyle w:val="Hypertextovprepojenie"/>
                <w:noProof/>
              </w:rPr>
              <w:t>Zoznam skratiek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_Toc384972195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4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 w:rsidP="0067762F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384972196" w:history="1">
            <w:r w:rsidR="0067762F" w:rsidRPr="00BD3811">
              <w:rPr>
                <w:rStyle w:val="Hypertextovprepojenie"/>
                <w:noProof/>
              </w:rPr>
              <w:t>3.</w:t>
            </w:r>
            <w:r w:rsidR="0067762F">
              <w:rPr>
                <w:rFonts w:eastAsiaTheme="minorEastAsia"/>
                <w:noProof/>
                <w:lang w:eastAsia="sk-SK"/>
              </w:rPr>
              <w:tab/>
            </w:r>
            <w:r w:rsidR="0067762F" w:rsidRPr="00BD3811">
              <w:rPr>
                <w:rStyle w:val="Hypertextovprepojenie"/>
                <w:noProof/>
              </w:rPr>
              <w:t>Spolupráca OCKÚ OLAF s OLAF-om a vzájomná spolupráca sieťových partnerov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_Toc384972196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7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384972197" w:history="1">
            <w:r w:rsidR="0067762F" w:rsidRPr="00BD3811">
              <w:rPr>
                <w:rStyle w:val="Hypertextovprepojenie"/>
                <w:noProof/>
              </w:rPr>
              <w:t>3.1 Spolupráca OCKÚ OLAF s OLAF-om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_Toc384972197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7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3"/>
            <w:tabs>
              <w:tab w:val="right" w:leader="dot" w:pos="9344"/>
            </w:tabs>
            <w:rPr>
              <w:rFonts w:eastAsiaTheme="minorEastAsia"/>
              <w:noProof/>
              <w:lang w:eastAsia="sk-SK"/>
            </w:rPr>
          </w:pPr>
          <w:hyperlink w:anchor="_Toc384972198" w:history="1">
            <w:r w:rsidR="0067762F" w:rsidRPr="00BD3811">
              <w:rPr>
                <w:rStyle w:val="Hypertextovprepojenie"/>
                <w:noProof/>
              </w:rPr>
              <w:t>3.1.1. Poskytovanie súčinnosti OLAFu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_Toc384972198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7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3"/>
            <w:tabs>
              <w:tab w:val="right" w:leader="dot" w:pos="9344"/>
            </w:tabs>
            <w:rPr>
              <w:rFonts w:eastAsiaTheme="minorEastAsia"/>
              <w:noProof/>
              <w:lang w:eastAsia="sk-SK"/>
            </w:rPr>
          </w:pPr>
          <w:hyperlink w:anchor="_Toc384972199" w:history="1">
            <w:r w:rsidR="0067762F" w:rsidRPr="00BD3811">
              <w:rPr>
                <w:rStyle w:val="Hypertextovprepojenie"/>
                <w:noProof/>
              </w:rPr>
              <w:t>3.1.2 Účasť v PS Rady EÚ a EK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_Toc384972199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8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384972200" w:history="1">
            <w:r w:rsidR="0067762F" w:rsidRPr="00BD3811">
              <w:rPr>
                <w:rStyle w:val="Hypertextovprepojenie"/>
                <w:noProof/>
              </w:rPr>
              <w:t>3.2 Spolupráca OCKÚ OLAF so sieťovými partnermi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_Toc384972200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10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3"/>
            <w:tabs>
              <w:tab w:val="right" w:leader="dot" w:pos="9344"/>
            </w:tabs>
            <w:rPr>
              <w:rFonts w:eastAsiaTheme="minorEastAsia"/>
              <w:noProof/>
              <w:lang w:eastAsia="sk-SK"/>
            </w:rPr>
          </w:pPr>
          <w:hyperlink w:anchor="_Toc384972201" w:history="1">
            <w:r w:rsidR="0067762F" w:rsidRPr="00BD3811">
              <w:rPr>
                <w:rStyle w:val="Hypertextovprepojenie"/>
                <w:noProof/>
              </w:rPr>
              <w:t>3.2.1 Činnosť Riadiaceho výboru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_Toc384972201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10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3"/>
            <w:tabs>
              <w:tab w:val="right" w:leader="dot" w:pos="9344"/>
            </w:tabs>
            <w:rPr>
              <w:rFonts w:eastAsiaTheme="minorEastAsia"/>
              <w:noProof/>
              <w:lang w:eastAsia="sk-SK"/>
            </w:rPr>
          </w:pPr>
          <w:hyperlink w:anchor="_Toc384972202" w:history="1">
            <w:r w:rsidR="0067762F" w:rsidRPr="00BD3811">
              <w:rPr>
                <w:rStyle w:val="Hypertextovprepojenie"/>
                <w:noProof/>
              </w:rPr>
              <w:t>3.2.2 Činnosť pracovných skupín pod Riadiacim výborom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_Toc384972202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11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 w:rsidP="0067762F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384972203" w:history="1">
            <w:r w:rsidR="0067762F" w:rsidRPr="00BD3811">
              <w:rPr>
                <w:rStyle w:val="Hypertextovprepojenie"/>
                <w:noProof/>
              </w:rPr>
              <w:t>4.</w:t>
            </w:r>
            <w:r w:rsidR="00C46397">
              <w:rPr>
                <w:rFonts w:eastAsiaTheme="minorEastAsia"/>
                <w:noProof/>
                <w:lang w:eastAsia="sk-SK"/>
              </w:rPr>
              <w:t xml:space="preserve"> </w:t>
            </w:r>
            <w:r w:rsidR="0067762F" w:rsidRPr="00BD3811">
              <w:rPr>
                <w:rStyle w:val="Hypertextovprepojenie"/>
                <w:noProof/>
              </w:rPr>
              <w:t>Činnosť OCKÚ OLAF a ostatných sieťových partnerov v oblasti  ochrany finančných záujmov EÚ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_Toc384972203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13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384972204" w:history="1">
            <w:r w:rsidR="0067762F" w:rsidRPr="00BD3811">
              <w:rPr>
                <w:rStyle w:val="Hypertextovprepojenie"/>
                <w:noProof/>
              </w:rPr>
              <w:t>4.1 OCKÚ OLAF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_Toc384972204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13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384972205" w:history="1">
            <w:r w:rsidR="0067762F" w:rsidRPr="00BD3811">
              <w:rPr>
                <w:rStyle w:val="Hypertextovprepojenie"/>
                <w:noProof/>
              </w:rPr>
              <w:t>4.2 Ostatní sieťoví partneri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_Toc384972205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16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 w:rsidP="0067762F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384972206" w:history="1">
            <w:r w:rsidR="0067762F" w:rsidRPr="00BD3811">
              <w:rPr>
                <w:rStyle w:val="Hypertextovprepojenie"/>
                <w:noProof/>
              </w:rPr>
              <w:t>5.</w:t>
            </w:r>
            <w:r w:rsidR="00C46397">
              <w:rPr>
                <w:rFonts w:eastAsiaTheme="minorEastAsia"/>
                <w:noProof/>
                <w:lang w:eastAsia="sk-SK"/>
              </w:rPr>
              <w:t xml:space="preserve"> </w:t>
            </w:r>
            <w:r w:rsidR="0067762F" w:rsidRPr="00BD3811">
              <w:rPr>
                <w:rStyle w:val="Hypertextovprepojenie"/>
                <w:noProof/>
              </w:rPr>
              <w:t>Príklady dobrej praxe sieťových partnerov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_Toc384972206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17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 w:rsidP="0067762F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384972207" w:history="1">
            <w:r w:rsidR="0067762F" w:rsidRPr="00BD3811">
              <w:rPr>
                <w:rStyle w:val="Hypertextovprepojenie"/>
                <w:noProof/>
              </w:rPr>
              <w:t>6.</w:t>
            </w:r>
            <w:r w:rsidR="00C46397">
              <w:rPr>
                <w:rStyle w:val="Hypertextovprepojenie"/>
                <w:noProof/>
              </w:rPr>
              <w:t xml:space="preserve"> </w:t>
            </w:r>
            <w:r w:rsidR="0067762F" w:rsidRPr="00BD3811">
              <w:rPr>
                <w:rStyle w:val="Hypertextovprepojenie"/>
                <w:noProof/>
              </w:rPr>
              <w:t>Školiace aktivity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_Toc384972207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21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384972208" w:history="1">
            <w:r w:rsidR="0067762F" w:rsidRPr="00BD3811">
              <w:rPr>
                <w:rStyle w:val="Hypertextovprepojenie"/>
                <w:noProof/>
              </w:rPr>
              <w:t>6.1 OCKÚ OLAF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_Toc384972208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21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384972209" w:history="1">
            <w:r w:rsidR="0067762F" w:rsidRPr="00BD3811">
              <w:rPr>
                <w:rStyle w:val="Hypertextovprepojenie"/>
                <w:noProof/>
              </w:rPr>
              <w:t>6.2 Ostatní sieťoví partneri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_Toc384972209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22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>
          <w:pPr>
            <w:pStyle w:val="Obsah2"/>
            <w:rPr>
              <w:rFonts w:eastAsiaTheme="minorEastAsia"/>
              <w:noProof/>
              <w:lang w:eastAsia="sk-SK"/>
            </w:rPr>
          </w:pPr>
          <w:hyperlink w:anchor="_Toc384972210" w:history="1">
            <w:r w:rsidR="0067762F" w:rsidRPr="00BD3811">
              <w:rPr>
                <w:rStyle w:val="Hypertextovprepojenie"/>
                <w:noProof/>
              </w:rPr>
              <w:t>6.3 Aktivity zamerané na ochranu finančných záujmov EÚ – program Európskej komisie Hercule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_Toc384972210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22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 w:rsidP="0067762F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384972220" w:history="1">
            <w:r w:rsidR="0067762F" w:rsidRPr="00BD3811">
              <w:rPr>
                <w:rStyle w:val="Hypertextovprepojenie"/>
                <w:noProof/>
              </w:rPr>
              <w:t>7.</w:t>
            </w:r>
            <w:r w:rsidR="00C46397">
              <w:rPr>
                <w:rStyle w:val="Hypertextovprepojenie"/>
                <w:noProof/>
              </w:rPr>
              <w:t xml:space="preserve"> </w:t>
            </w:r>
            <w:r w:rsidR="0067762F" w:rsidRPr="00BD3811">
              <w:rPr>
                <w:rStyle w:val="Hypertextovprepojenie"/>
                <w:noProof/>
              </w:rPr>
              <w:t>Vydávanie informačných a propagačných materiálov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_Toc384972220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24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 w:rsidP="0067762F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384972221" w:history="1">
            <w:r w:rsidR="0067762F" w:rsidRPr="00BD3811">
              <w:rPr>
                <w:rStyle w:val="Hypertextovprepojenie"/>
                <w:noProof/>
              </w:rPr>
              <w:t>8.</w:t>
            </w:r>
            <w:r w:rsidR="00C46397">
              <w:rPr>
                <w:rStyle w:val="Hypertextovprepojenie"/>
                <w:noProof/>
              </w:rPr>
              <w:t xml:space="preserve"> </w:t>
            </w:r>
            <w:r w:rsidR="0067762F" w:rsidRPr="00BD3811">
              <w:rPr>
                <w:rStyle w:val="Hypertextovprepojenie"/>
                <w:noProof/>
              </w:rPr>
              <w:t>Vydávanie tlačových správ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_Toc384972221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25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67762F" w:rsidRDefault="006D215F" w:rsidP="0067762F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384972222" w:history="1">
            <w:r w:rsidR="0067762F" w:rsidRPr="00BD3811">
              <w:rPr>
                <w:rStyle w:val="Hypertextovprepojenie"/>
                <w:noProof/>
              </w:rPr>
              <w:t>9.</w:t>
            </w:r>
            <w:r w:rsidR="00C46397">
              <w:rPr>
                <w:rStyle w:val="Hypertextovprepojenie"/>
                <w:noProof/>
              </w:rPr>
              <w:t xml:space="preserve"> </w:t>
            </w:r>
            <w:r w:rsidR="0067762F" w:rsidRPr="00BD3811">
              <w:rPr>
                <w:rStyle w:val="Hypertextovprepojenie"/>
                <w:noProof/>
              </w:rPr>
              <w:t>Záver</w:t>
            </w:r>
            <w:r w:rsidR="0067762F">
              <w:rPr>
                <w:noProof/>
                <w:webHidden/>
              </w:rPr>
              <w:tab/>
            </w:r>
            <w:r w:rsidR="0067762F">
              <w:rPr>
                <w:noProof/>
                <w:webHidden/>
              </w:rPr>
              <w:fldChar w:fldCharType="begin"/>
            </w:r>
            <w:r w:rsidR="0067762F">
              <w:rPr>
                <w:noProof/>
                <w:webHidden/>
              </w:rPr>
              <w:instrText xml:space="preserve"> PAGEREF _Toc384972222 \h </w:instrText>
            </w:r>
            <w:r w:rsidR="0067762F">
              <w:rPr>
                <w:noProof/>
                <w:webHidden/>
              </w:rPr>
            </w:r>
            <w:r w:rsidR="0067762F">
              <w:rPr>
                <w:noProof/>
                <w:webHidden/>
              </w:rPr>
              <w:fldChar w:fldCharType="separate"/>
            </w:r>
            <w:r w:rsidR="006A5583">
              <w:rPr>
                <w:noProof/>
                <w:webHidden/>
              </w:rPr>
              <w:t>27</w:t>
            </w:r>
            <w:r w:rsidR="0067762F">
              <w:rPr>
                <w:noProof/>
                <w:webHidden/>
              </w:rPr>
              <w:fldChar w:fldCharType="end"/>
            </w:r>
          </w:hyperlink>
        </w:p>
        <w:p w:rsidR="00003769" w:rsidRDefault="00003769">
          <w:r>
            <w:rPr>
              <w:b/>
              <w:bCs/>
            </w:rPr>
            <w:fldChar w:fldCharType="end"/>
          </w:r>
        </w:p>
      </w:sdtContent>
    </w:sdt>
    <w:p w:rsidR="003743E4" w:rsidRDefault="003743E4" w:rsidP="003743E4">
      <w:pPr>
        <w:pStyle w:val="Odsekzoznamu"/>
        <w:jc w:val="both"/>
      </w:pPr>
    </w:p>
    <w:p w:rsidR="001924C2" w:rsidRDefault="001924C2" w:rsidP="003743E4">
      <w:pPr>
        <w:pStyle w:val="Odsekzoznamu"/>
        <w:jc w:val="both"/>
      </w:pPr>
    </w:p>
    <w:p w:rsidR="00DE058A" w:rsidRDefault="00DE058A" w:rsidP="003743E4">
      <w:pPr>
        <w:pStyle w:val="Odsekzoznamu"/>
        <w:jc w:val="both"/>
      </w:pPr>
    </w:p>
    <w:p w:rsidR="00DE058A" w:rsidRDefault="00DE058A" w:rsidP="003743E4">
      <w:pPr>
        <w:pStyle w:val="Odsekzoznamu"/>
        <w:jc w:val="both"/>
      </w:pPr>
    </w:p>
    <w:p w:rsidR="00DE058A" w:rsidRDefault="00DE058A" w:rsidP="003743E4">
      <w:pPr>
        <w:pStyle w:val="Odsekzoznamu"/>
        <w:jc w:val="both"/>
      </w:pPr>
    </w:p>
    <w:p w:rsidR="00DE058A" w:rsidRDefault="001B15BA" w:rsidP="001B15BA">
      <w:pPr>
        <w:pStyle w:val="Odsekzoznamu"/>
        <w:tabs>
          <w:tab w:val="left" w:pos="2820"/>
        </w:tabs>
        <w:jc w:val="both"/>
      </w:pPr>
      <w:r>
        <w:tab/>
      </w:r>
    </w:p>
    <w:p w:rsidR="00DE058A" w:rsidRDefault="00DE058A" w:rsidP="003743E4">
      <w:pPr>
        <w:pStyle w:val="Odsekzoznamu"/>
        <w:jc w:val="both"/>
      </w:pPr>
    </w:p>
    <w:p w:rsidR="00DE058A" w:rsidRDefault="00DE058A" w:rsidP="003743E4">
      <w:pPr>
        <w:pStyle w:val="Odsekzoznamu"/>
        <w:jc w:val="both"/>
      </w:pPr>
    </w:p>
    <w:p w:rsidR="00DD468E" w:rsidRDefault="00DD468E" w:rsidP="003743E4">
      <w:pPr>
        <w:pStyle w:val="Odsekzoznamu"/>
        <w:jc w:val="both"/>
      </w:pPr>
    </w:p>
    <w:p w:rsidR="003743E4" w:rsidRDefault="003743E4" w:rsidP="001924C2">
      <w:pPr>
        <w:pStyle w:val="Nadpis1"/>
        <w:numPr>
          <w:ilvl w:val="0"/>
          <w:numId w:val="21"/>
        </w:numPr>
      </w:pPr>
      <w:bookmarkStart w:id="1" w:name="_Toc382564101"/>
      <w:bookmarkStart w:id="2" w:name="_Toc384972194"/>
      <w:r>
        <w:lastRenderedPageBreak/>
        <w:t>Úvod</w:t>
      </w:r>
      <w:bookmarkEnd w:id="1"/>
      <w:bookmarkEnd w:id="2"/>
      <w:r w:rsidR="00A55D08">
        <w:t xml:space="preserve"> </w:t>
      </w:r>
    </w:p>
    <w:p w:rsidR="00E95312" w:rsidRPr="00E95312" w:rsidRDefault="00E95312" w:rsidP="00E95312"/>
    <w:p w:rsidR="00FB010E" w:rsidRDefault="00FB010E" w:rsidP="00003769">
      <w:pPr>
        <w:jc w:val="both"/>
      </w:pPr>
      <w:r>
        <w:t>Výročná správa o aktivitách  sieťových partnerov v oblasti ochrany finančn</w:t>
      </w:r>
      <w:r w:rsidR="00854AA7">
        <w:t>ých záujmov EÚ v SR za rok 2013</w:t>
      </w:r>
      <w:r>
        <w:t xml:space="preserve"> </w:t>
      </w:r>
      <w:r w:rsidR="002831AB">
        <w:t xml:space="preserve">(ďalej len </w:t>
      </w:r>
      <w:r w:rsidR="000F4961">
        <w:t>„</w:t>
      </w:r>
      <w:r w:rsidR="002831AB">
        <w:t>Výročná správa</w:t>
      </w:r>
      <w:r w:rsidR="000F4961">
        <w:t xml:space="preserve">“) </w:t>
      </w:r>
      <w:r>
        <w:t xml:space="preserve">je vypracovaná </w:t>
      </w:r>
      <w:r w:rsidR="00EE290D">
        <w:t>odborom Centrálny kontaktný útvar pre OLAF v spolupráci s členmi Pracovnej skupiny pre komunikáciu zriadenej pod Riadiacim výborom pre ochranu finančných záujmov Európskej únie v Slovenskej republike. Výročná s</w:t>
      </w:r>
      <w:r w:rsidR="00D02895">
        <w:t>p</w:t>
      </w:r>
      <w:r w:rsidR="00EE290D">
        <w:t xml:space="preserve">ráva je vypracovaná </w:t>
      </w:r>
      <w:r w:rsidR="00164B84">
        <w:t xml:space="preserve">v zmysle úlohy č. 10 </w:t>
      </w:r>
      <w:r w:rsidR="002831AB">
        <w:t>Komunikačného plánu k ochrane finančných záujmov Európskej únie v Slovenskej republike verzia 2.0 (ďalej len „Komunikačný plán“)</w:t>
      </w:r>
      <w:r w:rsidR="000E7893">
        <w:t xml:space="preserve">. </w:t>
      </w:r>
      <w:r w:rsidR="000F4961">
        <w:t>C</w:t>
      </w:r>
      <w:r>
        <w:t xml:space="preserve">ieľom </w:t>
      </w:r>
      <w:r w:rsidR="000F4961">
        <w:t xml:space="preserve">Výročnej správy je </w:t>
      </w:r>
      <w:r>
        <w:t>informova</w:t>
      </w:r>
      <w:r w:rsidR="000F4961">
        <w:t>nie</w:t>
      </w:r>
      <w:r>
        <w:t xml:space="preserve"> verejnos</w:t>
      </w:r>
      <w:r w:rsidR="000F4961">
        <w:t>ti</w:t>
      </w:r>
      <w:r>
        <w:t xml:space="preserve"> o</w:t>
      </w:r>
      <w:r w:rsidR="000F4961">
        <w:t> aktivitách v oblasti o</w:t>
      </w:r>
      <w:r>
        <w:t>chran</w:t>
      </w:r>
      <w:r w:rsidR="000F4961">
        <w:t>y</w:t>
      </w:r>
      <w:r>
        <w:t xml:space="preserve"> finančných záujmov EÚ v Slovenskej republike.</w:t>
      </w:r>
    </w:p>
    <w:p w:rsidR="001924C2" w:rsidRDefault="001924C2" w:rsidP="001924C2"/>
    <w:p w:rsidR="001924C2" w:rsidRDefault="001924C2" w:rsidP="001924C2"/>
    <w:p w:rsidR="001924C2" w:rsidRDefault="001924C2" w:rsidP="001924C2"/>
    <w:p w:rsidR="001924C2" w:rsidRDefault="001924C2" w:rsidP="001924C2"/>
    <w:p w:rsidR="001924C2" w:rsidRDefault="001924C2" w:rsidP="001924C2"/>
    <w:p w:rsidR="001924C2" w:rsidRDefault="001924C2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1924C2" w:rsidRDefault="001924C2" w:rsidP="001924C2"/>
    <w:p w:rsidR="00DE058A" w:rsidRDefault="00DE058A" w:rsidP="001924C2"/>
    <w:p w:rsidR="00DE058A" w:rsidRDefault="00DE058A" w:rsidP="001924C2"/>
    <w:p w:rsidR="001924C2" w:rsidRDefault="001924C2" w:rsidP="001924C2"/>
    <w:p w:rsidR="001924C2" w:rsidRDefault="001924C2" w:rsidP="001924C2"/>
    <w:p w:rsidR="00497334" w:rsidRDefault="00497334" w:rsidP="00497334">
      <w:pPr>
        <w:pStyle w:val="Nadpis1"/>
      </w:pPr>
      <w:bookmarkStart w:id="3" w:name="_Toc384972195"/>
      <w:r>
        <w:lastRenderedPageBreak/>
        <w:t xml:space="preserve">2. </w:t>
      </w:r>
      <w:r w:rsidRPr="00FB010E">
        <w:t>Zoznam skratiek</w:t>
      </w:r>
      <w:bookmarkEnd w:id="3"/>
    </w:p>
    <w:p w:rsidR="00945D4E" w:rsidRPr="00C20E28" w:rsidRDefault="00C20E28" w:rsidP="001924C2">
      <w:r>
        <w:rPr>
          <w:b/>
        </w:rPr>
        <w:tab/>
      </w:r>
      <w:r>
        <w:rPr>
          <w:b/>
        </w:rPr>
        <w:tab/>
      </w:r>
    </w:p>
    <w:p w:rsidR="00C20E28" w:rsidRDefault="00C20E28" w:rsidP="00497334">
      <w:pPr>
        <w:tabs>
          <w:tab w:val="left" w:pos="1418"/>
          <w:tab w:val="left" w:pos="1701"/>
        </w:tabs>
      </w:pPr>
      <w:r w:rsidRPr="00882D60">
        <w:rPr>
          <w:b/>
        </w:rPr>
        <w:t>AFCOS</w:t>
      </w:r>
      <w:r>
        <w:rPr>
          <w:b/>
        </w:rPr>
        <w:tab/>
        <w:t>-</w:t>
      </w:r>
      <w:r>
        <w:rPr>
          <w:b/>
        </w:rPr>
        <w:tab/>
      </w:r>
      <w:r w:rsidRPr="00996D70">
        <w:t xml:space="preserve">Koordinačný útvar pre boj proti podvodom (angl. </w:t>
      </w:r>
      <w:proofErr w:type="spellStart"/>
      <w:r w:rsidRPr="00996D70">
        <w:t>Anti-fraud</w:t>
      </w:r>
      <w:proofErr w:type="spellEnd"/>
      <w:r w:rsidRPr="00996D70">
        <w:t xml:space="preserve"> </w:t>
      </w:r>
      <w:proofErr w:type="spellStart"/>
      <w:r w:rsidRPr="00996D70">
        <w:t>coordination</w:t>
      </w:r>
      <w:proofErr w:type="spellEnd"/>
      <w:r w:rsidRPr="00996D70">
        <w:t xml:space="preserve"> </w:t>
      </w:r>
      <w:proofErr w:type="spellStart"/>
      <w:r w:rsidRPr="00996D70">
        <w:t>service</w:t>
      </w:r>
      <w:proofErr w:type="spellEnd"/>
      <w:r>
        <w:t>)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  <w:bCs/>
        </w:rPr>
        <w:t>ASFEÚ</w:t>
      </w:r>
      <w:r w:rsidR="000F481C">
        <w:rPr>
          <w:b/>
          <w:bCs/>
        </w:rPr>
        <w:tab/>
        <w:t>-</w:t>
      </w:r>
      <w:r w:rsidR="000F481C">
        <w:rPr>
          <w:b/>
          <w:bCs/>
        </w:rPr>
        <w:tab/>
      </w:r>
      <w:r w:rsidR="000F481C" w:rsidRPr="00C20E28">
        <w:rPr>
          <w:bCs/>
        </w:rPr>
        <w:t>A</w:t>
      </w:r>
      <w:r w:rsidRPr="00497334">
        <w:rPr>
          <w:bCs/>
        </w:rPr>
        <w:t xml:space="preserve">gentúra Ministerstva školstva, vedy, výskumu  a športu SR pre štrukturálne fondy </w:t>
      </w:r>
    </w:p>
    <w:p w:rsidR="000F481C" w:rsidRDefault="000F481C" w:rsidP="00497334">
      <w:pPr>
        <w:tabs>
          <w:tab w:val="left" w:pos="1418"/>
          <w:tab w:val="left" w:pos="1701"/>
        </w:tabs>
        <w:rPr>
          <w:b/>
        </w:rPr>
      </w:pPr>
      <w:r>
        <w:rPr>
          <w:b/>
        </w:rPr>
        <w:t>CED</w:t>
      </w:r>
      <w:r>
        <w:rPr>
          <w:b/>
        </w:rPr>
        <w:tab/>
        <w:t>-</w:t>
      </w:r>
      <w:r>
        <w:rPr>
          <w:b/>
        </w:rPr>
        <w:tab/>
      </w:r>
      <w:r w:rsidRPr="00C20E28">
        <w:t>Centrálna databáza vylúčených subjektov</w:t>
      </w:r>
      <w:r>
        <w:rPr>
          <w:b/>
        </w:rPr>
        <w:tab/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>CKO</w:t>
      </w:r>
      <w:r w:rsidRPr="00497334">
        <w:rPr>
          <w:b/>
        </w:rPr>
        <w:tab/>
        <w:t xml:space="preserve"> - </w:t>
      </w:r>
      <w:r w:rsidRPr="00497334">
        <w:rPr>
          <w:b/>
        </w:rPr>
        <w:tab/>
      </w:r>
      <w:r w:rsidRPr="00497334">
        <w:t>Centrálny koordinačný orgán</w:t>
      </w:r>
    </w:p>
    <w:p w:rsidR="00F97AD1" w:rsidRDefault="00F97AD1" w:rsidP="00497334">
      <w:pPr>
        <w:tabs>
          <w:tab w:val="left" w:pos="1418"/>
          <w:tab w:val="left" w:pos="1701"/>
        </w:tabs>
        <w:rPr>
          <w:b/>
        </w:rPr>
      </w:pPr>
      <w:r w:rsidRPr="00F97AD1">
        <w:rPr>
          <w:b/>
        </w:rPr>
        <w:t>CO</w:t>
      </w:r>
      <w:r>
        <w:rPr>
          <w:b/>
        </w:rPr>
        <w:tab/>
        <w:t>-</w:t>
      </w:r>
      <w:r>
        <w:rPr>
          <w:b/>
        </w:rPr>
        <w:tab/>
      </w:r>
      <w:r w:rsidRPr="00F97AD1">
        <w:t>Certifikačný orgán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>ČŠ</w:t>
      </w:r>
      <w:r w:rsidRPr="00497334">
        <w:rPr>
          <w:b/>
        </w:rPr>
        <w:tab/>
        <w:t>-</w:t>
      </w:r>
      <w:r w:rsidRPr="00497334">
        <w:t xml:space="preserve">   </w:t>
      </w:r>
      <w:r w:rsidRPr="00497334">
        <w:tab/>
        <w:t>Členské štáty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 xml:space="preserve">DOD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Deň otvorených dverí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>ECS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Európske spotrebiteľské centrum pri MH SR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>EFF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Európsky fond pre rybné hospodárstvo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>EK</w:t>
      </w:r>
      <w:r w:rsidR="00B1136F">
        <w:rPr>
          <w:b/>
        </w:rPr>
        <w:t>/Komisia</w:t>
      </w:r>
      <w:r w:rsidRPr="00497334">
        <w:rPr>
          <w:b/>
        </w:rPr>
        <w:t xml:space="preserve">  </w:t>
      </w:r>
      <w:r w:rsidRPr="00497334">
        <w:rPr>
          <w:b/>
        </w:rPr>
        <w:tab/>
        <w:t>-</w:t>
      </w:r>
      <w:r w:rsidRPr="00497334">
        <w:rPr>
          <w:b/>
        </w:rPr>
        <w:tab/>
      </w:r>
      <w:r w:rsidRPr="00497334">
        <w:t>Európska komisia</w:t>
      </w:r>
      <w:r w:rsidRPr="00497334">
        <w:rPr>
          <w:b/>
        </w:rPr>
        <w:t xml:space="preserve"> 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>EPFRV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Európsky poľnohospodársky  fond pre rozvoj vidieka</w:t>
      </w:r>
    </w:p>
    <w:p w:rsidR="00497334" w:rsidRPr="00497334" w:rsidRDefault="00036AB5" w:rsidP="00497334">
      <w:pPr>
        <w:tabs>
          <w:tab w:val="left" w:pos="1418"/>
          <w:tab w:val="left" w:pos="1701"/>
        </w:tabs>
        <w:rPr>
          <w:b/>
        </w:rPr>
      </w:pPr>
      <w:r>
        <w:rPr>
          <w:b/>
        </w:rPr>
        <w:t>EFRR/</w:t>
      </w:r>
      <w:r w:rsidR="00497334" w:rsidRPr="00497334">
        <w:rPr>
          <w:b/>
        </w:rPr>
        <w:t xml:space="preserve">ERDF </w:t>
      </w:r>
      <w:r w:rsidR="00497334" w:rsidRPr="00497334">
        <w:rPr>
          <w:b/>
        </w:rPr>
        <w:tab/>
        <w:t>-</w:t>
      </w:r>
      <w:r w:rsidR="00497334" w:rsidRPr="00497334">
        <w:rPr>
          <w:b/>
        </w:rPr>
        <w:tab/>
      </w:r>
      <w:r w:rsidR="00497334" w:rsidRPr="00497334">
        <w:t>Európsky fond regionálneho rozvoja</w:t>
      </w:r>
      <w:r w:rsidR="00497334" w:rsidRPr="00497334">
        <w:rPr>
          <w:b/>
        </w:rPr>
        <w:t xml:space="preserve"> 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ESF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Európsky sociálny fond</w:t>
      </w:r>
    </w:p>
    <w:p w:rsidR="00497334" w:rsidRPr="00497334" w:rsidRDefault="004323D3" w:rsidP="00497334">
      <w:pPr>
        <w:tabs>
          <w:tab w:val="left" w:pos="1418"/>
          <w:tab w:val="left" w:pos="1701"/>
        </w:tabs>
      </w:pPr>
      <w:r>
        <w:rPr>
          <w:b/>
        </w:rPr>
        <w:t>EÚ/ Únia</w:t>
      </w:r>
      <w:r w:rsidR="00497334" w:rsidRPr="00497334">
        <w:rPr>
          <w:b/>
        </w:rPr>
        <w:tab/>
        <w:t xml:space="preserve">- </w:t>
      </w:r>
      <w:r w:rsidR="00497334" w:rsidRPr="00497334">
        <w:rPr>
          <w:b/>
        </w:rPr>
        <w:tab/>
      </w:r>
      <w:r w:rsidR="00497334" w:rsidRPr="00497334">
        <w:t>Európska únia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>FS SR</w:t>
      </w:r>
      <w:r w:rsidR="003E62A3">
        <w:rPr>
          <w:b/>
        </w:rPr>
        <w:t>/FR SR</w:t>
      </w:r>
      <w:r w:rsidRPr="00497334">
        <w:rPr>
          <w:b/>
        </w:rPr>
        <w:t xml:space="preserve">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Finančná správa SR</w:t>
      </w:r>
    </w:p>
    <w:p w:rsidR="00565EBE" w:rsidRPr="00C20E28" w:rsidRDefault="00565EBE" w:rsidP="00497334">
      <w:pPr>
        <w:tabs>
          <w:tab w:val="left" w:pos="1418"/>
          <w:tab w:val="left" w:pos="1701"/>
        </w:tabs>
      </w:pPr>
      <w:r>
        <w:rPr>
          <w:b/>
        </w:rPr>
        <w:t>GP SR</w:t>
      </w:r>
      <w:r>
        <w:rPr>
          <w:b/>
        </w:rPr>
        <w:tab/>
        <w:t xml:space="preserve">- </w:t>
      </w:r>
      <w:r>
        <w:rPr>
          <w:b/>
        </w:rPr>
        <w:tab/>
      </w:r>
      <w:r w:rsidRPr="00C20E28">
        <w:t>Generálna prokuratúra SR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 xml:space="preserve">KF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Kohézny fond</w:t>
      </w:r>
    </w:p>
    <w:p w:rsidR="00984775" w:rsidRDefault="00984775" w:rsidP="00497334">
      <w:pPr>
        <w:tabs>
          <w:tab w:val="left" w:pos="1418"/>
          <w:tab w:val="left" w:pos="1701"/>
        </w:tabs>
        <w:rPr>
          <w:b/>
        </w:rPr>
      </w:pPr>
      <w:r>
        <w:rPr>
          <w:b/>
        </w:rPr>
        <w:t>MDVRR SR</w:t>
      </w:r>
      <w:r>
        <w:rPr>
          <w:b/>
        </w:rPr>
        <w:tab/>
        <w:t>-</w:t>
      </w:r>
      <w:r>
        <w:rPr>
          <w:b/>
        </w:rPr>
        <w:tab/>
      </w:r>
      <w:r w:rsidRPr="00D11B6C">
        <w:t>Ministerstvo dopravy, výstavby a regionálneho rozvoja SR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 xml:space="preserve">MH SR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Ministerstvo hospodárstva SR</w:t>
      </w:r>
    </w:p>
    <w:p w:rsid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MF SR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Ministerstvo financií SR</w:t>
      </w:r>
    </w:p>
    <w:p w:rsidR="00565EBE" w:rsidRPr="00C20E28" w:rsidRDefault="00565EBE" w:rsidP="00497334">
      <w:pPr>
        <w:tabs>
          <w:tab w:val="left" w:pos="1418"/>
          <w:tab w:val="left" w:pos="1701"/>
        </w:tabs>
      </w:pPr>
      <w:r>
        <w:rPr>
          <w:b/>
        </w:rPr>
        <w:t>MPRV SR</w:t>
      </w:r>
      <w:r>
        <w:rPr>
          <w:b/>
        </w:rPr>
        <w:tab/>
        <w:t xml:space="preserve">- </w:t>
      </w:r>
      <w:r>
        <w:rPr>
          <w:b/>
        </w:rPr>
        <w:tab/>
      </w:r>
      <w:r w:rsidRPr="00C20E28">
        <w:t>Ministerstvo pôdohospodárstva a rozvoja vidieka SR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proofErr w:type="spellStart"/>
      <w:r w:rsidRPr="00497334">
        <w:rPr>
          <w:b/>
        </w:rPr>
        <w:t>MPSVaR</w:t>
      </w:r>
      <w:proofErr w:type="spellEnd"/>
      <w:r w:rsidRPr="00497334">
        <w:rPr>
          <w:b/>
        </w:rPr>
        <w:t xml:space="preserve"> SR</w:t>
      </w:r>
      <w:r w:rsidRPr="00497334">
        <w:t xml:space="preserve"> </w:t>
      </w:r>
      <w:r w:rsidRPr="00497334">
        <w:tab/>
        <w:t xml:space="preserve">- </w:t>
      </w:r>
      <w:r w:rsidRPr="00497334">
        <w:tab/>
        <w:t xml:space="preserve">Ministerstvo práce, sociálnych vecí a rodiny SR </w:t>
      </w:r>
    </w:p>
    <w:p w:rsidR="004002B2" w:rsidRPr="0067762F" w:rsidRDefault="004002B2" w:rsidP="00497334">
      <w:pPr>
        <w:tabs>
          <w:tab w:val="left" w:pos="1418"/>
          <w:tab w:val="left" w:pos="1701"/>
        </w:tabs>
      </w:pPr>
      <w:r>
        <w:rPr>
          <w:b/>
        </w:rPr>
        <w:t>MS SR</w:t>
      </w:r>
      <w:r>
        <w:rPr>
          <w:b/>
        </w:rPr>
        <w:tab/>
        <w:t>-</w:t>
      </w:r>
      <w:r>
        <w:rPr>
          <w:b/>
        </w:rPr>
        <w:tab/>
      </w:r>
      <w:r w:rsidRPr="0067762F">
        <w:t>Ministerstvo spravodlivosti SR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proofErr w:type="spellStart"/>
      <w:r w:rsidRPr="00497334">
        <w:rPr>
          <w:b/>
        </w:rPr>
        <w:t>MŠVVaŠ</w:t>
      </w:r>
      <w:proofErr w:type="spellEnd"/>
      <w:r w:rsidRPr="00497334">
        <w:rPr>
          <w:b/>
        </w:rPr>
        <w:t xml:space="preserve"> SR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Ministerstvo školstva , vedy, výskumu a športu SR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MZ SR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Ministerstvo zdravotníctva SR</w:t>
      </w:r>
    </w:p>
    <w:p w:rsid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>MŽP SR</w:t>
      </w:r>
      <w:r w:rsidRPr="00497334">
        <w:t xml:space="preserve"> </w:t>
      </w:r>
      <w:r w:rsidRPr="00497334">
        <w:tab/>
        <w:t xml:space="preserve">- </w:t>
      </w:r>
      <w:r w:rsidRPr="00497334">
        <w:tab/>
        <w:t>Ministerstvo životného prostredia SR</w:t>
      </w:r>
    </w:p>
    <w:p w:rsidR="009B2A82" w:rsidRDefault="009B2A82" w:rsidP="00497334">
      <w:pPr>
        <w:tabs>
          <w:tab w:val="left" w:pos="1418"/>
          <w:tab w:val="left" w:pos="1701"/>
        </w:tabs>
      </w:pPr>
      <w:r w:rsidRPr="009B2A82">
        <w:rPr>
          <w:b/>
        </w:rPr>
        <w:lastRenderedPageBreak/>
        <w:t>NAKA PPZ</w:t>
      </w:r>
      <w:r>
        <w:rPr>
          <w:b/>
        </w:rPr>
        <w:tab/>
        <w:t>-</w:t>
      </w:r>
      <w:r>
        <w:rPr>
          <w:b/>
        </w:rPr>
        <w:tab/>
      </w:r>
      <w:r w:rsidRPr="00C20E28">
        <w:t>Národn</w:t>
      </w:r>
      <w:r>
        <w:t>á</w:t>
      </w:r>
      <w:r w:rsidRPr="009B2A82">
        <w:t xml:space="preserve"> krimináln</w:t>
      </w:r>
      <w:r>
        <w:t>a</w:t>
      </w:r>
      <w:r w:rsidRPr="009B2A82">
        <w:t xml:space="preserve"> agentúr</w:t>
      </w:r>
      <w:r>
        <w:t>a</w:t>
      </w:r>
      <w:r w:rsidRPr="00C20E28">
        <w:t xml:space="preserve"> Prezídia </w:t>
      </w:r>
      <w:r w:rsidR="006736E8">
        <w:t>P</w:t>
      </w:r>
      <w:r w:rsidRPr="00C20E28">
        <w:t xml:space="preserve">olicajného zboru </w:t>
      </w:r>
    </w:p>
    <w:p w:rsidR="007B5E8E" w:rsidRPr="00497334" w:rsidRDefault="007B5E8E" w:rsidP="00497334">
      <w:pPr>
        <w:tabs>
          <w:tab w:val="left" w:pos="1418"/>
          <w:tab w:val="left" w:pos="1701"/>
        </w:tabs>
      </w:pPr>
      <w:r w:rsidRPr="00C20E28">
        <w:rPr>
          <w:b/>
        </w:rPr>
        <w:t>NFP</w:t>
      </w:r>
      <w:r>
        <w:tab/>
        <w:t>-</w:t>
      </w:r>
      <w:r>
        <w:tab/>
        <w:t>Nenávratný finančný príspevok</w:t>
      </w:r>
    </w:p>
    <w:p w:rsid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NKÚ </w:t>
      </w:r>
      <w:r w:rsidR="004323D3">
        <w:rPr>
          <w:b/>
        </w:rPr>
        <w:t>SR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Najvyšší kontrolný úrad SR</w:t>
      </w:r>
    </w:p>
    <w:p w:rsidR="00652FC8" w:rsidRPr="00497334" w:rsidRDefault="00652FC8" w:rsidP="00497334">
      <w:pPr>
        <w:tabs>
          <w:tab w:val="left" w:pos="1418"/>
          <w:tab w:val="left" w:pos="1701"/>
        </w:tabs>
      </w:pPr>
      <w:r w:rsidRPr="00C20E28">
        <w:rPr>
          <w:b/>
        </w:rPr>
        <w:t>NZN</w:t>
      </w:r>
      <w:r>
        <w:tab/>
        <w:t>-</w:t>
      </w:r>
      <w:r>
        <w:tab/>
        <w:t>Národný zoznam nezrovnalostí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 xml:space="preserve">OFZ EÚ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ochrana finančných záujmov Európskej únie</w:t>
      </w:r>
    </w:p>
    <w:p w:rsidR="00497334" w:rsidRPr="00497334" w:rsidRDefault="00497334" w:rsidP="000F481C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>OCKÚ OLAF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 xml:space="preserve">odbor Centrálny kontaktný útvar pre OLAF sekcie kontroly a boja proti korupcii ÚV </w:t>
      </w:r>
      <w:r w:rsidRPr="00310655">
        <w:t>SR</w:t>
      </w:r>
    </w:p>
    <w:p w:rsidR="00497334" w:rsidRPr="00C20E28" w:rsidRDefault="00497334" w:rsidP="001A612A">
      <w:pPr>
        <w:tabs>
          <w:tab w:val="left" w:pos="1418"/>
          <w:tab w:val="left" w:pos="1701"/>
        </w:tabs>
        <w:ind w:left="1701" w:hanging="1701"/>
      </w:pPr>
      <w:r w:rsidRPr="004323D3">
        <w:rPr>
          <w:b/>
        </w:rPr>
        <w:t>OLAF</w:t>
      </w:r>
      <w:r w:rsidR="004323D3">
        <w:rPr>
          <w:b/>
        </w:rPr>
        <w:tab/>
      </w:r>
      <w:r w:rsidR="004323D3" w:rsidRPr="001A612A">
        <w:rPr>
          <w:b/>
        </w:rPr>
        <w:t>-</w:t>
      </w:r>
      <w:r w:rsidR="004323D3" w:rsidRPr="001A612A">
        <w:rPr>
          <w:b/>
        </w:rPr>
        <w:tab/>
      </w:r>
      <w:r w:rsidR="004323D3" w:rsidRPr="001A612A">
        <w:t>Európsky úrad pre boj proti podvodom</w:t>
      </w:r>
      <w:r w:rsidR="004323D3" w:rsidRPr="001A612A">
        <w:rPr>
          <w:b/>
        </w:rPr>
        <w:t xml:space="preserve"> </w:t>
      </w:r>
      <w:r w:rsidRPr="001A612A">
        <w:t xml:space="preserve">(Office </w:t>
      </w:r>
      <w:proofErr w:type="spellStart"/>
      <w:r w:rsidRPr="001A612A">
        <w:t>Européen</w:t>
      </w:r>
      <w:proofErr w:type="spellEnd"/>
      <w:r w:rsidRPr="001A612A">
        <w:t xml:space="preserve"> </w:t>
      </w:r>
      <w:proofErr w:type="spellStart"/>
      <w:r w:rsidRPr="001A612A">
        <w:t>de</w:t>
      </w:r>
      <w:proofErr w:type="spellEnd"/>
      <w:r w:rsidRPr="001A612A">
        <w:t xml:space="preserve"> </w:t>
      </w:r>
      <w:proofErr w:type="spellStart"/>
      <w:r w:rsidRPr="001A612A">
        <w:t>Lutte</w:t>
      </w:r>
      <w:proofErr w:type="spellEnd"/>
      <w:r w:rsidRPr="001A612A">
        <w:t xml:space="preserve"> </w:t>
      </w:r>
      <w:proofErr w:type="spellStart"/>
      <w:r w:rsidRPr="001A612A">
        <w:t>Anti</w:t>
      </w:r>
      <w:proofErr w:type="spellEnd"/>
      <w:r w:rsidRPr="001A612A">
        <w:t xml:space="preserve"> - </w:t>
      </w:r>
      <w:proofErr w:type="spellStart"/>
      <w:r w:rsidRPr="001A612A">
        <w:t>Fraude</w:t>
      </w:r>
      <w:proofErr w:type="spellEnd"/>
      <w:r w:rsidRPr="001A612A">
        <w:t xml:space="preserve"> (</w:t>
      </w:r>
      <w:proofErr w:type="spellStart"/>
      <w:r w:rsidRPr="001A612A">
        <w:t>fr</w:t>
      </w:r>
      <w:proofErr w:type="spellEnd"/>
      <w:r w:rsidRPr="001A612A">
        <w:t xml:space="preserve">.), </w:t>
      </w:r>
      <w:r w:rsidR="004323D3" w:rsidRPr="001A612A">
        <w:t xml:space="preserve">      </w:t>
      </w:r>
      <w:proofErr w:type="spellStart"/>
      <w:r w:rsidRPr="001A612A">
        <w:t>European</w:t>
      </w:r>
      <w:proofErr w:type="spellEnd"/>
      <w:r w:rsidRPr="001A612A">
        <w:t xml:space="preserve"> </w:t>
      </w:r>
      <w:proofErr w:type="spellStart"/>
      <w:r w:rsidRPr="001A612A">
        <w:t>Anti-fraud</w:t>
      </w:r>
      <w:proofErr w:type="spellEnd"/>
      <w:r w:rsidRPr="001A612A">
        <w:t xml:space="preserve"> </w:t>
      </w:r>
      <w:proofErr w:type="spellStart"/>
      <w:r w:rsidRPr="001A612A">
        <w:t>office</w:t>
      </w:r>
      <w:proofErr w:type="spellEnd"/>
      <w:r w:rsidRPr="001A612A">
        <w:t xml:space="preserve"> (angl.)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>OP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Operačný program</w:t>
      </w:r>
      <w:r w:rsidRPr="00497334">
        <w:rPr>
          <w:b/>
        </w:rPr>
        <w:t xml:space="preserve"> 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OPIS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Operačný program informatizácia spoločnosti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OPD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="000F481C">
        <w:t>O</w:t>
      </w:r>
      <w:r w:rsidRPr="00497334">
        <w:t>peračný program Doprava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OP </w:t>
      </w:r>
      <w:proofErr w:type="spellStart"/>
      <w:r w:rsidRPr="00497334">
        <w:rPr>
          <w:b/>
        </w:rPr>
        <w:t>KaHR</w:t>
      </w:r>
      <w:proofErr w:type="spellEnd"/>
      <w:r w:rsidRPr="00497334">
        <w:t xml:space="preserve"> </w:t>
      </w:r>
      <w:r w:rsidRPr="00497334">
        <w:tab/>
        <w:t xml:space="preserve">- </w:t>
      </w:r>
      <w:r w:rsidRPr="00497334">
        <w:tab/>
        <w:t xml:space="preserve">operačný program  Konkurencieschopnosť a hospodársky rast </w:t>
      </w:r>
    </w:p>
    <w:p w:rsidR="008131ED" w:rsidRDefault="00281EA8" w:rsidP="00497334">
      <w:pPr>
        <w:tabs>
          <w:tab w:val="left" w:pos="1418"/>
          <w:tab w:val="left" w:pos="1701"/>
        </w:tabs>
        <w:rPr>
          <w:b/>
        </w:rPr>
      </w:pPr>
      <w:r>
        <w:rPr>
          <w:b/>
        </w:rPr>
        <w:t>OP</w:t>
      </w:r>
      <w:r w:rsidR="008131ED" w:rsidRPr="007873E0">
        <w:rPr>
          <w:b/>
        </w:rPr>
        <w:t xml:space="preserve"> </w:t>
      </w:r>
      <w:proofErr w:type="spellStart"/>
      <w:r w:rsidR="008131ED" w:rsidRPr="007873E0">
        <w:rPr>
          <w:b/>
        </w:rPr>
        <w:t>VaV</w:t>
      </w:r>
      <w:proofErr w:type="spellEnd"/>
      <w:r w:rsidR="008131ED" w:rsidRPr="007873E0">
        <w:rPr>
          <w:b/>
        </w:rPr>
        <w:tab/>
        <w:t>-</w:t>
      </w:r>
      <w:r w:rsidR="008131ED" w:rsidRPr="007873E0">
        <w:rPr>
          <w:b/>
        </w:rPr>
        <w:tab/>
      </w:r>
      <w:r w:rsidR="008131ED" w:rsidRPr="007873E0">
        <w:t>Operačný program Výskum a</w:t>
      </w:r>
      <w:r w:rsidR="00FC6B0A" w:rsidRPr="007873E0">
        <w:t> vývoj</w:t>
      </w:r>
      <w:r w:rsidR="00FC6B0A">
        <w:t xml:space="preserve"> </w:t>
      </w:r>
    </w:p>
    <w:p w:rsidR="008D7405" w:rsidRDefault="00281EA8" w:rsidP="00497334">
      <w:pPr>
        <w:tabs>
          <w:tab w:val="left" w:pos="1418"/>
          <w:tab w:val="left" w:pos="1701"/>
        </w:tabs>
        <w:rPr>
          <w:b/>
        </w:rPr>
      </w:pPr>
      <w:proofErr w:type="spellStart"/>
      <w:r>
        <w:rPr>
          <w:b/>
        </w:rPr>
        <w:t>OP</w:t>
      </w:r>
      <w:r w:rsidR="008D7405">
        <w:rPr>
          <w:b/>
        </w:rPr>
        <w:t>ZaSI</w:t>
      </w:r>
      <w:proofErr w:type="spellEnd"/>
      <w:r w:rsidR="008D7405">
        <w:rPr>
          <w:b/>
        </w:rPr>
        <w:tab/>
        <w:t>-</w:t>
      </w:r>
      <w:r w:rsidR="008D7405">
        <w:rPr>
          <w:b/>
        </w:rPr>
        <w:tab/>
      </w:r>
      <w:r w:rsidR="008D7405" w:rsidRPr="00D11B6C">
        <w:t>Operačný program zamestnanosť a sociálna inklúzia</w:t>
      </w:r>
    </w:p>
    <w:p w:rsidR="00497334" w:rsidRPr="00497334" w:rsidRDefault="00281EA8" w:rsidP="00497334">
      <w:pPr>
        <w:tabs>
          <w:tab w:val="left" w:pos="1418"/>
          <w:tab w:val="left" w:pos="1701"/>
        </w:tabs>
      </w:pPr>
      <w:r>
        <w:rPr>
          <w:b/>
        </w:rPr>
        <w:t>OP</w:t>
      </w:r>
      <w:r w:rsidR="00497334" w:rsidRPr="00497334">
        <w:rPr>
          <w:b/>
        </w:rPr>
        <w:t>ŽP</w:t>
      </w:r>
      <w:r w:rsidR="00497334" w:rsidRPr="00497334">
        <w:t xml:space="preserve"> </w:t>
      </w:r>
      <w:r w:rsidR="00497334" w:rsidRPr="00497334">
        <w:tab/>
        <w:t xml:space="preserve">- </w:t>
      </w:r>
      <w:r w:rsidR="00497334" w:rsidRPr="00497334">
        <w:tab/>
        <w:t>Operačný program Životné prostredie</w:t>
      </w:r>
    </w:p>
    <w:p w:rsidR="00E155F7" w:rsidRPr="006A5583" w:rsidRDefault="00E155F7" w:rsidP="00497334">
      <w:pPr>
        <w:tabs>
          <w:tab w:val="left" w:pos="1418"/>
          <w:tab w:val="left" w:pos="1701"/>
        </w:tabs>
      </w:pPr>
      <w:r>
        <w:rPr>
          <w:b/>
        </w:rPr>
        <w:t>PPA</w:t>
      </w:r>
      <w:r>
        <w:rPr>
          <w:b/>
        </w:rPr>
        <w:tab/>
        <w:t>-</w:t>
      </w:r>
      <w:r>
        <w:rPr>
          <w:b/>
        </w:rPr>
        <w:tab/>
      </w:r>
      <w:r w:rsidRPr="006A5583">
        <w:t>Pôdohospodárska platobná agentúra pod MPRV SR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PS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Pracovná skupina</w:t>
      </w:r>
      <w:bookmarkStart w:id="4" w:name="_GoBack"/>
      <w:bookmarkEnd w:id="4"/>
    </w:p>
    <w:p w:rsidR="000F481C" w:rsidRPr="00497334" w:rsidRDefault="000F481C" w:rsidP="000F481C">
      <w:pPr>
        <w:tabs>
          <w:tab w:val="left" w:pos="1418"/>
          <w:tab w:val="left" w:pos="1701"/>
        </w:tabs>
      </w:pPr>
      <w:r w:rsidRPr="00497334">
        <w:rPr>
          <w:b/>
        </w:rPr>
        <w:t xml:space="preserve">PSK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 xml:space="preserve">Pracovná skupina pre komunikáciu </w:t>
      </w:r>
    </w:p>
    <w:p w:rsidR="000F481C" w:rsidRPr="00497334" w:rsidRDefault="000F481C" w:rsidP="000F481C">
      <w:pPr>
        <w:tabs>
          <w:tab w:val="left" w:pos="1418"/>
          <w:tab w:val="left" w:pos="1701"/>
        </w:tabs>
      </w:pPr>
      <w:r w:rsidRPr="00F7738F">
        <w:rPr>
          <w:b/>
        </w:rPr>
        <w:t>PS</w:t>
      </w:r>
      <w:r w:rsidR="00464427">
        <w:rPr>
          <w:b/>
        </w:rPr>
        <w:t xml:space="preserve"> </w:t>
      </w:r>
      <w:r w:rsidRPr="00F7738F">
        <w:rPr>
          <w:b/>
        </w:rPr>
        <w:t>325 ZFEÚ</w:t>
      </w:r>
      <w:r w:rsidRPr="00497334">
        <w:tab/>
      </w:r>
      <w:r w:rsidR="00464427">
        <w:t>-</w:t>
      </w:r>
      <w:r w:rsidR="00464427">
        <w:tab/>
      </w:r>
      <w:r w:rsidRPr="00497334">
        <w:t xml:space="preserve">Pracovná skupina k </w:t>
      </w:r>
      <w:r>
        <w:t>článku 325 Zmluvy o fungovaní Európskej únie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>PSKK</w:t>
      </w:r>
      <w:r w:rsidR="000F481C">
        <w:rPr>
          <w:b/>
        </w:rPr>
        <w:tab/>
        <w:t>-</w:t>
      </w:r>
      <w:r w:rsidR="000F481C">
        <w:rPr>
          <w:b/>
        </w:rPr>
        <w:tab/>
      </w:r>
      <w:r w:rsidRPr="00C20E28">
        <w:t>Pracovná skupina pre spoluprácu v oblasti koordinácie kontrolnej činnosti</w:t>
      </w:r>
    </w:p>
    <w:p w:rsidR="000F481C" w:rsidRDefault="000F481C" w:rsidP="000F481C">
      <w:pPr>
        <w:tabs>
          <w:tab w:val="left" w:pos="1418"/>
          <w:tab w:val="left" w:pos="1701"/>
        </w:tabs>
      </w:pPr>
      <w:proofErr w:type="spellStart"/>
      <w:r w:rsidRPr="003377EF">
        <w:rPr>
          <w:b/>
        </w:rPr>
        <w:t>PSpN</w:t>
      </w:r>
      <w:proofErr w:type="spellEnd"/>
      <w:r>
        <w:rPr>
          <w:b/>
        </w:rPr>
        <w:tab/>
        <w:t xml:space="preserve">- </w:t>
      </w:r>
      <w:r w:rsidRPr="00497334">
        <w:tab/>
        <w:t>Pracovná skupina pre nezrovnalosti</w:t>
      </w:r>
    </w:p>
    <w:p w:rsidR="000F481C" w:rsidRPr="00F93187" w:rsidRDefault="000F481C" w:rsidP="000F481C">
      <w:pPr>
        <w:tabs>
          <w:tab w:val="left" w:pos="1418"/>
          <w:tab w:val="left" w:pos="1701"/>
        </w:tabs>
      </w:pPr>
      <w:r w:rsidRPr="00497334">
        <w:rPr>
          <w:b/>
        </w:rPr>
        <w:t>PS pre CED</w:t>
      </w:r>
      <w:r>
        <w:rPr>
          <w:b/>
        </w:rPr>
        <w:tab/>
        <w:t>-</w:t>
      </w:r>
      <w:r>
        <w:rPr>
          <w:b/>
        </w:rPr>
        <w:tab/>
      </w:r>
      <w:r w:rsidRPr="00F93187">
        <w:t xml:space="preserve">Pracovná skupina pre </w:t>
      </w:r>
      <w:r>
        <w:t>c</w:t>
      </w:r>
      <w:r w:rsidRPr="000F481C">
        <w:t>entráln</w:t>
      </w:r>
      <w:r>
        <w:t>u</w:t>
      </w:r>
      <w:r w:rsidRPr="000F481C">
        <w:t xml:space="preserve"> databáz</w:t>
      </w:r>
      <w:r>
        <w:t>u</w:t>
      </w:r>
      <w:r w:rsidRPr="000F481C">
        <w:t xml:space="preserve"> vylúčených subjektov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>PS v oblasti VO</w:t>
      </w:r>
      <w:r w:rsidR="000F481C">
        <w:rPr>
          <w:b/>
        </w:rPr>
        <w:tab/>
        <w:t>-</w:t>
      </w:r>
      <w:r w:rsidR="000F481C">
        <w:rPr>
          <w:b/>
        </w:rPr>
        <w:tab/>
      </w:r>
      <w:r w:rsidRPr="00C20E28">
        <w:t>Pracovná skupina pre spoluprácu v oblasti verejného obstarávania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>PZ SR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Policajný zbor SR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 xml:space="preserve">RILO ECE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proofErr w:type="spellStart"/>
      <w:r w:rsidRPr="00497334">
        <w:t>Regional</w:t>
      </w:r>
      <w:proofErr w:type="spellEnd"/>
      <w:r w:rsidRPr="00497334">
        <w:t xml:space="preserve"> </w:t>
      </w:r>
      <w:proofErr w:type="spellStart"/>
      <w:r w:rsidRPr="00497334">
        <w:t>Intelligence</w:t>
      </w:r>
      <w:proofErr w:type="spellEnd"/>
      <w:r w:rsidRPr="00497334">
        <w:t xml:space="preserve"> </w:t>
      </w:r>
      <w:proofErr w:type="spellStart"/>
      <w:r w:rsidRPr="00497334">
        <w:t>Liaison</w:t>
      </w:r>
      <w:proofErr w:type="spellEnd"/>
      <w:r w:rsidRPr="00497334">
        <w:t xml:space="preserve"> Office </w:t>
      </w:r>
      <w:proofErr w:type="spellStart"/>
      <w:r w:rsidRPr="00497334">
        <w:t>for</w:t>
      </w:r>
      <w:proofErr w:type="spellEnd"/>
      <w:r w:rsidRPr="00497334">
        <w:t xml:space="preserve"> </w:t>
      </w:r>
      <w:proofErr w:type="spellStart"/>
      <w:r w:rsidRPr="00497334">
        <w:t>Eastern</w:t>
      </w:r>
      <w:proofErr w:type="spellEnd"/>
      <w:r w:rsidRPr="00497334">
        <w:t xml:space="preserve"> and </w:t>
      </w:r>
      <w:proofErr w:type="spellStart"/>
      <w:r w:rsidRPr="00497334">
        <w:t>Central</w:t>
      </w:r>
      <w:proofErr w:type="spellEnd"/>
      <w:r w:rsidRPr="00497334">
        <w:t xml:space="preserve"> </w:t>
      </w:r>
      <w:proofErr w:type="spellStart"/>
      <w:r w:rsidRPr="00497334">
        <w:t>Europe</w:t>
      </w:r>
      <w:proofErr w:type="spellEnd"/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>ROP</w:t>
      </w:r>
      <w:r w:rsidRPr="00497334">
        <w:t xml:space="preserve"> </w:t>
      </w:r>
      <w:r w:rsidRPr="00497334">
        <w:tab/>
        <w:t xml:space="preserve">- </w:t>
      </w:r>
      <w:r w:rsidRPr="00497334">
        <w:tab/>
        <w:t>Regionálny operačný program</w:t>
      </w:r>
    </w:p>
    <w:p w:rsidR="00497334" w:rsidRPr="00497334" w:rsidRDefault="00497334" w:rsidP="00497334">
      <w:pPr>
        <w:tabs>
          <w:tab w:val="left" w:pos="1418"/>
          <w:tab w:val="left" w:pos="1701"/>
        </w:tabs>
        <w:jc w:val="both"/>
      </w:pPr>
      <w:r w:rsidRPr="00C20E28">
        <w:rPr>
          <w:b/>
        </w:rPr>
        <w:t>RV</w:t>
      </w:r>
      <w:r w:rsidRPr="00497334">
        <w:rPr>
          <w:b/>
        </w:rPr>
        <w:t xml:space="preserve">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Riadiaci výbor pre ochranu finančných záujmov Európskej únie v Slovenskej republike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SOI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 xml:space="preserve">Slovenská obchodná inšpekcia </w:t>
      </w:r>
    </w:p>
    <w:p w:rsidR="00282944" w:rsidRDefault="00282944" w:rsidP="00497334">
      <w:pPr>
        <w:tabs>
          <w:tab w:val="left" w:pos="1418"/>
          <w:tab w:val="left" w:pos="1701"/>
        </w:tabs>
      </w:pPr>
      <w:r>
        <w:rPr>
          <w:b/>
        </w:rPr>
        <w:lastRenderedPageBreak/>
        <w:t>SOP ĽZ</w:t>
      </w:r>
      <w:r>
        <w:rPr>
          <w:b/>
        </w:rPr>
        <w:tab/>
        <w:t xml:space="preserve">- </w:t>
      </w:r>
      <w:r>
        <w:rPr>
          <w:b/>
        </w:rPr>
        <w:tab/>
      </w:r>
      <w:r w:rsidRPr="00282944">
        <w:t>Sektorový operačný program Ľudské zdroje</w:t>
      </w:r>
    </w:p>
    <w:p w:rsidR="00282944" w:rsidRPr="00282944" w:rsidRDefault="00282944" w:rsidP="00497334">
      <w:pPr>
        <w:tabs>
          <w:tab w:val="left" w:pos="1418"/>
          <w:tab w:val="left" w:pos="1701"/>
        </w:tabs>
        <w:rPr>
          <w:b/>
        </w:rPr>
      </w:pPr>
      <w:r w:rsidRPr="00282944">
        <w:rPr>
          <w:b/>
        </w:rPr>
        <w:t xml:space="preserve">SOP </w:t>
      </w:r>
      <w:proofErr w:type="spellStart"/>
      <w:r w:rsidRPr="00282944">
        <w:rPr>
          <w:b/>
        </w:rPr>
        <w:t>PaS</w:t>
      </w:r>
      <w:proofErr w:type="spellEnd"/>
      <w:r>
        <w:rPr>
          <w:b/>
        </w:rPr>
        <w:tab/>
        <w:t>-</w:t>
      </w:r>
      <w:r>
        <w:rPr>
          <w:b/>
        </w:rPr>
        <w:tab/>
      </w:r>
      <w:r w:rsidRPr="00282944">
        <w:t>Sektorový operačný program Priemysel a služby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SK BPK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Sekcia kontroly a boja proti korupcii ÚV SR</w:t>
      </w:r>
    </w:p>
    <w:p w:rsid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SR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Slovenská republika</w:t>
      </w:r>
    </w:p>
    <w:p w:rsidR="004323D3" w:rsidRDefault="004323D3" w:rsidP="00497334">
      <w:pPr>
        <w:tabs>
          <w:tab w:val="left" w:pos="1418"/>
          <w:tab w:val="left" w:pos="1701"/>
        </w:tabs>
        <w:rPr>
          <w:b/>
        </w:rPr>
      </w:pPr>
      <w:r>
        <w:rPr>
          <w:b/>
        </w:rPr>
        <w:t>ŠR</w:t>
      </w:r>
      <w:r>
        <w:rPr>
          <w:b/>
        </w:rPr>
        <w:tab/>
        <w:t>-</w:t>
      </w:r>
      <w:r>
        <w:rPr>
          <w:b/>
        </w:rPr>
        <w:tab/>
      </w:r>
      <w:r w:rsidRPr="004323D3">
        <w:t>Štátny rozpočet</w:t>
      </w:r>
    </w:p>
    <w:p w:rsidR="009F5F93" w:rsidRDefault="009F5F93" w:rsidP="00497334">
      <w:pPr>
        <w:tabs>
          <w:tab w:val="left" w:pos="1418"/>
          <w:tab w:val="left" w:pos="1701"/>
        </w:tabs>
      </w:pPr>
      <w:r w:rsidRPr="00FF1A51">
        <w:rPr>
          <w:b/>
        </w:rPr>
        <w:t>ŠF</w:t>
      </w:r>
      <w:r>
        <w:tab/>
        <w:t>-</w:t>
      </w:r>
      <w:r>
        <w:tab/>
        <w:t>Štrukturálne fondy EÚ</w:t>
      </w:r>
    </w:p>
    <w:p w:rsidR="0031735A" w:rsidRDefault="0031735A" w:rsidP="00497334">
      <w:pPr>
        <w:tabs>
          <w:tab w:val="left" w:pos="1418"/>
          <w:tab w:val="left" w:pos="1701"/>
        </w:tabs>
      </w:pPr>
      <w:proofErr w:type="spellStart"/>
      <w:r w:rsidRPr="00FF1A51">
        <w:rPr>
          <w:b/>
        </w:rPr>
        <w:t>ÚPSV</w:t>
      </w:r>
      <w:r w:rsidR="00346988" w:rsidRPr="00FF1A51">
        <w:rPr>
          <w:b/>
        </w:rPr>
        <w:t>a</w:t>
      </w:r>
      <w:r w:rsidRPr="00FF1A51">
        <w:rPr>
          <w:b/>
        </w:rPr>
        <w:t>R</w:t>
      </w:r>
      <w:proofErr w:type="spellEnd"/>
      <w:r>
        <w:tab/>
        <w:t>-</w:t>
      </w:r>
      <w:r>
        <w:tab/>
        <w:t>Ústredie práce, sociálnych vecí a</w:t>
      </w:r>
      <w:r w:rsidR="00346988">
        <w:t> </w:t>
      </w:r>
      <w:r>
        <w:t>rodiny</w:t>
      </w:r>
    </w:p>
    <w:p w:rsidR="00346988" w:rsidRPr="00497334" w:rsidRDefault="00346988" w:rsidP="00497334">
      <w:pPr>
        <w:tabs>
          <w:tab w:val="left" w:pos="1418"/>
          <w:tab w:val="left" w:pos="1701"/>
        </w:tabs>
        <w:rPr>
          <w:b/>
        </w:rPr>
      </w:pPr>
      <w:r w:rsidRPr="00FF1A51">
        <w:rPr>
          <w:b/>
        </w:rPr>
        <w:t>ÚPSVR</w:t>
      </w:r>
      <w:r>
        <w:tab/>
        <w:t>-</w:t>
      </w:r>
      <w:r>
        <w:tab/>
      </w:r>
      <w:r w:rsidR="00D058B5">
        <w:t>Ú</w:t>
      </w:r>
      <w:r>
        <w:t>rad práce, sociálnych vecí a rodiny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ÚPV SR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Úrad priemyselného vlastníctva SR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 xml:space="preserve">ÚV SR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Úrad vlády SR</w:t>
      </w:r>
      <w:r w:rsidRPr="00497334">
        <w:rPr>
          <w:b/>
        </w:rPr>
        <w:t xml:space="preserve"> </w:t>
      </w:r>
    </w:p>
    <w:p w:rsidR="00497334" w:rsidRPr="00497334" w:rsidRDefault="00497334" w:rsidP="00497334">
      <w:pPr>
        <w:tabs>
          <w:tab w:val="left" w:pos="1418"/>
          <w:tab w:val="left" w:pos="1701"/>
        </w:tabs>
        <w:rPr>
          <w:b/>
        </w:rPr>
      </w:pPr>
      <w:r w:rsidRPr="00497334">
        <w:rPr>
          <w:b/>
        </w:rPr>
        <w:t>ÚVO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Úrad pre verejné obstarávanie</w:t>
      </w:r>
    </w:p>
    <w:p w:rsidR="00497334" w:rsidRPr="00497334" w:rsidRDefault="00497334" w:rsidP="00497334">
      <w:pPr>
        <w:tabs>
          <w:tab w:val="left" w:pos="1418"/>
          <w:tab w:val="left" w:pos="1701"/>
        </w:tabs>
      </w:pPr>
      <w:r w:rsidRPr="00497334">
        <w:rPr>
          <w:b/>
        </w:rPr>
        <w:t xml:space="preserve">VO </w:t>
      </w:r>
      <w:r w:rsidRPr="00497334">
        <w:rPr>
          <w:b/>
        </w:rPr>
        <w:tab/>
        <w:t xml:space="preserve">- </w:t>
      </w:r>
      <w:r w:rsidRPr="00497334">
        <w:rPr>
          <w:b/>
        </w:rPr>
        <w:tab/>
      </w:r>
      <w:r w:rsidRPr="00497334">
        <w:t>Verejné obstarávanie</w:t>
      </w:r>
    </w:p>
    <w:p w:rsidR="00497334" w:rsidRDefault="00497334" w:rsidP="00FB010E">
      <w:pPr>
        <w:pStyle w:val="Nadpis1"/>
      </w:pPr>
    </w:p>
    <w:p w:rsidR="001924C2" w:rsidRDefault="001924C2" w:rsidP="00FB010E">
      <w:pPr>
        <w:pStyle w:val="Nadpis1"/>
      </w:pPr>
    </w:p>
    <w:p w:rsidR="001924C2" w:rsidRDefault="001924C2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464427" w:rsidRDefault="00464427" w:rsidP="001924C2"/>
    <w:p w:rsidR="001F3B8B" w:rsidRDefault="001F3B8B" w:rsidP="001924C2"/>
    <w:p w:rsidR="00FB010E" w:rsidRPr="00721A0D" w:rsidRDefault="00FB010E" w:rsidP="004556CE">
      <w:pPr>
        <w:pStyle w:val="Nadpis1"/>
        <w:numPr>
          <w:ilvl w:val="0"/>
          <w:numId w:val="22"/>
        </w:numPr>
        <w:jc w:val="both"/>
      </w:pPr>
      <w:bookmarkStart w:id="5" w:name="_Toc384972196"/>
      <w:r w:rsidRPr="00721A0D">
        <w:lastRenderedPageBreak/>
        <w:t>Spolupráca OCKÚ OLAF</w:t>
      </w:r>
      <w:r w:rsidR="004E1A1C" w:rsidRPr="00721A0D">
        <w:t xml:space="preserve"> s</w:t>
      </w:r>
      <w:r w:rsidRPr="00721A0D">
        <w:t xml:space="preserve"> </w:t>
      </w:r>
      <w:proofErr w:type="spellStart"/>
      <w:r w:rsidRPr="00721A0D">
        <w:t>OLAF-om</w:t>
      </w:r>
      <w:proofErr w:type="spellEnd"/>
      <w:r w:rsidR="004E1A1C" w:rsidRPr="00721A0D">
        <w:t xml:space="preserve"> a vzájomná spolupráca </w:t>
      </w:r>
      <w:r w:rsidRPr="00721A0D">
        <w:t>sieťový</w:t>
      </w:r>
      <w:r w:rsidR="000F4961" w:rsidRPr="00721A0D">
        <w:t>ch</w:t>
      </w:r>
      <w:r w:rsidRPr="00721A0D">
        <w:t xml:space="preserve"> partner</w:t>
      </w:r>
      <w:r w:rsidR="000F4961" w:rsidRPr="00721A0D">
        <w:t>ov</w:t>
      </w:r>
      <w:bookmarkEnd w:id="5"/>
    </w:p>
    <w:p w:rsidR="00FB010E" w:rsidRDefault="00FB010E" w:rsidP="00FB010E"/>
    <w:p w:rsidR="00FB010E" w:rsidRDefault="001924C2" w:rsidP="001F3B8B">
      <w:pPr>
        <w:pStyle w:val="Nadpis2"/>
        <w:spacing w:before="0"/>
      </w:pPr>
      <w:bookmarkStart w:id="6" w:name="_Toc384972197"/>
      <w:r>
        <w:t xml:space="preserve">3.1 </w:t>
      </w:r>
      <w:r w:rsidR="00FB010E" w:rsidRPr="00FB010E">
        <w:t xml:space="preserve">Spolupráca OCKÚ OLAF s </w:t>
      </w:r>
      <w:proofErr w:type="spellStart"/>
      <w:r w:rsidR="00FB010E" w:rsidRPr="00FB010E">
        <w:t>OLAF-om</w:t>
      </w:r>
      <w:bookmarkEnd w:id="6"/>
      <w:proofErr w:type="spellEnd"/>
    </w:p>
    <w:p w:rsidR="000F4961" w:rsidRDefault="000F4961" w:rsidP="001F3B8B">
      <w:pPr>
        <w:spacing w:after="0"/>
      </w:pPr>
    </w:p>
    <w:p w:rsidR="00B40CFE" w:rsidRDefault="004323D3" w:rsidP="001F3B8B">
      <w:pPr>
        <w:spacing w:after="0"/>
        <w:jc w:val="both"/>
      </w:pPr>
      <w:r>
        <w:t>C</w:t>
      </w:r>
      <w:r w:rsidRPr="00376CBA">
        <w:t xml:space="preserve">ieľom </w:t>
      </w:r>
      <w:r w:rsidR="00376CBA" w:rsidRPr="00376CBA">
        <w:t>Európsk</w:t>
      </w:r>
      <w:r>
        <w:t>eho</w:t>
      </w:r>
      <w:r w:rsidR="00376CBA" w:rsidRPr="00376CBA">
        <w:t xml:space="preserve"> úrad</w:t>
      </w:r>
      <w:r>
        <w:t>u</w:t>
      </w:r>
      <w:r w:rsidR="00376CBA" w:rsidRPr="00376CBA">
        <w:t xml:space="preserve"> pre boj proti podvodom</w:t>
      </w:r>
      <w:r w:rsidRPr="004323D3">
        <w:rPr>
          <w:b/>
          <w:bCs/>
        </w:rPr>
        <w:t xml:space="preserve"> </w:t>
      </w:r>
      <w:r w:rsidRPr="004323D3">
        <w:rPr>
          <w:bCs/>
        </w:rPr>
        <w:t>(OLAF)</w:t>
      </w:r>
      <w:r>
        <w:t xml:space="preserve"> </w:t>
      </w:r>
      <w:r w:rsidR="00376CBA" w:rsidRPr="00376CBA">
        <w:t xml:space="preserve">je chrániť </w:t>
      </w:r>
      <w:r w:rsidR="00A24644">
        <w:rPr>
          <w:rStyle w:val="Hypertextovprepojenie"/>
          <w:color w:val="000000" w:themeColor="text1"/>
          <w:u w:val="none"/>
        </w:rPr>
        <w:t xml:space="preserve">finančné záujmy </w:t>
      </w:r>
      <w:r w:rsidR="00376CBA" w:rsidRPr="00376CBA">
        <w:t>EÚ, bojovať proti podvodom, korupcii a všetkým ďalším nezákonným aktivitám, vrátane zneužitia úradnej moci v rámci európskych inštitúcií, prostredníctvom výkonu interných a externých administratívnych vyšetrovaní.</w:t>
      </w:r>
    </w:p>
    <w:p w:rsidR="00376CBA" w:rsidRDefault="00B40CFE" w:rsidP="00945D4E">
      <w:pPr>
        <w:jc w:val="both"/>
      </w:pPr>
      <w:r>
        <w:t xml:space="preserve">Úrad OLAF </w:t>
      </w:r>
      <w:r w:rsidR="00490E55">
        <w:t>p</w:t>
      </w:r>
      <w:r w:rsidR="00376CBA" w:rsidRPr="00376CBA">
        <w:t xml:space="preserve">ravidelne a úzko spolupracuje s príslušnými orgánmi členských štátov na účel </w:t>
      </w:r>
      <w:r w:rsidR="00A24644">
        <w:t>koordinácie ich činností v oblasti ochrany finančných záujmov EÚ v </w:t>
      </w:r>
      <w:r w:rsidR="00E155F7">
        <w:t>ČŠ</w:t>
      </w:r>
      <w:r w:rsidR="00A24644">
        <w:t xml:space="preserve">. </w:t>
      </w:r>
      <w:r w:rsidR="00376CBA" w:rsidRPr="00376CBA">
        <w:t xml:space="preserve">OLAF pomáha členským štátom pri ich aktivitách v boji proti podvodom </w:t>
      </w:r>
      <w:r w:rsidR="00490E55">
        <w:t xml:space="preserve">v súvislosti s ochranou finančných záujmov EÚ </w:t>
      </w:r>
      <w:r w:rsidR="00376CBA" w:rsidRPr="00376CBA">
        <w:t xml:space="preserve">poskytovaním potrebnej pomoci a technického </w:t>
      </w:r>
      <w:proofErr w:type="spellStart"/>
      <w:r w:rsidR="00376CBA" w:rsidRPr="00376CBA">
        <w:t>know-how</w:t>
      </w:r>
      <w:proofErr w:type="spellEnd"/>
      <w:r w:rsidR="00376CBA" w:rsidRPr="00376CBA">
        <w:t>. Prispieva k vypracovávaniu politiky Európskej únie pre boj proti podvodom a podniká nevyhnutné kroky na posilnenie príslušných právnych predpisov.</w:t>
      </w:r>
    </w:p>
    <w:p w:rsidR="00BF15DB" w:rsidRDefault="000F4961" w:rsidP="00A24644">
      <w:pPr>
        <w:jc w:val="both"/>
      </w:pPr>
      <w:r>
        <w:t xml:space="preserve">Spolupráca </w:t>
      </w:r>
      <w:r w:rsidR="00376CBA">
        <w:t>medzi OCKÚ OLAF a </w:t>
      </w:r>
      <w:proofErr w:type="spellStart"/>
      <w:r w:rsidR="00376CBA">
        <w:t>OLAFom</w:t>
      </w:r>
      <w:proofErr w:type="spellEnd"/>
      <w:r w:rsidR="00376CBA">
        <w:t xml:space="preserve"> je upravená na základe </w:t>
      </w:r>
      <w:r w:rsidR="00376CBA" w:rsidRPr="00D02895">
        <w:rPr>
          <w:b/>
        </w:rPr>
        <w:t>Dohody</w:t>
      </w:r>
      <w:r w:rsidR="00B51617" w:rsidRPr="00D02895">
        <w:rPr>
          <w:b/>
        </w:rPr>
        <w:t xml:space="preserve"> o spolupráci medzi Sekciou kontroly a boja proti korupcii Úradu vlády SR</w:t>
      </w:r>
      <w:r w:rsidR="00F67373">
        <w:rPr>
          <w:b/>
        </w:rPr>
        <w:t xml:space="preserve">, ktorej </w:t>
      </w:r>
      <w:r w:rsidR="00821C20">
        <w:rPr>
          <w:b/>
        </w:rPr>
        <w:t>odbor vykonáva funkciu Centrálneho kontaktného útvaru (AFCOS) na ochranu finančných záujmov Európskeho</w:t>
      </w:r>
      <w:r w:rsidR="00C20E28">
        <w:rPr>
          <w:b/>
        </w:rPr>
        <w:t xml:space="preserve"> </w:t>
      </w:r>
      <w:r w:rsidR="00821C20">
        <w:rPr>
          <w:b/>
        </w:rPr>
        <w:t>spoločenstva</w:t>
      </w:r>
      <w:r w:rsidR="00B51617" w:rsidRPr="00D02895">
        <w:rPr>
          <w:b/>
        </w:rPr>
        <w:t xml:space="preserve"> a</w:t>
      </w:r>
      <w:r w:rsidR="00821C20">
        <w:rPr>
          <w:b/>
        </w:rPr>
        <w:t> Európskym úradom pre boj proti podvodom (</w:t>
      </w:r>
      <w:r w:rsidR="00B51617" w:rsidRPr="00D02895">
        <w:rPr>
          <w:b/>
        </w:rPr>
        <w:t>OLAF</w:t>
      </w:r>
      <w:r w:rsidR="00821C20">
        <w:rPr>
          <w:b/>
        </w:rPr>
        <w:t>)</w:t>
      </w:r>
      <w:r w:rsidR="00B51617" w:rsidRPr="00B51617">
        <w:t xml:space="preserve">, </w:t>
      </w:r>
      <w:r w:rsidR="00376CBA">
        <w:t xml:space="preserve">ktorá bola uzatvorená dňa </w:t>
      </w:r>
      <w:r w:rsidR="00B51617" w:rsidRPr="00B51617">
        <w:t>6. novembra 2007</w:t>
      </w:r>
      <w:r w:rsidR="00376CBA">
        <w:t>.</w:t>
      </w:r>
      <w:r w:rsidR="00BF15DB" w:rsidRPr="00BF15DB">
        <w:t xml:space="preserve"> </w:t>
      </w:r>
    </w:p>
    <w:p w:rsidR="00BF15DB" w:rsidRDefault="00BF15DB" w:rsidP="00A24644">
      <w:pPr>
        <w:jc w:val="both"/>
      </w:pPr>
      <w:r w:rsidRPr="004556CE">
        <w:t xml:space="preserve">V oblasti </w:t>
      </w:r>
      <w:r w:rsidR="00945D4E" w:rsidRPr="004556CE">
        <w:t xml:space="preserve">OFZ EÚ </w:t>
      </w:r>
      <w:r w:rsidRPr="004556CE">
        <w:t xml:space="preserve">pôsobí OCKÚ OLAF </w:t>
      </w:r>
      <w:r w:rsidR="00945D4E" w:rsidRPr="004556CE">
        <w:t xml:space="preserve">SK BPK ÚV SR </w:t>
      </w:r>
      <w:r w:rsidRPr="004556CE">
        <w:t xml:space="preserve">ako kontaktné pracovisko pre </w:t>
      </w:r>
      <w:r w:rsidR="00945D4E" w:rsidRPr="004556CE">
        <w:t>OLAF</w:t>
      </w:r>
      <w:r w:rsidR="00A24644">
        <w:t xml:space="preserve"> </w:t>
      </w:r>
      <w:r w:rsidRPr="004556CE">
        <w:t>a plní funkciu koordinačného úradu boja proti podvodom.</w:t>
      </w:r>
      <w:r w:rsidRPr="000F4961">
        <w:t xml:space="preserve"> </w:t>
      </w:r>
    </w:p>
    <w:p w:rsidR="001F3B8B" w:rsidRDefault="001F3B8B" w:rsidP="00DE2BE7">
      <w:pPr>
        <w:pStyle w:val="Nadpis3"/>
      </w:pPr>
    </w:p>
    <w:p w:rsidR="00821C20" w:rsidRDefault="00821C20" w:rsidP="001F3B8B">
      <w:pPr>
        <w:pStyle w:val="Nadpis3"/>
        <w:spacing w:before="0"/>
      </w:pPr>
      <w:bookmarkStart w:id="7" w:name="_Toc384972198"/>
      <w:r>
        <w:t>3.1.1</w:t>
      </w:r>
      <w:r w:rsidR="00DE058A">
        <w:t>.</w:t>
      </w:r>
      <w:r>
        <w:t xml:space="preserve"> Poskytovanie súčinnosti </w:t>
      </w:r>
      <w:proofErr w:type="spellStart"/>
      <w:r>
        <w:t>OLAFu</w:t>
      </w:r>
      <w:bookmarkEnd w:id="7"/>
      <w:proofErr w:type="spellEnd"/>
    </w:p>
    <w:p w:rsidR="00031C44" w:rsidRDefault="00031C44" w:rsidP="001F3B8B">
      <w:pPr>
        <w:spacing w:after="0"/>
        <w:jc w:val="both"/>
      </w:pPr>
    </w:p>
    <w:p w:rsidR="00B51617" w:rsidRDefault="00376CBA" w:rsidP="004323D3">
      <w:pPr>
        <w:spacing w:after="0"/>
        <w:jc w:val="both"/>
      </w:pPr>
      <w:r>
        <w:t xml:space="preserve">Jednou z hlavných úloh OCKÚ OLAF je poskytovanie </w:t>
      </w:r>
      <w:r w:rsidRPr="00376CBA">
        <w:t xml:space="preserve">podpory </w:t>
      </w:r>
      <w:proofErr w:type="spellStart"/>
      <w:r w:rsidRPr="00376CBA">
        <w:t>OLAF-u</w:t>
      </w:r>
      <w:proofErr w:type="spellEnd"/>
      <w:r w:rsidRPr="00376CBA">
        <w:t xml:space="preserve"> pri </w:t>
      </w:r>
      <w:r w:rsidR="00B34B18">
        <w:t xml:space="preserve">získavaní </w:t>
      </w:r>
      <w:r w:rsidR="00B34B18" w:rsidRPr="00B34B18">
        <w:t>informácií a dokumentácie na základe jeho vyžiadania od dotknutých subjektov na národnej úrovni</w:t>
      </w:r>
      <w:r w:rsidR="004556CE">
        <w:t xml:space="preserve"> a </w:t>
      </w:r>
      <w:r w:rsidR="00B34B18">
        <w:t>poskyt</w:t>
      </w:r>
      <w:r w:rsidR="004556CE">
        <w:t>ovanie</w:t>
      </w:r>
      <w:r w:rsidR="00B34B18">
        <w:t xml:space="preserve"> súčinnos</w:t>
      </w:r>
      <w:r w:rsidR="004556CE">
        <w:t>ti</w:t>
      </w:r>
      <w:r w:rsidR="00B34B18">
        <w:t xml:space="preserve"> </w:t>
      </w:r>
      <w:proofErr w:type="spellStart"/>
      <w:r w:rsidR="00B34B18">
        <w:t>OLAFu</w:t>
      </w:r>
      <w:proofErr w:type="spellEnd"/>
      <w:r w:rsidR="00B34B18">
        <w:t xml:space="preserve"> pri administratívnom vyšetrovaní vedenom jeho inšpektormi v Slovenskej republike. Na požiadanie, ak to neodporuje slovenskému právnemu poriadku, spolupracuje s </w:t>
      </w:r>
      <w:proofErr w:type="spellStart"/>
      <w:r w:rsidR="00B34B18">
        <w:t>OLAFom</w:t>
      </w:r>
      <w:proofErr w:type="spellEnd"/>
      <w:r w:rsidR="00B34B18">
        <w:t xml:space="preserve"> na vyšetrovaní aj mimo územia Slovenskej republiky. Taktiež poskytuje </w:t>
      </w:r>
      <w:proofErr w:type="spellStart"/>
      <w:r w:rsidR="00B34B18">
        <w:t>OLAFu</w:t>
      </w:r>
      <w:proofErr w:type="spellEnd"/>
      <w:r w:rsidR="00B34B18">
        <w:t xml:space="preserve"> informácie o výsledku kontrol, vyšetrovaní a ďalších konaní súvisiacich so zisťovaním a postihom protiprávnych konaní v prípadoch, v ktorých sú alebo mohli byť poškodené finančné záujmy Európskej únie. </w:t>
      </w:r>
    </w:p>
    <w:p w:rsidR="00B96831" w:rsidRDefault="009F490D" w:rsidP="004323D3">
      <w:pPr>
        <w:spacing w:after="0"/>
        <w:jc w:val="both"/>
        <w:rPr>
          <w:iCs/>
        </w:rPr>
      </w:pPr>
      <w:r w:rsidRPr="00D11B6C">
        <w:rPr>
          <w:iCs/>
        </w:rPr>
        <w:t>V</w:t>
      </w:r>
      <w:r w:rsidR="009F571A" w:rsidRPr="00D11B6C">
        <w:rPr>
          <w:iCs/>
        </w:rPr>
        <w:t xml:space="preserve"> sledovanom </w:t>
      </w:r>
      <w:r w:rsidR="00DE2BE7" w:rsidRPr="00D11B6C">
        <w:rPr>
          <w:iCs/>
        </w:rPr>
        <w:t xml:space="preserve">období poskytol </w:t>
      </w:r>
      <w:r w:rsidRPr="00D11B6C">
        <w:rPr>
          <w:iCs/>
        </w:rPr>
        <w:t xml:space="preserve">OCKÚ OLAF </w:t>
      </w:r>
      <w:r w:rsidR="00DE2BE7" w:rsidRPr="00D11B6C">
        <w:rPr>
          <w:iCs/>
        </w:rPr>
        <w:t xml:space="preserve">súčinnosť </w:t>
      </w:r>
      <w:proofErr w:type="spellStart"/>
      <w:r w:rsidR="00DE2BE7" w:rsidRPr="00D11B6C">
        <w:rPr>
          <w:iCs/>
        </w:rPr>
        <w:t>OLAFu</w:t>
      </w:r>
      <w:proofErr w:type="spellEnd"/>
      <w:r w:rsidR="00DE2BE7" w:rsidRPr="00D11B6C">
        <w:rPr>
          <w:iCs/>
        </w:rPr>
        <w:t xml:space="preserve"> </w:t>
      </w:r>
      <w:r w:rsidRPr="00D11B6C">
        <w:rPr>
          <w:iCs/>
        </w:rPr>
        <w:t>v 15 prípadoch a</w:t>
      </w:r>
      <w:r w:rsidR="00DE2BE7" w:rsidRPr="00D11B6C">
        <w:rPr>
          <w:iCs/>
        </w:rPr>
        <w:t xml:space="preserve"> v jednom prípade sa zúčastnil zamestnanec OCKÚ OLAF na </w:t>
      </w:r>
      <w:r w:rsidR="00B34B18" w:rsidRPr="00B34B18">
        <w:rPr>
          <w:iCs/>
        </w:rPr>
        <w:t>administratívn</w:t>
      </w:r>
      <w:r w:rsidR="00DE2BE7">
        <w:rPr>
          <w:iCs/>
        </w:rPr>
        <w:t>om</w:t>
      </w:r>
      <w:r w:rsidR="00B34B18" w:rsidRPr="00B34B18">
        <w:rPr>
          <w:iCs/>
        </w:rPr>
        <w:t xml:space="preserve"> vyšetrovan</w:t>
      </w:r>
      <w:r w:rsidR="00DE2BE7">
        <w:rPr>
          <w:iCs/>
        </w:rPr>
        <w:t xml:space="preserve">í vedenom na území SR, ktoré </w:t>
      </w:r>
      <w:r w:rsidRPr="009F490D">
        <w:rPr>
          <w:iCs/>
        </w:rPr>
        <w:t>sa týkal</w:t>
      </w:r>
      <w:r w:rsidR="00DE2BE7">
        <w:rPr>
          <w:iCs/>
        </w:rPr>
        <w:t>o</w:t>
      </w:r>
      <w:r w:rsidRPr="009F490D">
        <w:rPr>
          <w:iCs/>
        </w:rPr>
        <w:t xml:space="preserve"> projektov financovaných z ERDF</w:t>
      </w:r>
      <w:r w:rsidR="003E62A3">
        <w:rPr>
          <w:iCs/>
        </w:rPr>
        <w:t xml:space="preserve"> v Maďarsku</w:t>
      </w:r>
      <w:r w:rsidRPr="009F490D">
        <w:rPr>
          <w:iCs/>
        </w:rPr>
        <w:t>.</w:t>
      </w:r>
      <w:r w:rsidR="003E62A3">
        <w:rPr>
          <w:iCs/>
        </w:rPr>
        <w:t xml:space="preserve"> </w:t>
      </w:r>
      <w:r w:rsidRPr="009F490D">
        <w:rPr>
          <w:iCs/>
        </w:rPr>
        <w:t xml:space="preserve"> </w:t>
      </w:r>
      <w:r w:rsidR="00CA04F6">
        <w:rPr>
          <w:iCs/>
        </w:rPr>
        <w:t xml:space="preserve">Z celkového počtu </w:t>
      </w:r>
      <w:r w:rsidR="00E9675B">
        <w:rPr>
          <w:iCs/>
        </w:rPr>
        <w:t xml:space="preserve">15 </w:t>
      </w:r>
      <w:r w:rsidRPr="009F490D">
        <w:rPr>
          <w:iCs/>
        </w:rPr>
        <w:t xml:space="preserve">dožiadaní </w:t>
      </w:r>
      <w:proofErr w:type="spellStart"/>
      <w:r w:rsidRPr="009F490D">
        <w:rPr>
          <w:iCs/>
        </w:rPr>
        <w:t>OLAF</w:t>
      </w:r>
      <w:r w:rsidR="00CA04F6">
        <w:rPr>
          <w:iCs/>
        </w:rPr>
        <w:t>-u</w:t>
      </w:r>
      <w:proofErr w:type="spellEnd"/>
      <w:r w:rsidRPr="009F490D">
        <w:rPr>
          <w:iCs/>
        </w:rPr>
        <w:t xml:space="preserve"> sa </w:t>
      </w:r>
      <w:r w:rsidR="00CA04F6">
        <w:rPr>
          <w:iCs/>
        </w:rPr>
        <w:t xml:space="preserve">5 </w:t>
      </w:r>
      <w:r w:rsidR="00E9675B">
        <w:rPr>
          <w:iCs/>
        </w:rPr>
        <w:t xml:space="preserve">prípadov </w:t>
      </w:r>
      <w:r w:rsidR="00850F82" w:rsidRPr="009F490D">
        <w:rPr>
          <w:iCs/>
        </w:rPr>
        <w:t xml:space="preserve">vyšetrovaní </w:t>
      </w:r>
      <w:r w:rsidR="00E9675B" w:rsidRPr="009F490D">
        <w:rPr>
          <w:iCs/>
        </w:rPr>
        <w:t xml:space="preserve">týkalo </w:t>
      </w:r>
      <w:r w:rsidRPr="009F490D">
        <w:rPr>
          <w:iCs/>
        </w:rPr>
        <w:t>OPV</w:t>
      </w:r>
      <w:r w:rsidR="00850F82">
        <w:rPr>
          <w:iCs/>
        </w:rPr>
        <w:t xml:space="preserve">, </w:t>
      </w:r>
      <w:r w:rsidRPr="009F490D">
        <w:rPr>
          <w:iCs/>
        </w:rPr>
        <w:t>OPD</w:t>
      </w:r>
      <w:r w:rsidR="004C7201">
        <w:rPr>
          <w:iCs/>
        </w:rPr>
        <w:t xml:space="preserve"> (2 prípad</w:t>
      </w:r>
      <w:r w:rsidR="004323D3">
        <w:rPr>
          <w:iCs/>
        </w:rPr>
        <w:t>y</w:t>
      </w:r>
      <w:r w:rsidR="004C7201">
        <w:rPr>
          <w:iCs/>
        </w:rPr>
        <w:t>)</w:t>
      </w:r>
      <w:r w:rsidRPr="009F490D">
        <w:rPr>
          <w:iCs/>
        </w:rPr>
        <w:t>, KF 2004-2006, priam</w:t>
      </w:r>
      <w:r w:rsidR="004323D3">
        <w:rPr>
          <w:iCs/>
        </w:rPr>
        <w:t>ej</w:t>
      </w:r>
      <w:r w:rsidRPr="009F490D">
        <w:rPr>
          <w:iCs/>
        </w:rPr>
        <w:t xml:space="preserve"> pomoc</w:t>
      </w:r>
      <w:r w:rsidR="004323D3">
        <w:rPr>
          <w:iCs/>
        </w:rPr>
        <w:t>i</w:t>
      </w:r>
      <w:r w:rsidRPr="009F490D">
        <w:rPr>
          <w:iCs/>
        </w:rPr>
        <w:t xml:space="preserve"> z rozpočtu EÚ</w:t>
      </w:r>
      <w:r w:rsidR="00850F82">
        <w:rPr>
          <w:iCs/>
        </w:rPr>
        <w:t>,</w:t>
      </w:r>
      <w:r w:rsidRPr="009F490D">
        <w:rPr>
          <w:iCs/>
        </w:rPr>
        <w:t xml:space="preserve"> </w:t>
      </w:r>
      <w:r w:rsidR="00CA04F6">
        <w:rPr>
          <w:iCs/>
        </w:rPr>
        <w:t>2</w:t>
      </w:r>
      <w:r w:rsidRPr="009F490D">
        <w:rPr>
          <w:iCs/>
        </w:rPr>
        <w:t xml:space="preserve"> starších </w:t>
      </w:r>
      <w:r w:rsidR="004C7201">
        <w:rPr>
          <w:iCs/>
        </w:rPr>
        <w:t xml:space="preserve">prípadov </w:t>
      </w:r>
      <w:r w:rsidRPr="009F490D">
        <w:rPr>
          <w:iCs/>
        </w:rPr>
        <w:t xml:space="preserve">vyšetrovaní (týkajúcich sa </w:t>
      </w:r>
      <w:r w:rsidR="00460924">
        <w:rPr>
          <w:iCs/>
        </w:rPr>
        <w:t xml:space="preserve">Programu </w:t>
      </w:r>
      <w:r w:rsidR="004C7201">
        <w:rPr>
          <w:iCs/>
        </w:rPr>
        <w:t xml:space="preserve">rozvoja vidieka a </w:t>
      </w:r>
      <w:proofErr w:type="spellStart"/>
      <w:r w:rsidRPr="009F490D">
        <w:rPr>
          <w:iCs/>
        </w:rPr>
        <w:t>OPIS</w:t>
      </w:r>
      <w:r w:rsidR="004C7201">
        <w:rPr>
          <w:iCs/>
        </w:rPr>
        <w:t>-u</w:t>
      </w:r>
      <w:proofErr w:type="spellEnd"/>
      <w:r w:rsidRPr="009F490D">
        <w:rPr>
          <w:iCs/>
        </w:rPr>
        <w:t>) a</w:t>
      </w:r>
      <w:r w:rsidR="00E9675B">
        <w:rPr>
          <w:iCs/>
        </w:rPr>
        <w:t xml:space="preserve"> v </w:t>
      </w:r>
      <w:r w:rsidR="00CA04F6">
        <w:rPr>
          <w:iCs/>
        </w:rPr>
        <w:t xml:space="preserve">8 </w:t>
      </w:r>
      <w:r w:rsidR="00E9675B">
        <w:rPr>
          <w:iCs/>
        </w:rPr>
        <w:t xml:space="preserve"> prípadoch išlo o zaslanie informácie o odmietnutí otvorenia vyšetrovania, z dôvodu, že </w:t>
      </w:r>
      <w:r w:rsidRPr="009F490D">
        <w:rPr>
          <w:iCs/>
        </w:rPr>
        <w:t>informácia nespĺňa kritériá na otvorenie vyšetrovania alebo prípadu koordinácie (napr. čo sa týka sumy projektu alebo podrobnosti informácie).</w:t>
      </w:r>
    </w:p>
    <w:p w:rsidR="00B51617" w:rsidRDefault="009F490D" w:rsidP="004323D3">
      <w:pPr>
        <w:spacing w:after="0"/>
        <w:jc w:val="both"/>
      </w:pPr>
      <w:r w:rsidRPr="009F490D">
        <w:rPr>
          <w:iCs/>
        </w:rPr>
        <w:t>V</w:t>
      </w:r>
      <w:r w:rsidR="00A24644">
        <w:rPr>
          <w:iCs/>
        </w:rPr>
        <w:t xml:space="preserve"> tomto období </w:t>
      </w:r>
      <w:r w:rsidRPr="009F490D">
        <w:rPr>
          <w:iCs/>
        </w:rPr>
        <w:t xml:space="preserve">bolo ukončených </w:t>
      </w:r>
      <w:r w:rsidR="00CA04F6">
        <w:rPr>
          <w:iCs/>
        </w:rPr>
        <w:t>6</w:t>
      </w:r>
      <w:r w:rsidRPr="009F490D">
        <w:rPr>
          <w:iCs/>
        </w:rPr>
        <w:t xml:space="preserve"> prípadov</w:t>
      </w:r>
      <w:r w:rsidR="00850F82">
        <w:rPr>
          <w:iCs/>
        </w:rPr>
        <w:t xml:space="preserve"> </w:t>
      </w:r>
      <w:r w:rsidR="004C7201">
        <w:rPr>
          <w:iCs/>
        </w:rPr>
        <w:t xml:space="preserve">administratívneho </w:t>
      </w:r>
      <w:r w:rsidR="00850F82">
        <w:rPr>
          <w:iCs/>
        </w:rPr>
        <w:t xml:space="preserve">vyšetrovania </w:t>
      </w:r>
      <w:proofErr w:type="spellStart"/>
      <w:r w:rsidR="00850F82">
        <w:rPr>
          <w:iCs/>
        </w:rPr>
        <w:t>OLAFu</w:t>
      </w:r>
      <w:proofErr w:type="spellEnd"/>
      <w:r w:rsidRPr="009F490D">
        <w:rPr>
          <w:iCs/>
        </w:rPr>
        <w:t>, z toho 3 s odporúčaniami (ROP, SOP ĽZ, OP ŽP). Bez odporúčaní sa skončil jeden prípad prostriedkov priamej pomoci z rozpočtu EÚ, jeden prípad OP</w:t>
      </w:r>
      <w:r w:rsidR="00D02895">
        <w:rPr>
          <w:iCs/>
        </w:rPr>
        <w:t xml:space="preserve"> </w:t>
      </w:r>
      <w:proofErr w:type="spellStart"/>
      <w:r w:rsidRPr="009F490D">
        <w:rPr>
          <w:iCs/>
        </w:rPr>
        <w:t>KaHR</w:t>
      </w:r>
      <w:proofErr w:type="spellEnd"/>
      <w:r w:rsidRPr="009F490D">
        <w:rPr>
          <w:iCs/>
        </w:rPr>
        <w:t xml:space="preserve"> a jeden prípad koordinácie, na ktorý </w:t>
      </w:r>
      <w:r w:rsidR="009F571A">
        <w:rPr>
          <w:iCs/>
        </w:rPr>
        <w:t xml:space="preserve">však </w:t>
      </w:r>
      <w:r w:rsidRPr="009F490D">
        <w:rPr>
          <w:iCs/>
        </w:rPr>
        <w:t>nadväzuje nový prípad vyšetrovania v</w:t>
      </w:r>
      <w:r w:rsidR="009F571A">
        <w:rPr>
          <w:iCs/>
        </w:rPr>
        <w:t> </w:t>
      </w:r>
      <w:r w:rsidRPr="009F490D">
        <w:rPr>
          <w:iCs/>
        </w:rPr>
        <w:t>roku</w:t>
      </w:r>
      <w:r w:rsidR="009F571A">
        <w:rPr>
          <w:iCs/>
        </w:rPr>
        <w:t xml:space="preserve"> 2014</w:t>
      </w:r>
      <w:r w:rsidRPr="009F490D">
        <w:rPr>
          <w:iCs/>
        </w:rPr>
        <w:t xml:space="preserve">. </w:t>
      </w:r>
      <w:r w:rsidR="00D016D1">
        <w:rPr>
          <w:iCs/>
        </w:rPr>
        <w:t>V</w:t>
      </w:r>
      <w:r w:rsidRPr="009F490D">
        <w:rPr>
          <w:iCs/>
        </w:rPr>
        <w:t> roku 2013 boli v súvislosti so SR ukončené 2 prípady z r</w:t>
      </w:r>
      <w:r w:rsidR="00D016D1">
        <w:rPr>
          <w:iCs/>
        </w:rPr>
        <w:t>oku</w:t>
      </w:r>
      <w:r w:rsidRPr="009F490D">
        <w:rPr>
          <w:iCs/>
        </w:rPr>
        <w:t xml:space="preserve"> 2009, jeden prípad z roku 2010</w:t>
      </w:r>
      <w:r w:rsidR="004323D3">
        <w:rPr>
          <w:iCs/>
        </w:rPr>
        <w:t xml:space="preserve"> a</w:t>
      </w:r>
      <w:r w:rsidRPr="009F490D">
        <w:rPr>
          <w:iCs/>
        </w:rPr>
        <w:t xml:space="preserve"> dva z roku 2011. </w:t>
      </w:r>
    </w:p>
    <w:p w:rsidR="001F3B8B" w:rsidRDefault="001F3B8B" w:rsidP="00464427">
      <w:pPr>
        <w:pStyle w:val="Nadpis3"/>
      </w:pPr>
    </w:p>
    <w:p w:rsidR="00850F82" w:rsidRDefault="00850F82" w:rsidP="001F3B8B">
      <w:pPr>
        <w:pStyle w:val="Nadpis3"/>
        <w:spacing w:before="0"/>
      </w:pPr>
      <w:bookmarkStart w:id="8" w:name="_Toc384972199"/>
      <w:r>
        <w:t>3.1.2 Účasť v PS Rady EÚ a EK</w:t>
      </w:r>
      <w:bookmarkEnd w:id="8"/>
    </w:p>
    <w:p w:rsidR="00850F82" w:rsidRPr="00850F82" w:rsidRDefault="00850F82" w:rsidP="001F3B8B">
      <w:pPr>
        <w:spacing w:after="0"/>
      </w:pPr>
    </w:p>
    <w:p w:rsidR="004C7201" w:rsidRDefault="00FC1537" w:rsidP="001F3B8B">
      <w:pPr>
        <w:spacing w:after="0"/>
        <w:jc w:val="both"/>
        <w:rPr>
          <w:b/>
        </w:rPr>
      </w:pPr>
      <w:r w:rsidRPr="00A24644">
        <w:t>V</w:t>
      </w:r>
      <w:r w:rsidR="00B51617" w:rsidRPr="00A24644">
        <w:t xml:space="preserve"> sledovanom období </w:t>
      </w:r>
      <w:r w:rsidR="00A4503B" w:rsidRPr="00A24644">
        <w:rPr>
          <w:b/>
        </w:rPr>
        <w:t>OCKÚ OLAF</w:t>
      </w:r>
      <w:r w:rsidR="00A4503B" w:rsidRPr="00A24644">
        <w:t xml:space="preserve"> </w:t>
      </w:r>
      <w:r w:rsidR="00A4503B" w:rsidRPr="00A24644">
        <w:rPr>
          <w:b/>
        </w:rPr>
        <w:t>zastupoval SR</w:t>
      </w:r>
      <w:r w:rsidR="00A4503B" w:rsidRPr="00A24644">
        <w:t xml:space="preserve"> </w:t>
      </w:r>
      <w:r w:rsidR="00850F82">
        <w:t>na zasadnutiach v rámci P</w:t>
      </w:r>
      <w:r w:rsidR="00B51617" w:rsidRPr="00A24644">
        <w:t>racovn</w:t>
      </w:r>
      <w:r w:rsidR="00850F82">
        <w:t xml:space="preserve">ej </w:t>
      </w:r>
      <w:r w:rsidR="00B51617" w:rsidRPr="00A24644">
        <w:t>skupin</w:t>
      </w:r>
      <w:r w:rsidR="00850F82">
        <w:t>y</w:t>
      </w:r>
      <w:r w:rsidR="001F3B8B">
        <w:t xml:space="preserve"> </w:t>
      </w:r>
      <w:r w:rsidR="00B51617" w:rsidRPr="00A24644">
        <w:t>Rady EÚ a</w:t>
      </w:r>
      <w:r w:rsidR="00C40203">
        <w:t xml:space="preserve"> pracovných skupín </w:t>
      </w:r>
      <w:r w:rsidR="004C7201">
        <w:t xml:space="preserve">v rámci </w:t>
      </w:r>
      <w:r w:rsidR="00C40203" w:rsidRPr="00A24644">
        <w:rPr>
          <w:b/>
        </w:rPr>
        <w:t>Poradn</w:t>
      </w:r>
      <w:r w:rsidR="004C7201">
        <w:rPr>
          <w:b/>
        </w:rPr>
        <w:t>ého</w:t>
      </w:r>
      <w:r w:rsidR="00C40203">
        <w:rPr>
          <w:b/>
        </w:rPr>
        <w:t xml:space="preserve"> </w:t>
      </w:r>
      <w:r w:rsidR="00C40203" w:rsidRPr="00A24644">
        <w:rPr>
          <w:b/>
        </w:rPr>
        <w:t>výbor</w:t>
      </w:r>
      <w:r w:rsidR="004C7201">
        <w:rPr>
          <w:b/>
        </w:rPr>
        <w:t>u</w:t>
      </w:r>
      <w:r w:rsidR="00C40203" w:rsidRPr="00A24644">
        <w:rPr>
          <w:b/>
        </w:rPr>
        <w:t xml:space="preserve"> </w:t>
      </w:r>
      <w:proofErr w:type="spellStart"/>
      <w:r w:rsidR="00C40203" w:rsidRPr="00A24644">
        <w:rPr>
          <w:b/>
        </w:rPr>
        <w:t>OLAF-u</w:t>
      </w:r>
      <w:proofErr w:type="spellEnd"/>
      <w:r w:rsidR="00C40203">
        <w:rPr>
          <w:b/>
        </w:rPr>
        <w:t>/EK</w:t>
      </w:r>
      <w:r w:rsidR="00C40203" w:rsidRPr="00A24644">
        <w:rPr>
          <w:b/>
        </w:rPr>
        <w:t xml:space="preserve"> na koordináciu boja proti podvodom – COCOLAF</w:t>
      </w:r>
      <w:r w:rsidR="004C7201">
        <w:rPr>
          <w:b/>
        </w:rPr>
        <w:t xml:space="preserve">. </w:t>
      </w:r>
      <w:r w:rsidR="004C7201" w:rsidRPr="00464427">
        <w:t xml:space="preserve">V rámci </w:t>
      </w:r>
      <w:proofErr w:type="spellStart"/>
      <w:r w:rsidR="004C7201" w:rsidRPr="00464427">
        <w:t>COCOLAFu</w:t>
      </w:r>
      <w:proofErr w:type="spellEnd"/>
      <w:r w:rsidR="004C7201" w:rsidRPr="00464427">
        <w:t xml:space="preserve"> zamestnanci OCKÚ OLAF aktívne participovali na zasadnutí </w:t>
      </w:r>
      <w:r w:rsidR="004C7201" w:rsidRPr="00C40203">
        <w:t>Pracovnej skupiny pre prevenciu po</w:t>
      </w:r>
      <w:r w:rsidR="00924686">
        <w:t>dvodov, Pracovnej skupiny AFCOS</w:t>
      </w:r>
      <w:r w:rsidR="004C7201" w:rsidRPr="00C40203">
        <w:t>, Pracovnej skupiny pre nahlasovanie a analýzu podvodných a iných nezrovnalostí</w:t>
      </w:r>
      <w:r w:rsidR="00924686">
        <w:t xml:space="preserve">, </w:t>
      </w:r>
      <w:r w:rsidR="004C7201" w:rsidRPr="00C40203">
        <w:t>a</w:t>
      </w:r>
      <w:r w:rsidR="004C7201">
        <w:t xml:space="preserve">ko aj </w:t>
      </w:r>
      <w:r w:rsidR="004C7201" w:rsidRPr="00C40203">
        <w:t>v rámci siete komunikátorov Európskeho úradu pre boj proti podvodom – OAFCN, a to predovšetkým pri plnení úloh stanovených v Akčnom pláne OAFCN na rok 2013.</w:t>
      </w:r>
    </w:p>
    <w:p w:rsidR="00C40203" w:rsidRDefault="00863AB8" w:rsidP="001F3B8B">
      <w:pPr>
        <w:spacing w:after="0"/>
        <w:jc w:val="both"/>
      </w:pPr>
      <w:r>
        <w:t>V roku 2013 boli</w:t>
      </w:r>
      <w:r w:rsidR="00C40203">
        <w:t xml:space="preserve"> vytvoren</w:t>
      </w:r>
      <w:r>
        <w:t>é</w:t>
      </w:r>
      <w:r w:rsidR="00C40203">
        <w:t xml:space="preserve"> pod Pracovnou skupinou pre prevenciu podvodov </w:t>
      </w:r>
      <w:r>
        <w:t xml:space="preserve">2 expertné pracovné skupiny. Zástupca OCKÚ OLAF zastupoval SR </w:t>
      </w:r>
      <w:r w:rsidRPr="00D11B6C">
        <w:t xml:space="preserve">v expertnej skupine </w:t>
      </w:r>
      <w:r w:rsidR="00D5347B" w:rsidRPr="00D11B6C">
        <w:t>pre konflikt záujmov</w:t>
      </w:r>
      <w:r w:rsidR="00D5347B">
        <w:t xml:space="preserve"> zloženej zo zástupcov z </w:t>
      </w:r>
      <w:r>
        <w:t>10 členských štátov</w:t>
      </w:r>
      <w:r w:rsidR="00D5347B">
        <w:t xml:space="preserve">, </w:t>
      </w:r>
      <w:proofErr w:type="spellStart"/>
      <w:r w:rsidR="00D5347B">
        <w:t>OLAFu</w:t>
      </w:r>
      <w:proofErr w:type="spellEnd"/>
      <w:r w:rsidR="00D5347B">
        <w:t xml:space="preserve"> a EK.</w:t>
      </w:r>
      <w:r>
        <w:t xml:space="preserve"> V</w:t>
      </w:r>
      <w:r w:rsidR="00151A14">
        <w:t xml:space="preserve">ýsledkom </w:t>
      </w:r>
      <w:r>
        <w:t xml:space="preserve">práce oboch pracovných skupín </w:t>
      </w:r>
      <w:r w:rsidR="00151A14">
        <w:t>bolo</w:t>
      </w:r>
      <w:r w:rsidR="00151A14" w:rsidRPr="00151A14">
        <w:t xml:space="preserve"> </w:t>
      </w:r>
      <w:r w:rsidR="00151A14">
        <w:t xml:space="preserve">vypracovanie </w:t>
      </w:r>
      <w:r w:rsidR="00151A14" w:rsidRPr="00151A14">
        <w:t xml:space="preserve">materiálov „Identifikácia konfliktu záujmov v procesoch verejného obstarávania pre štrukturálne opatrenia. Praktická príručka pre manažérov“ a „Odhaľovanie falšovaných dokladov v oblasti štrukturálnych opatrení. Praktická </w:t>
      </w:r>
      <w:r w:rsidR="00151A14">
        <w:t xml:space="preserve">príručka pre riadiace orgány“ </w:t>
      </w:r>
      <w:r w:rsidR="00924686">
        <w:t>.</w:t>
      </w:r>
    </w:p>
    <w:p w:rsidR="001F3B8B" w:rsidRDefault="001F3B8B" w:rsidP="001F3B8B">
      <w:pPr>
        <w:spacing w:after="0"/>
        <w:jc w:val="both"/>
      </w:pPr>
    </w:p>
    <w:p w:rsidR="00A4503B" w:rsidRDefault="00D36FDF" w:rsidP="001F3B8B">
      <w:pPr>
        <w:spacing w:after="0"/>
        <w:jc w:val="both"/>
      </w:pPr>
      <w:r>
        <w:t xml:space="preserve">V rámci </w:t>
      </w:r>
      <w:r w:rsidRPr="006334C8">
        <w:rPr>
          <w:b/>
        </w:rPr>
        <w:t>Pracovnej skupiny Rady pre boj proti podvodom – GAF</w:t>
      </w:r>
      <w:r>
        <w:t xml:space="preserve"> sa </w:t>
      </w:r>
      <w:r w:rsidRPr="00A4503B">
        <w:t>OCKÚ OLAF</w:t>
      </w:r>
      <w:r w:rsidRPr="00D36FDF">
        <w:t xml:space="preserve"> </w:t>
      </w:r>
      <w:r>
        <w:t xml:space="preserve">aktívne </w:t>
      </w:r>
      <w:r w:rsidRPr="00A4503B">
        <w:t xml:space="preserve">zúčastňoval na </w:t>
      </w:r>
      <w:r w:rsidRPr="00FC1537">
        <w:t>rokovaniach o</w:t>
      </w:r>
      <w:r>
        <w:t xml:space="preserve"> novom </w:t>
      </w:r>
      <w:r w:rsidRPr="00FC1537">
        <w:t xml:space="preserve">nariadení o vyšetrovaniach vykonávaných </w:t>
      </w:r>
      <w:proofErr w:type="spellStart"/>
      <w:r w:rsidRPr="00FC1537">
        <w:t>OLAFom</w:t>
      </w:r>
      <w:proofErr w:type="spellEnd"/>
      <w:r w:rsidR="00A24644">
        <w:t>,</w:t>
      </w:r>
      <w:r>
        <w:t xml:space="preserve"> </w:t>
      </w:r>
      <w:r w:rsidRPr="00A4503B">
        <w:t xml:space="preserve">ktorých výsledkom </w:t>
      </w:r>
      <w:r>
        <w:t xml:space="preserve">bolo </w:t>
      </w:r>
      <w:r w:rsidRPr="00FC1537">
        <w:rPr>
          <w:b/>
        </w:rPr>
        <w:t xml:space="preserve">prijatie </w:t>
      </w:r>
      <w:r>
        <w:rPr>
          <w:b/>
        </w:rPr>
        <w:t xml:space="preserve">Nariadenia </w:t>
      </w:r>
      <w:r w:rsidRPr="00464427">
        <w:rPr>
          <w:b/>
        </w:rPr>
        <w:t xml:space="preserve">EP a Rady (EÚ, </w:t>
      </w:r>
      <w:proofErr w:type="spellStart"/>
      <w:r w:rsidRPr="00464427">
        <w:rPr>
          <w:b/>
        </w:rPr>
        <w:t>Euratom</w:t>
      </w:r>
      <w:proofErr w:type="spellEnd"/>
      <w:r w:rsidRPr="00464427">
        <w:rPr>
          <w:b/>
        </w:rPr>
        <w:t xml:space="preserve">) č. 883/2013 </w:t>
      </w:r>
      <w:r w:rsidR="007E3894" w:rsidRPr="00464427">
        <w:rPr>
          <w:b/>
        </w:rPr>
        <w:t xml:space="preserve">zo dňa 11. septembra 2013 </w:t>
      </w:r>
      <w:r w:rsidRPr="00464427">
        <w:rPr>
          <w:b/>
        </w:rPr>
        <w:t>o vyšetrovaniach vykonávaných Európskym úradom pre boj proti podvodom (OLAF),</w:t>
      </w:r>
      <w:r w:rsidRPr="00874F7D">
        <w:t xml:space="preserve"> ktorým sa zrušuje </w:t>
      </w:r>
      <w:r w:rsidRPr="00D36FDF">
        <w:t xml:space="preserve">Nariadenie </w:t>
      </w:r>
      <w:r w:rsidR="00EB525A" w:rsidRPr="00D36FDF">
        <w:t xml:space="preserve">Európskeho parlamentu a Rady </w:t>
      </w:r>
      <w:r w:rsidRPr="00D36FDF">
        <w:t>(ES) č. 1073/1999 z 25. mája 1999 o vyšetrovaniach vykonávaných Európskym úradom pre boj proti podvodom (OLAF)</w:t>
      </w:r>
      <w:r w:rsidRPr="00874F7D">
        <w:t xml:space="preserve"> </w:t>
      </w:r>
      <w:r w:rsidR="00EB525A">
        <w:t xml:space="preserve">a </w:t>
      </w:r>
      <w:r w:rsidRPr="00D36FDF">
        <w:t>Nariadenie Rady (</w:t>
      </w:r>
      <w:proofErr w:type="spellStart"/>
      <w:r w:rsidRPr="00D36FDF">
        <w:t>Euratom</w:t>
      </w:r>
      <w:proofErr w:type="spellEnd"/>
      <w:r w:rsidRPr="00D36FDF">
        <w:t>) č. 1074/99 zo dňa 25. mája 1999 týkajúce sa vyšetrovaní vedených Európskym úradom pre boj proti podvodom (OLAF)</w:t>
      </w:r>
      <w:r w:rsidR="00A24644">
        <w:t xml:space="preserve">. </w:t>
      </w:r>
      <w:r>
        <w:t xml:space="preserve"> </w:t>
      </w:r>
    </w:p>
    <w:p w:rsidR="00874F7D" w:rsidRPr="00874F7D" w:rsidRDefault="00D36FDF" w:rsidP="001F3B8B">
      <w:pPr>
        <w:spacing w:after="0"/>
        <w:jc w:val="both"/>
      </w:pPr>
      <w:r>
        <w:t xml:space="preserve">Nové nariadenie </w:t>
      </w:r>
      <w:r w:rsidR="00874F7D" w:rsidRPr="00874F7D">
        <w:t>vstúpilo do platnosti dňa 1. októbra 2013. Prijatie nového nariadenia vyplývalo z potreby revidov</w:t>
      </w:r>
      <w:r w:rsidR="00EB525A">
        <w:t>ať právny rámec, teda nariadenie</w:t>
      </w:r>
      <w:r w:rsidR="00874F7D" w:rsidRPr="00874F7D">
        <w:t xml:space="preserve"> EP a Rady č. 1073/1999 a zo snahy posilniť účinnosť vyšetrovacieho postupu uplatňovaného úradom OLAF ako aj na základe hodnotení jeho činností zo strany inštitúcií Únie, a to najmä hodnotiacej správy Komisie z apríla 2003 a osobitných správ Dvora audítorov o riadení úradu OLAF.</w:t>
      </w:r>
    </w:p>
    <w:p w:rsidR="00874F7D" w:rsidRDefault="00874F7D" w:rsidP="001F3B8B">
      <w:pPr>
        <w:spacing w:after="0"/>
        <w:jc w:val="both"/>
      </w:pPr>
      <w:r w:rsidRPr="00A24644">
        <w:rPr>
          <w:b/>
        </w:rPr>
        <w:t>V</w:t>
      </w:r>
      <w:r w:rsidR="00D36FDF" w:rsidRPr="00A24644">
        <w:rPr>
          <w:b/>
        </w:rPr>
        <w:t xml:space="preserve"> novom </w:t>
      </w:r>
      <w:r w:rsidRPr="00A24644">
        <w:rPr>
          <w:b/>
        </w:rPr>
        <w:t>nariadení</w:t>
      </w:r>
      <w:r w:rsidRPr="00874F7D">
        <w:t xml:space="preserve"> sa kladie dôraz na efektívny priebeh vyšetrovaní, a to posilnením spolupráce medzi </w:t>
      </w:r>
      <w:r w:rsidR="00EB525A">
        <w:t>ČŠ</w:t>
      </w:r>
      <w:r>
        <w:t xml:space="preserve"> </w:t>
      </w:r>
      <w:r w:rsidRPr="00874F7D">
        <w:t>a úradom OLAF</w:t>
      </w:r>
      <w:r w:rsidR="00EB525A">
        <w:t xml:space="preserve"> a </w:t>
      </w:r>
      <w:r w:rsidRPr="00874F7D">
        <w:t xml:space="preserve">poskytovaním pomoci </w:t>
      </w:r>
      <w:proofErr w:type="spellStart"/>
      <w:r w:rsidRPr="00874F7D">
        <w:t>OLAF-u</w:t>
      </w:r>
      <w:proofErr w:type="spellEnd"/>
      <w:r w:rsidRPr="00874F7D">
        <w:t xml:space="preserve"> pred</w:t>
      </w:r>
      <w:r w:rsidR="00EB525A">
        <w:t xml:space="preserve"> otvorením i počas vyšetrovania. U</w:t>
      </w:r>
      <w:r w:rsidRPr="00EB525A">
        <w:t>rčuje sa</w:t>
      </w:r>
      <w:r w:rsidRPr="00C17A61">
        <w:rPr>
          <w:b/>
        </w:rPr>
        <w:t xml:space="preserve"> povinnosť pre ČŠ zriadiť koordinačný útvar pre boj proti podvodom (AFCOS)</w:t>
      </w:r>
      <w:r w:rsidRPr="00874F7D">
        <w:t xml:space="preserve"> ako aj zabezpečenie spätnej väzby vo vzťahu k opatreniam stanoveným </w:t>
      </w:r>
      <w:r>
        <w:t xml:space="preserve">generálnym riaditeľom </w:t>
      </w:r>
      <w:proofErr w:type="spellStart"/>
      <w:r>
        <w:t>OLAFu</w:t>
      </w:r>
      <w:proofErr w:type="spellEnd"/>
      <w:r>
        <w:t xml:space="preserve"> </w:t>
      </w:r>
      <w:r w:rsidRPr="00874F7D">
        <w:t>v záverečných správach z vyšetrovania. Dôležitým aspektom nariadenia je posilnenie procesných záruk dotknutých osôb pri vnútorných a vonkajších vyšetrovaniach OLAF a výmen</w:t>
      </w:r>
      <w:r>
        <w:t>a</w:t>
      </w:r>
      <w:r w:rsidRPr="00874F7D">
        <w:t xml:space="preserve"> informácií medzi </w:t>
      </w:r>
      <w:proofErr w:type="spellStart"/>
      <w:r w:rsidRPr="00874F7D">
        <w:t>OLAFom</w:t>
      </w:r>
      <w:proofErr w:type="spellEnd"/>
      <w:r w:rsidRPr="00874F7D">
        <w:t xml:space="preserve"> a inštitúciami Únie, ako aj orgánmi členských štátov.</w:t>
      </w:r>
    </w:p>
    <w:p w:rsidR="00D36FDF" w:rsidRPr="00D36FDF" w:rsidRDefault="00D36FDF" w:rsidP="007E3894">
      <w:pPr>
        <w:jc w:val="both"/>
      </w:pPr>
      <w:r w:rsidRPr="00D36FDF">
        <w:t>Koordinačný úrad pre boj proti podvodom v Slovenskej republike – AFCOS</w:t>
      </w:r>
      <w:r>
        <w:t>,</w:t>
      </w:r>
      <w:r w:rsidRPr="00D36FDF">
        <w:t xml:space="preserve"> bol zriadený na Úrade vlády SR už </w:t>
      </w:r>
      <w:r w:rsidR="00162AD5" w:rsidRPr="00162AD5">
        <w:t>1. január</w:t>
      </w:r>
      <w:r w:rsidR="00162AD5">
        <w:t>a</w:t>
      </w:r>
      <w:r w:rsidR="00162AD5" w:rsidRPr="00162AD5">
        <w:t xml:space="preserve"> 2002</w:t>
      </w:r>
      <w:r w:rsidR="00162AD5">
        <w:t xml:space="preserve"> </w:t>
      </w:r>
      <w:r w:rsidR="00D016D1">
        <w:t>na základe u</w:t>
      </w:r>
      <w:r w:rsidR="009F163B" w:rsidRPr="00162AD5">
        <w:t>zneseni</w:t>
      </w:r>
      <w:r w:rsidR="00162AD5">
        <w:t>a</w:t>
      </w:r>
      <w:r w:rsidR="009F163B" w:rsidRPr="00162AD5">
        <w:t xml:space="preserve"> vlády</w:t>
      </w:r>
      <w:r w:rsidR="009F163B" w:rsidRPr="00162AD5">
        <w:rPr>
          <w:lang w:val="en-GB"/>
        </w:rPr>
        <w:t xml:space="preserve"> </w:t>
      </w:r>
      <w:r w:rsidR="009F163B" w:rsidRPr="00162AD5">
        <w:t xml:space="preserve">SR č. </w:t>
      </w:r>
      <w:proofErr w:type="gramStart"/>
      <w:r w:rsidR="009F163B" w:rsidRPr="00162AD5">
        <w:rPr>
          <w:lang w:val="en-GB"/>
        </w:rPr>
        <w:t xml:space="preserve">1133 </w:t>
      </w:r>
      <w:r w:rsidR="009F163B" w:rsidRPr="00162AD5">
        <w:t xml:space="preserve">z </w:t>
      </w:r>
      <w:r w:rsidR="009F163B" w:rsidRPr="00162AD5">
        <w:rPr>
          <w:lang w:val="en-GB"/>
        </w:rPr>
        <w:t>28</w:t>
      </w:r>
      <w:r w:rsidR="009F163B" w:rsidRPr="00162AD5">
        <w:t>.</w:t>
      </w:r>
      <w:proofErr w:type="gramEnd"/>
      <w:r w:rsidR="009F163B" w:rsidRPr="00162AD5">
        <w:rPr>
          <w:lang w:val="en-GB"/>
        </w:rPr>
        <w:t xml:space="preserve"> </w:t>
      </w:r>
      <w:proofErr w:type="spellStart"/>
      <w:proofErr w:type="gramStart"/>
      <w:r w:rsidR="00031C44">
        <w:rPr>
          <w:lang w:val="en-GB"/>
        </w:rPr>
        <w:t>n</w:t>
      </w:r>
      <w:r w:rsidR="00A24644">
        <w:rPr>
          <w:lang w:val="en-GB"/>
        </w:rPr>
        <w:t>ovembra</w:t>
      </w:r>
      <w:proofErr w:type="spellEnd"/>
      <w:proofErr w:type="gramEnd"/>
      <w:r w:rsidR="00A24644">
        <w:rPr>
          <w:lang w:val="en-GB"/>
        </w:rPr>
        <w:t xml:space="preserve"> </w:t>
      </w:r>
      <w:r w:rsidR="009F163B" w:rsidRPr="00162AD5">
        <w:rPr>
          <w:lang w:val="en-GB"/>
        </w:rPr>
        <w:t>2001</w:t>
      </w:r>
      <w:r w:rsidR="009F163B" w:rsidRPr="00162AD5">
        <w:t xml:space="preserve"> o zriadení C</w:t>
      </w:r>
      <w:r w:rsidR="00162AD5">
        <w:t xml:space="preserve">entrálneho kontaktného útvaru </w:t>
      </w:r>
      <w:r w:rsidR="009F163B" w:rsidRPr="00162AD5">
        <w:t>OLAF pre SR</w:t>
      </w:r>
      <w:r w:rsidR="007E3894">
        <w:t xml:space="preserve">. Organizačne </w:t>
      </w:r>
      <w:r w:rsidRPr="00D36FDF">
        <w:t xml:space="preserve">je začlenený v rámci </w:t>
      </w:r>
      <w:r w:rsidR="007E3894">
        <w:t>SK BPK ÚV SR</w:t>
      </w:r>
      <w:r w:rsidRPr="00D36FDF">
        <w:t xml:space="preserve"> na odbore OCKÚ OLAF</w:t>
      </w:r>
      <w:r w:rsidR="007E3894">
        <w:t xml:space="preserve">. OCKÚ OLAF </w:t>
      </w:r>
      <w:r w:rsidRPr="00D36FDF">
        <w:t>za účelom ochrany finančných záujmov EÚ v SR spolupracuje s partnermi siete AFCOS</w:t>
      </w:r>
      <w:r w:rsidR="00031C44">
        <w:rPr>
          <w:rStyle w:val="Odkaznapoznmkupodiarou"/>
        </w:rPr>
        <w:footnoteReference w:id="1"/>
      </w:r>
      <w:r w:rsidRPr="00D36FDF">
        <w:t xml:space="preserve">. </w:t>
      </w:r>
    </w:p>
    <w:p w:rsidR="00A4503B" w:rsidRPr="00A4503B" w:rsidRDefault="000A7AAD" w:rsidP="00A4503B">
      <w:pPr>
        <w:jc w:val="both"/>
      </w:pPr>
      <w:r>
        <w:lastRenderedPageBreak/>
        <w:t xml:space="preserve">V rámci zasadnutí GAF sa </w:t>
      </w:r>
      <w:r w:rsidR="00A4503B" w:rsidRPr="00A4503B">
        <w:t xml:space="preserve">OCKÚ OLAF aktívne zapojil aj do rokovaní o návrhu </w:t>
      </w:r>
      <w:r w:rsidR="00A4503B" w:rsidRPr="00DD51DD">
        <w:t xml:space="preserve">nového </w:t>
      </w:r>
      <w:r w:rsidR="00A4503B" w:rsidRPr="00721A0D">
        <w:t>nariadenia</w:t>
      </w:r>
      <w:r w:rsidR="00655F02" w:rsidRPr="00721A0D">
        <w:t xml:space="preserve"> EP a Rady</w:t>
      </w:r>
      <w:r w:rsidR="00A4503B" w:rsidRPr="00721A0D">
        <w:t>,</w:t>
      </w:r>
      <w:r w:rsidR="00A4503B" w:rsidRPr="00A4503B">
        <w:t xml:space="preserve"> ktorým sa ustanovuje program na podporu činností v oblasti ochrany finančných záujmov Európskej únie (program „</w:t>
      </w:r>
      <w:proofErr w:type="spellStart"/>
      <w:r w:rsidR="00A4503B" w:rsidRPr="00A4503B">
        <w:t>Hercule</w:t>
      </w:r>
      <w:proofErr w:type="spellEnd"/>
      <w:r w:rsidR="00A4503B" w:rsidRPr="00A4503B">
        <w:t xml:space="preserve"> III“), ako aj návrhu nového nariadenia o vytvorení výmenného, pomocného a školiaceho programu na ochranu eura proti falšovaniu (program „</w:t>
      </w:r>
      <w:proofErr w:type="spellStart"/>
      <w:r w:rsidR="00A4503B" w:rsidRPr="00A4503B">
        <w:t>Pericles</w:t>
      </w:r>
      <w:proofErr w:type="spellEnd"/>
      <w:r w:rsidR="00A4503B" w:rsidRPr="00A4503B">
        <w:t xml:space="preserve"> 2020“).</w:t>
      </w:r>
    </w:p>
    <w:p w:rsidR="008913A7" w:rsidRDefault="008913A7" w:rsidP="00F8504D">
      <w:pPr>
        <w:jc w:val="both"/>
      </w:pPr>
    </w:p>
    <w:p w:rsidR="004F37F0" w:rsidRDefault="004F37F0" w:rsidP="00F8504D">
      <w:pPr>
        <w:jc w:val="both"/>
      </w:pPr>
    </w:p>
    <w:p w:rsidR="004F37F0" w:rsidRDefault="004F37F0" w:rsidP="00F8504D">
      <w:pPr>
        <w:jc w:val="both"/>
      </w:pPr>
    </w:p>
    <w:p w:rsidR="004F37F0" w:rsidRDefault="004F37F0" w:rsidP="00F8504D">
      <w:pPr>
        <w:jc w:val="both"/>
      </w:pPr>
    </w:p>
    <w:p w:rsidR="004F37F0" w:rsidRDefault="004F37F0" w:rsidP="00F8504D">
      <w:pPr>
        <w:jc w:val="both"/>
      </w:pPr>
    </w:p>
    <w:p w:rsidR="004F37F0" w:rsidRDefault="004F37F0" w:rsidP="00F8504D">
      <w:pPr>
        <w:jc w:val="both"/>
      </w:pPr>
    </w:p>
    <w:p w:rsidR="004F37F0" w:rsidRDefault="004F37F0" w:rsidP="00F8504D">
      <w:pPr>
        <w:jc w:val="both"/>
      </w:pPr>
    </w:p>
    <w:p w:rsidR="004F37F0" w:rsidRDefault="004F37F0" w:rsidP="00F8504D">
      <w:pPr>
        <w:jc w:val="both"/>
      </w:pPr>
    </w:p>
    <w:p w:rsidR="004F37F0" w:rsidRDefault="004F37F0" w:rsidP="00F8504D">
      <w:pPr>
        <w:jc w:val="both"/>
      </w:pPr>
    </w:p>
    <w:p w:rsidR="004F37F0" w:rsidRDefault="004F37F0" w:rsidP="00F8504D">
      <w:pPr>
        <w:jc w:val="both"/>
      </w:pPr>
    </w:p>
    <w:p w:rsidR="004F37F0" w:rsidRDefault="004F37F0" w:rsidP="00F8504D">
      <w:pPr>
        <w:jc w:val="both"/>
      </w:pPr>
    </w:p>
    <w:p w:rsidR="006658DE" w:rsidRDefault="006658DE" w:rsidP="00F8504D">
      <w:pPr>
        <w:jc w:val="both"/>
      </w:pPr>
    </w:p>
    <w:p w:rsidR="00AD1249" w:rsidRDefault="00AD1249" w:rsidP="00F8504D">
      <w:pPr>
        <w:jc w:val="both"/>
      </w:pPr>
    </w:p>
    <w:p w:rsidR="00AD1249" w:rsidRDefault="00AD1249" w:rsidP="00F8504D">
      <w:pPr>
        <w:jc w:val="both"/>
      </w:pPr>
    </w:p>
    <w:p w:rsidR="00AD1249" w:rsidRDefault="00AD1249" w:rsidP="00F8504D">
      <w:pPr>
        <w:jc w:val="both"/>
      </w:pPr>
    </w:p>
    <w:p w:rsidR="00AD1249" w:rsidRDefault="00AD1249" w:rsidP="00F8504D">
      <w:pPr>
        <w:jc w:val="both"/>
      </w:pPr>
    </w:p>
    <w:p w:rsidR="006658DE" w:rsidRDefault="006658DE" w:rsidP="00F8504D">
      <w:pPr>
        <w:jc w:val="both"/>
      </w:pPr>
    </w:p>
    <w:p w:rsidR="006658DE" w:rsidRDefault="006658DE" w:rsidP="00F8504D">
      <w:pPr>
        <w:jc w:val="both"/>
      </w:pPr>
    </w:p>
    <w:p w:rsidR="006658DE" w:rsidRDefault="006658DE" w:rsidP="00F8504D">
      <w:pPr>
        <w:jc w:val="both"/>
      </w:pPr>
    </w:p>
    <w:p w:rsidR="006658DE" w:rsidRDefault="006658DE" w:rsidP="00F8504D">
      <w:pPr>
        <w:jc w:val="both"/>
      </w:pPr>
    </w:p>
    <w:p w:rsidR="006658DE" w:rsidRDefault="006658DE" w:rsidP="00F8504D">
      <w:pPr>
        <w:jc w:val="both"/>
      </w:pPr>
    </w:p>
    <w:p w:rsidR="00282944" w:rsidRDefault="00282944" w:rsidP="00F8504D">
      <w:pPr>
        <w:jc w:val="both"/>
      </w:pPr>
    </w:p>
    <w:p w:rsidR="006658DE" w:rsidRDefault="006658DE" w:rsidP="00F8504D">
      <w:pPr>
        <w:jc w:val="both"/>
      </w:pPr>
    </w:p>
    <w:p w:rsidR="006658DE" w:rsidRDefault="006658DE" w:rsidP="00F8504D">
      <w:pPr>
        <w:jc w:val="both"/>
      </w:pPr>
    </w:p>
    <w:p w:rsidR="00FB010E" w:rsidRDefault="001924C2" w:rsidP="008131ED">
      <w:pPr>
        <w:pStyle w:val="Nadpis2"/>
        <w:spacing w:before="100" w:beforeAutospacing="1"/>
      </w:pPr>
      <w:bookmarkStart w:id="9" w:name="_Toc384972200"/>
      <w:r>
        <w:lastRenderedPageBreak/>
        <w:t xml:space="preserve">3.2 </w:t>
      </w:r>
      <w:r w:rsidR="00FB010E" w:rsidRPr="00FB010E">
        <w:t>Spolupráca OCKÚ OLAF so sieťovými partnermi</w:t>
      </w:r>
      <w:bookmarkEnd w:id="9"/>
    </w:p>
    <w:p w:rsidR="001F3B8B" w:rsidRDefault="001F3B8B" w:rsidP="001F3B8B">
      <w:pPr>
        <w:pStyle w:val="Nadpis3"/>
        <w:spacing w:before="0"/>
      </w:pPr>
    </w:p>
    <w:p w:rsidR="00FB010E" w:rsidRDefault="001924C2" w:rsidP="001F3B8B">
      <w:pPr>
        <w:pStyle w:val="Nadpis3"/>
        <w:spacing w:before="0"/>
      </w:pPr>
      <w:bookmarkStart w:id="10" w:name="_Toc384972201"/>
      <w:r>
        <w:t xml:space="preserve">3.2.1 </w:t>
      </w:r>
      <w:r w:rsidR="005733AD" w:rsidRPr="00DD51DD">
        <w:t>Činnosť</w:t>
      </w:r>
      <w:r w:rsidR="00436326" w:rsidRPr="00DD51DD">
        <w:t xml:space="preserve"> </w:t>
      </w:r>
      <w:r w:rsidR="005733AD" w:rsidRPr="00DD51DD">
        <w:t>Riadiaceho výboru</w:t>
      </w:r>
      <w:bookmarkEnd w:id="10"/>
      <w:r w:rsidR="005733AD">
        <w:t xml:space="preserve"> </w:t>
      </w:r>
      <w:r w:rsidR="005A7457">
        <w:t xml:space="preserve">  </w:t>
      </w:r>
    </w:p>
    <w:p w:rsidR="008131ED" w:rsidRPr="008131ED" w:rsidRDefault="008131ED" w:rsidP="001F3B8B">
      <w:pPr>
        <w:spacing w:after="0"/>
      </w:pPr>
    </w:p>
    <w:p w:rsidR="00162AD5" w:rsidRPr="00162AD5" w:rsidRDefault="00162AD5" w:rsidP="001F3B8B">
      <w:pPr>
        <w:spacing w:after="0"/>
        <w:jc w:val="both"/>
      </w:pPr>
      <w:r w:rsidRPr="00162AD5">
        <w:t>Riadiaci výbor pre ochranu finančných záujmov Európskej únie v Slovenskej republike (ďalej len „Riadiaci výbor“</w:t>
      </w:r>
      <w:r w:rsidR="00EE375A">
        <w:t xml:space="preserve"> alebo „RV“</w:t>
      </w:r>
      <w:r w:rsidRPr="00162AD5">
        <w:t>) je koordinačný a iniciatívny orgán zriadený vedúcim Úradu vlády SR</w:t>
      </w:r>
      <w:r w:rsidR="00631C7C" w:rsidRPr="00631C7C">
        <w:t xml:space="preserve"> </w:t>
      </w:r>
      <w:r w:rsidR="00631C7C">
        <w:t xml:space="preserve">na základe uznesenia vlády SR č. 547 z 27. júna 2007 k návrhu </w:t>
      </w:r>
      <w:r w:rsidR="00AD1249">
        <w:t>N</w:t>
      </w:r>
      <w:r w:rsidR="00631C7C">
        <w:t>árodnej stratégie ochrany finančných záujmov E</w:t>
      </w:r>
      <w:r w:rsidR="00AD1249">
        <w:t>urópskeho spoločenstva</w:t>
      </w:r>
      <w:r w:rsidR="00631C7C">
        <w:t xml:space="preserve"> v</w:t>
      </w:r>
      <w:r w:rsidR="00AD1249">
        <w:t> </w:t>
      </w:r>
      <w:r w:rsidR="00631C7C">
        <w:t>S</w:t>
      </w:r>
      <w:r w:rsidR="00AD1249">
        <w:t>lovenskej republike</w:t>
      </w:r>
      <w:r w:rsidR="00151A14">
        <w:t>.</w:t>
      </w:r>
      <w:r w:rsidR="00631C7C">
        <w:t xml:space="preserve"> </w:t>
      </w:r>
      <w:r w:rsidRPr="00162AD5">
        <w:t>Tento výbor v spolupráci s OCKÚ OLAF a partnermi siete AFCOS zabezpečuje plnenie úloh vyplývajúcich z vykonávania Národnej stratégie pre ochranu finančných záujmov EÚ v SR (</w:t>
      </w:r>
      <w:r w:rsidR="00B43325">
        <w:t>ďalej len „</w:t>
      </w:r>
      <w:r w:rsidR="00093DE6">
        <w:t>N</w:t>
      </w:r>
      <w:r w:rsidR="00B43325">
        <w:t xml:space="preserve">árodná stratégia“) </w:t>
      </w:r>
      <w:r w:rsidR="00F65271">
        <w:t xml:space="preserve">v platnom znení </w:t>
      </w:r>
      <w:r w:rsidR="00B43325">
        <w:t>a koordináciu spolupráce sieťových partnerov v oblasti ochrany finančných záujmov EÚ v SR.</w:t>
      </w:r>
    </w:p>
    <w:p w:rsidR="00FB010E" w:rsidRDefault="00FB010E" w:rsidP="006250AA">
      <w:pPr>
        <w:jc w:val="both"/>
      </w:pPr>
      <w:r>
        <w:t xml:space="preserve">Členovia Riadiaceho výboru sú menovaní partnermi siete AFCOS.  </w:t>
      </w:r>
    </w:p>
    <w:p w:rsidR="00FB010E" w:rsidRDefault="008D790B" w:rsidP="008D790B">
      <w:pPr>
        <w:jc w:val="both"/>
      </w:pPr>
      <w:r>
        <w:t>V</w:t>
      </w:r>
      <w:r w:rsidR="00A12BF2">
        <w:t xml:space="preserve"> sledovanom </w:t>
      </w:r>
      <w:r w:rsidR="00044365">
        <w:t xml:space="preserve">období </w:t>
      </w:r>
      <w:r>
        <w:t xml:space="preserve">zasadal Riadiaci výbor </w:t>
      </w:r>
      <w:r w:rsidR="00044365">
        <w:t>dvakrát</w:t>
      </w:r>
      <w:r w:rsidR="00093DE6">
        <w:t>,</w:t>
      </w:r>
      <w:r w:rsidR="00044365">
        <w:t xml:space="preserve"> a to </w:t>
      </w:r>
      <w:r>
        <w:t xml:space="preserve">dňa </w:t>
      </w:r>
      <w:r w:rsidR="00FB010E">
        <w:t xml:space="preserve">12. februára </w:t>
      </w:r>
      <w:r>
        <w:t>2013</w:t>
      </w:r>
      <w:r w:rsidR="00FB010E">
        <w:t xml:space="preserve"> a 18. júna 2013. Predmetom jeho zasadnutí bolo najmä schvaľovanie dokumentov vyplývajúcich z</w:t>
      </w:r>
      <w:r w:rsidR="00A12BF2">
        <w:t xml:space="preserve"> Akčného plánu k </w:t>
      </w:r>
      <w:r w:rsidR="00093DE6">
        <w:t>N</w:t>
      </w:r>
      <w:r w:rsidR="00FB010E">
        <w:t>árodnej stratégi</w:t>
      </w:r>
      <w:r w:rsidR="00436326">
        <w:t xml:space="preserve">i v </w:t>
      </w:r>
      <w:r w:rsidR="00A12BF2">
        <w:t>jeho aktuálnom znení</w:t>
      </w:r>
      <w:r w:rsidR="00FB010E">
        <w:t xml:space="preserve">, </w:t>
      </w:r>
      <w:r w:rsidR="00436326">
        <w:t xml:space="preserve">ktoré sú </w:t>
      </w:r>
      <w:r w:rsidR="00FB010E">
        <w:t>vypracovávan</w:t>
      </w:r>
      <w:r w:rsidR="00436326">
        <w:t xml:space="preserve">é </w:t>
      </w:r>
      <w:r w:rsidR="00EE375A">
        <w:t>OCKÚ OLAF v spolupráci s členmi RV resp. členmi PS</w:t>
      </w:r>
      <w:r w:rsidR="00F65038">
        <w:t xml:space="preserve"> </w:t>
      </w:r>
      <w:r w:rsidR="00EE375A" w:rsidRPr="00464427">
        <w:t>zriade</w:t>
      </w:r>
      <w:r w:rsidR="00093DE6" w:rsidRPr="00D11B6C">
        <w:t>ných pod RV:</w:t>
      </w:r>
      <w:r w:rsidR="00093DE6">
        <w:t xml:space="preserve"> </w:t>
      </w:r>
      <w:r w:rsidR="00436326">
        <w:t xml:space="preserve">Išlo najmä o: </w:t>
      </w:r>
    </w:p>
    <w:p w:rsidR="005464EB" w:rsidRDefault="005464EB" w:rsidP="005464EB">
      <w:pPr>
        <w:pStyle w:val="Odsekzoznamu"/>
        <w:numPr>
          <w:ilvl w:val="0"/>
          <w:numId w:val="3"/>
        </w:numPr>
        <w:jc w:val="both"/>
      </w:pPr>
      <w:r w:rsidRPr="005464EB">
        <w:t xml:space="preserve">Odpočet Akčného plánu k Národnej stratégii ochrany finančných záujmov Európskeho spoločenstva v Slovenskej republike za </w:t>
      </w:r>
      <w:r>
        <w:t xml:space="preserve">2. </w:t>
      </w:r>
      <w:r w:rsidRPr="005464EB">
        <w:t xml:space="preserve">polrok 2012 </w:t>
      </w:r>
    </w:p>
    <w:p w:rsidR="00FB010E" w:rsidRDefault="00FB010E" w:rsidP="008D790B">
      <w:pPr>
        <w:pStyle w:val="Odsekzoznamu"/>
        <w:numPr>
          <w:ilvl w:val="0"/>
          <w:numId w:val="3"/>
        </w:numPr>
        <w:jc w:val="both"/>
      </w:pPr>
      <w:r>
        <w:t>Odpoč</w:t>
      </w:r>
      <w:r w:rsidR="00A12BF2">
        <w:t>et</w:t>
      </w:r>
      <w:r>
        <w:t xml:space="preserve"> Akčného plánu k Národnej stratégii ochrany finančných záujmov Európskej únie v Slovenskej republike za 1. polrok 2013 </w:t>
      </w:r>
    </w:p>
    <w:p w:rsidR="00FB010E" w:rsidRDefault="00FB010E" w:rsidP="008D790B">
      <w:pPr>
        <w:pStyle w:val="Odsekzoznamu"/>
        <w:numPr>
          <w:ilvl w:val="0"/>
          <w:numId w:val="3"/>
        </w:numPr>
        <w:jc w:val="both"/>
      </w:pPr>
      <w:r>
        <w:t>Ročn</w:t>
      </w:r>
      <w:r w:rsidR="00A12BF2">
        <w:t>á</w:t>
      </w:r>
      <w:r>
        <w:t xml:space="preserve"> správ</w:t>
      </w:r>
      <w:r w:rsidR="00A12BF2">
        <w:t>a</w:t>
      </w:r>
      <w:r>
        <w:t xml:space="preserve"> o nezrovnalostiach za rok 2012</w:t>
      </w:r>
    </w:p>
    <w:p w:rsidR="00FB010E" w:rsidRDefault="00FB010E" w:rsidP="008D790B">
      <w:pPr>
        <w:pStyle w:val="Odsekzoznamu"/>
        <w:numPr>
          <w:ilvl w:val="0"/>
          <w:numId w:val="3"/>
        </w:numPr>
        <w:jc w:val="both"/>
      </w:pPr>
      <w:r>
        <w:t>Výročn</w:t>
      </w:r>
      <w:r w:rsidR="00A12BF2">
        <w:t>á</w:t>
      </w:r>
      <w:r>
        <w:t xml:space="preserve"> správ</w:t>
      </w:r>
      <w:r w:rsidR="00A12BF2">
        <w:t>a</w:t>
      </w:r>
      <w:r>
        <w:t xml:space="preserve"> o aktivitách sieťových partnerov v oblasti ochrany finančných záujmov EÚ v Slovenskej republike za rok 2012</w:t>
      </w:r>
    </w:p>
    <w:p w:rsidR="00FB010E" w:rsidRDefault="00FB010E" w:rsidP="008D790B">
      <w:pPr>
        <w:pStyle w:val="Odsekzoznamu"/>
        <w:numPr>
          <w:ilvl w:val="0"/>
          <w:numId w:val="3"/>
        </w:numPr>
        <w:jc w:val="both"/>
      </w:pPr>
      <w:r>
        <w:t>Dotazník k vykonávaniu článku 325 Zmluvy o fungovaní EÚ členskými štátmi v roku 2012</w:t>
      </w:r>
    </w:p>
    <w:p w:rsidR="00FB010E" w:rsidRDefault="00FB010E" w:rsidP="008D790B">
      <w:pPr>
        <w:pStyle w:val="Odsekzoznamu"/>
        <w:numPr>
          <w:ilvl w:val="0"/>
          <w:numId w:val="3"/>
        </w:numPr>
        <w:jc w:val="both"/>
      </w:pPr>
      <w:r>
        <w:t>Manuál nahlasovania nezrovnalostí, verzia 5.0</w:t>
      </w:r>
    </w:p>
    <w:p w:rsidR="00FB010E" w:rsidRDefault="00FB010E" w:rsidP="008D790B">
      <w:pPr>
        <w:pStyle w:val="Odsekzoznamu"/>
        <w:numPr>
          <w:ilvl w:val="0"/>
          <w:numId w:val="3"/>
        </w:numPr>
        <w:jc w:val="both"/>
      </w:pPr>
      <w:r w:rsidRPr="00DD51DD">
        <w:t>Plán vzdelávania na rok 201</w:t>
      </w:r>
      <w:r w:rsidR="00044365" w:rsidRPr="00DD51DD">
        <w:t>4</w:t>
      </w:r>
      <w:r w:rsidRPr="00DD51DD">
        <w:t xml:space="preserve"> – ochrana finančných záujmov EÚ</w:t>
      </w:r>
    </w:p>
    <w:p w:rsidR="001F5EE6" w:rsidRDefault="001F5EE6" w:rsidP="006230B7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4C7AE7B5" wp14:editId="2217D6A9">
            <wp:extent cx="4457701" cy="3343275"/>
            <wp:effectExtent l="0" t="0" r="0" b="952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ky z RV 28.1.2014 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004" cy="335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10E" w:rsidRDefault="001924C2" w:rsidP="006230B7">
      <w:pPr>
        <w:pStyle w:val="Nadpis3"/>
        <w:spacing w:before="0"/>
      </w:pPr>
      <w:bookmarkStart w:id="11" w:name="_Toc384972202"/>
      <w:r>
        <w:lastRenderedPageBreak/>
        <w:t xml:space="preserve">3.2.2 </w:t>
      </w:r>
      <w:r w:rsidR="006250AA">
        <w:t>Č</w:t>
      </w:r>
      <w:r w:rsidR="006250AA" w:rsidRPr="006250AA">
        <w:t>innosť pracovných skupín</w:t>
      </w:r>
      <w:r w:rsidR="006250AA">
        <w:t xml:space="preserve"> pod Riadiacim výborom</w:t>
      </w:r>
      <w:bookmarkEnd w:id="11"/>
    </w:p>
    <w:p w:rsidR="00851A61" w:rsidRPr="00851A61" w:rsidRDefault="00851A61" w:rsidP="006230B7">
      <w:pPr>
        <w:spacing w:after="0"/>
      </w:pPr>
    </w:p>
    <w:p w:rsidR="003E3795" w:rsidRDefault="00162AD5" w:rsidP="006230B7">
      <w:pPr>
        <w:spacing w:after="0"/>
        <w:jc w:val="both"/>
        <w:rPr>
          <w:highlight w:val="yellow"/>
        </w:rPr>
      </w:pPr>
      <w:r w:rsidRPr="00162AD5">
        <w:t xml:space="preserve">Riadiaci výbor zriaďuje podľa potreby stále a dočasné pracovné skupiny, ktorých činnosť sa sústreďuje na riešenie konkrétnych úloh týkajúcich sa ochrany finančných záujmov EÚ. Členmi zriadených pracovných skupín sú </w:t>
      </w:r>
      <w:r w:rsidR="00B43325" w:rsidRPr="00162AD5">
        <w:t xml:space="preserve">menovaní </w:t>
      </w:r>
      <w:r w:rsidRPr="00162AD5">
        <w:t>zástupcovia sieťových partnerov AFCOS. V prípade potreby sú prizývaní odborníci na konkrétnu riešenú oblasť.</w:t>
      </w:r>
      <w:r w:rsidR="00464427">
        <w:t xml:space="preserve"> </w:t>
      </w:r>
      <w:r w:rsidR="00E108FD">
        <w:t>V zmysle Štatútu Riadiaceho výboru pre ochranu finančných záujmov Európskej únie v Slovenskej republike je zriadených 6 pracovných skupín, ktoré sa riadia pri svojej činnosti rokovacími poriadkami</w:t>
      </w:r>
      <w:r w:rsidR="00E108FD" w:rsidRPr="006658DE">
        <w:t>.</w:t>
      </w:r>
      <w:r w:rsidR="00E108FD" w:rsidRPr="00EA1EA0">
        <w:rPr>
          <w:highlight w:val="yellow"/>
        </w:rPr>
        <w:t xml:space="preserve"> </w:t>
      </w:r>
    </w:p>
    <w:p w:rsidR="003E3795" w:rsidRDefault="003E3795" w:rsidP="00E108FD">
      <w:pPr>
        <w:jc w:val="both"/>
      </w:pPr>
      <w:r w:rsidRPr="00CC4CD8">
        <w:t>Pod Riadiacim výborom pracujú nasledovné pracovné skupiny:</w:t>
      </w:r>
    </w:p>
    <w:p w:rsidR="0055048A" w:rsidRPr="00CC4CD8" w:rsidRDefault="003E3795" w:rsidP="00140209">
      <w:pPr>
        <w:pStyle w:val="Odsekzoznamu"/>
        <w:numPr>
          <w:ilvl w:val="0"/>
          <w:numId w:val="29"/>
        </w:numPr>
        <w:jc w:val="both"/>
      </w:pPr>
      <w:r w:rsidRPr="00CC4CD8">
        <w:t xml:space="preserve">Pracovná skupina pre nezrovnalosti </w:t>
      </w:r>
    </w:p>
    <w:p w:rsidR="003E3795" w:rsidRPr="00CC4CD8" w:rsidRDefault="003E3795" w:rsidP="00F65038">
      <w:pPr>
        <w:pStyle w:val="Odsekzoznamu"/>
        <w:numPr>
          <w:ilvl w:val="0"/>
          <w:numId w:val="29"/>
        </w:numPr>
        <w:jc w:val="both"/>
      </w:pPr>
      <w:r w:rsidRPr="00CC4CD8">
        <w:t xml:space="preserve">Pracovná skupina k článku 325 </w:t>
      </w:r>
      <w:r w:rsidR="00F65038" w:rsidRPr="00F65038">
        <w:t xml:space="preserve">Zmluvy o fungovaní Európskej únie </w:t>
      </w:r>
      <w:r w:rsidRPr="00CC4CD8">
        <w:t xml:space="preserve"> </w:t>
      </w:r>
    </w:p>
    <w:p w:rsidR="00851A61" w:rsidRPr="00CC4CD8" w:rsidRDefault="00851A61" w:rsidP="00851A61">
      <w:pPr>
        <w:pStyle w:val="Odsekzoznamu"/>
        <w:numPr>
          <w:ilvl w:val="0"/>
          <w:numId w:val="29"/>
        </w:numPr>
        <w:jc w:val="both"/>
      </w:pPr>
      <w:r w:rsidRPr="00CC4CD8">
        <w:t xml:space="preserve">Pracovná skupina pre spoluprácu v oblasti koordinácie kontrolnej činnosti </w:t>
      </w:r>
    </w:p>
    <w:p w:rsidR="00851A61" w:rsidRPr="00CC4CD8" w:rsidRDefault="00851A61" w:rsidP="00851A61">
      <w:pPr>
        <w:pStyle w:val="Odsekzoznamu"/>
        <w:numPr>
          <w:ilvl w:val="0"/>
          <w:numId w:val="29"/>
        </w:numPr>
        <w:jc w:val="both"/>
      </w:pPr>
      <w:r w:rsidRPr="00CC4CD8">
        <w:t xml:space="preserve">Pracovná skupina pre spoluprácu v oblasti verejného obstarávania </w:t>
      </w:r>
    </w:p>
    <w:p w:rsidR="00851A61" w:rsidRPr="00CC4CD8" w:rsidRDefault="00851A61" w:rsidP="00851A61">
      <w:pPr>
        <w:pStyle w:val="Odsekzoznamu"/>
        <w:numPr>
          <w:ilvl w:val="0"/>
          <w:numId w:val="29"/>
        </w:numPr>
        <w:jc w:val="both"/>
      </w:pPr>
      <w:r w:rsidRPr="00CC4CD8">
        <w:t xml:space="preserve">Pracovná skupina pre </w:t>
      </w:r>
      <w:r w:rsidRPr="00851A61">
        <w:t>centrálnu databázu vylúčených subjektov</w:t>
      </w:r>
    </w:p>
    <w:p w:rsidR="00851A61" w:rsidRPr="00CC4CD8" w:rsidRDefault="00851A61" w:rsidP="00851A61">
      <w:pPr>
        <w:pStyle w:val="Odsekzoznamu"/>
        <w:numPr>
          <w:ilvl w:val="0"/>
          <w:numId w:val="29"/>
        </w:numPr>
        <w:jc w:val="both"/>
      </w:pPr>
      <w:r w:rsidRPr="00CC4CD8">
        <w:t xml:space="preserve">Pracovná skupina pre komunikáciu </w:t>
      </w:r>
    </w:p>
    <w:p w:rsidR="00E108FD" w:rsidRPr="00532415" w:rsidRDefault="00093DE6" w:rsidP="00E108FD">
      <w:pPr>
        <w:jc w:val="both"/>
      </w:pPr>
      <w:r>
        <w:t xml:space="preserve">V sledovanom období </w:t>
      </w:r>
      <w:r w:rsidRPr="00CC4CD8">
        <w:t xml:space="preserve">boli </w:t>
      </w:r>
      <w:r>
        <w:t>r</w:t>
      </w:r>
      <w:r w:rsidR="003E3795" w:rsidRPr="00CC4CD8">
        <w:t>okovacie poriadky v</w:t>
      </w:r>
      <w:r w:rsidR="00E108FD" w:rsidRPr="00CC4CD8">
        <w:t>iacer</w:t>
      </w:r>
      <w:r w:rsidR="003E3795" w:rsidRPr="00CC4CD8">
        <w:t>ých</w:t>
      </w:r>
      <w:r w:rsidR="00E108FD" w:rsidRPr="00CC4CD8">
        <w:t xml:space="preserve"> z nich aktualizované</w:t>
      </w:r>
      <w:r w:rsidR="003E3795" w:rsidRPr="00CC4CD8">
        <w:t xml:space="preserve"> (rokovací poriadok PSK, </w:t>
      </w:r>
      <w:proofErr w:type="spellStart"/>
      <w:r w:rsidR="003E3795" w:rsidRPr="00CC4CD8">
        <w:t>PSpN</w:t>
      </w:r>
      <w:proofErr w:type="spellEnd"/>
      <w:r w:rsidR="003E3795" w:rsidRPr="00CC4CD8">
        <w:t>, PS k čl. 325 ZFEÚ, PSKK)</w:t>
      </w:r>
      <w:r w:rsidR="00E108FD" w:rsidRPr="00CC4CD8">
        <w:t>.</w:t>
      </w:r>
      <w:r w:rsidR="00E108FD">
        <w:t xml:space="preserve"> </w:t>
      </w:r>
    </w:p>
    <w:p w:rsidR="00162AD5" w:rsidRPr="006230B7" w:rsidRDefault="00E108FD" w:rsidP="00033856">
      <w:pPr>
        <w:jc w:val="both"/>
        <w:rPr>
          <w:b/>
          <w:u w:val="single"/>
        </w:rPr>
      </w:pPr>
      <w:r w:rsidRPr="006230B7">
        <w:rPr>
          <w:b/>
          <w:u w:val="single"/>
        </w:rPr>
        <w:t>Č</w:t>
      </w:r>
      <w:r w:rsidR="00532415" w:rsidRPr="006230B7">
        <w:rPr>
          <w:b/>
          <w:u w:val="single"/>
        </w:rPr>
        <w:t xml:space="preserve">innosť </w:t>
      </w:r>
      <w:r w:rsidR="00093DE6" w:rsidRPr="006230B7">
        <w:rPr>
          <w:b/>
          <w:u w:val="single"/>
        </w:rPr>
        <w:t xml:space="preserve">PS v hodnotenom období: </w:t>
      </w:r>
      <w:r w:rsidR="00532415" w:rsidRPr="006230B7">
        <w:rPr>
          <w:b/>
          <w:u w:val="single"/>
        </w:rPr>
        <w:t xml:space="preserve"> </w:t>
      </w:r>
    </w:p>
    <w:p w:rsidR="00FB010E" w:rsidRDefault="00093DE6" w:rsidP="00FB010E">
      <w:pPr>
        <w:jc w:val="both"/>
      </w:pPr>
      <w:r w:rsidRPr="00033856">
        <w:rPr>
          <w:b/>
          <w:i/>
        </w:rPr>
        <w:t>Pracovná skupina pre nezrovnalosti</w:t>
      </w:r>
      <w:r w:rsidRPr="00033856">
        <w:rPr>
          <w:b/>
        </w:rPr>
        <w:t xml:space="preserve"> </w:t>
      </w:r>
      <w:r w:rsidR="00FB010E">
        <w:t xml:space="preserve">zasadala </w:t>
      </w:r>
      <w:r w:rsidR="00E108FD">
        <w:t xml:space="preserve">dvakrát, a to </w:t>
      </w:r>
      <w:r w:rsidR="00FB010E" w:rsidRPr="00267E0C">
        <w:t xml:space="preserve">dňa </w:t>
      </w:r>
      <w:r w:rsidR="00FB010E">
        <w:t>31. januára 2013 a</w:t>
      </w:r>
      <w:r w:rsidR="003D0FD5">
        <w:t xml:space="preserve"> dňa </w:t>
      </w:r>
      <w:r w:rsidR="00FB010E">
        <w:t>4.</w:t>
      </w:r>
      <w:r w:rsidR="00B92DC3">
        <w:t xml:space="preserve"> júna </w:t>
      </w:r>
      <w:r w:rsidR="00FB010E">
        <w:t xml:space="preserve">2013. </w:t>
      </w:r>
      <w:r w:rsidR="00AD1249">
        <w:t>P</w:t>
      </w:r>
      <w:r w:rsidR="00E80550">
        <w:t xml:space="preserve">redmetom zasadnutí </w:t>
      </w:r>
      <w:r w:rsidR="00FB010E" w:rsidRPr="00875D1F">
        <w:t xml:space="preserve">bolo </w:t>
      </w:r>
      <w:r w:rsidR="00AD1249">
        <w:t xml:space="preserve">najmä </w:t>
      </w:r>
      <w:r w:rsidR="00FB010E" w:rsidRPr="00875D1F">
        <w:t xml:space="preserve">schvaľovanie </w:t>
      </w:r>
      <w:r w:rsidR="00BA5500" w:rsidRPr="00BA5500">
        <w:t>Manuálu nahlasovania nezrovnalostí</w:t>
      </w:r>
      <w:r w:rsidR="001F5EE6">
        <w:t xml:space="preserve">, </w:t>
      </w:r>
      <w:r w:rsidR="00BA5500" w:rsidRPr="00BA5500">
        <w:t>verzia 5.0</w:t>
      </w:r>
      <w:r>
        <w:t xml:space="preserve"> a </w:t>
      </w:r>
      <w:r w:rsidR="00FB010E" w:rsidRPr="00875D1F">
        <w:t>Ročnej správy o nezrovnalostiach za rok 2012</w:t>
      </w:r>
      <w:r w:rsidR="00FB010E">
        <w:t xml:space="preserve">. </w:t>
      </w:r>
      <w:r w:rsidR="00607508">
        <w:t>Na z</w:t>
      </w:r>
      <w:r w:rsidR="00FB010E">
        <w:t>asadnutia</w:t>
      </w:r>
      <w:r w:rsidR="00607508">
        <w:t>ch</w:t>
      </w:r>
      <w:r w:rsidR="00FB010E" w:rsidRPr="00875D1F">
        <w:t xml:space="preserve"> </w:t>
      </w:r>
      <w:r w:rsidR="00607508">
        <w:t xml:space="preserve">sa </w:t>
      </w:r>
      <w:proofErr w:type="spellStart"/>
      <w:r w:rsidR="00FB010E" w:rsidRPr="00875D1F">
        <w:t>PSpN</w:t>
      </w:r>
      <w:proofErr w:type="spellEnd"/>
      <w:r w:rsidR="00FB010E" w:rsidRPr="00875D1F">
        <w:t xml:space="preserve"> </w:t>
      </w:r>
      <w:r w:rsidR="00E108FD">
        <w:t xml:space="preserve">detailne </w:t>
      </w:r>
      <w:r w:rsidR="00FB010E" w:rsidRPr="00875D1F">
        <w:t>venoval</w:t>
      </w:r>
      <w:r w:rsidR="00607508">
        <w:t>a</w:t>
      </w:r>
      <w:r w:rsidR="00FB010E" w:rsidRPr="00875D1F">
        <w:t xml:space="preserve"> aj viacerým otázkam v súvislosti s praktickým evidovaním do systému ITMS</w:t>
      </w:r>
      <w:r w:rsidR="002F11EA">
        <w:t xml:space="preserve">. </w:t>
      </w:r>
    </w:p>
    <w:p w:rsidR="003006C5" w:rsidRDefault="003006C5" w:rsidP="00FB010E">
      <w:pPr>
        <w:jc w:val="both"/>
      </w:pPr>
      <w:r w:rsidRPr="00140209">
        <w:t>V</w:t>
      </w:r>
      <w:r w:rsidR="005129A4" w:rsidRPr="00140209">
        <w:t xml:space="preserve"> roku </w:t>
      </w:r>
      <w:r w:rsidRPr="00140209">
        <w:t xml:space="preserve">2013 </w:t>
      </w:r>
      <w:r w:rsidR="005129A4" w:rsidRPr="00140209">
        <w:t xml:space="preserve">požiadal </w:t>
      </w:r>
      <w:r w:rsidR="00AD1249" w:rsidRPr="00140209">
        <w:t xml:space="preserve">OCKÚ OLAF </w:t>
      </w:r>
      <w:r w:rsidR="005129A4" w:rsidRPr="00140209">
        <w:t xml:space="preserve">členov </w:t>
      </w:r>
      <w:proofErr w:type="spellStart"/>
      <w:r w:rsidRPr="00140209">
        <w:t>PSpN</w:t>
      </w:r>
      <w:proofErr w:type="spellEnd"/>
      <w:r w:rsidRPr="00140209">
        <w:t xml:space="preserve"> </w:t>
      </w:r>
      <w:r w:rsidR="00E80550" w:rsidRPr="00140209">
        <w:t xml:space="preserve">aj </w:t>
      </w:r>
      <w:r w:rsidR="002F11EA" w:rsidRPr="00140209">
        <w:t xml:space="preserve">o </w:t>
      </w:r>
      <w:r w:rsidRPr="00140209">
        <w:t>pripomienkovani</w:t>
      </w:r>
      <w:r w:rsidR="002F11EA" w:rsidRPr="00140209">
        <w:t>e</w:t>
      </w:r>
      <w:r w:rsidRPr="00140209">
        <w:t xml:space="preserve"> návrhu nového IMS modulu</w:t>
      </w:r>
      <w:r w:rsidR="002F11EA" w:rsidRPr="00140209">
        <w:t xml:space="preserve"> </w:t>
      </w:r>
      <w:proofErr w:type="spellStart"/>
      <w:r w:rsidR="002F11EA" w:rsidRPr="00140209">
        <w:t>OLAFu</w:t>
      </w:r>
      <w:proofErr w:type="spellEnd"/>
      <w:r w:rsidR="002F11EA" w:rsidRPr="00140209">
        <w:t xml:space="preserve">/EK, </w:t>
      </w:r>
      <w:r w:rsidRPr="00140209">
        <w:t xml:space="preserve">v nadväznosti </w:t>
      </w:r>
      <w:r w:rsidR="003D0FD5" w:rsidRPr="00140209">
        <w:t>na plán EK</w:t>
      </w:r>
      <w:r w:rsidR="00607508" w:rsidRPr="00140209">
        <w:t xml:space="preserve"> vytvoriť nový štandardný modul IMS (prípadne viaceré) pre nahlasovanie nezrovnalostí, ktorý by slúžil pre všetky fondy a ktorý by nahradil momentálne aktuálne moduly, a to </w:t>
      </w:r>
      <w:r w:rsidR="003D0FD5" w:rsidRPr="00140209">
        <w:t xml:space="preserve">vzhľadom na </w:t>
      </w:r>
      <w:r w:rsidR="00E80550" w:rsidRPr="00140209">
        <w:t xml:space="preserve">nový </w:t>
      </w:r>
      <w:r w:rsidRPr="00140209">
        <w:t>finančný rámec 2014–2020</w:t>
      </w:r>
      <w:r w:rsidR="00607508" w:rsidRPr="00140209">
        <w:t xml:space="preserve">. </w:t>
      </w:r>
      <w:r w:rsidRPr="00140209">
        <w:t xml:space="preserve">Členské krajiny boli vyzvané, aby sa aktívne zapojili do tohto procesu. </w:t>
      </w:r>
      <w:r w:rsidR="003D0FD5" w:rsidRPr="00140209">
        <w:t xml:space="preserve">Následne boli pripomienky </w:t>
      </w:r>
      <w:r w:rsidRPr="00140209">
        <w:t xml:space="preserve">odoslané Komisii. </w:t>
      </w:r>
      <w:r w:rsidR="00BA5500" w:rsidRPr="00140209">
        <w:t xml:space="preserve">Nový IMS modul by mal byť spustený </w:t>
      </w:r>
      <w:r w:rsidRPr="00140209">
        <w:t xml:space="preserve">v marci 2014, kedy budú organizované </w:t>
      </w:r>
      <w:r w:rsidR="003D0FD5" w:rsidRPr="00140209">
        <w:t xml:space="preserve">k systému </w:t>
      </w:r>
      <w:r w:rsidRPr="00140209">
        <w:t xml:space="preserve">školenia a súčasne bude zverejnený príslušný manuál. </w:t>
      </w:r>
    </w:p>
    <w:p w:rsidR="006230B7" w:rsidRDefault="00FB010E" w:rsidP="006230B7">
      <w:pPr>
        <w:jc w:val="both"/>
        <w:rPr>
          <w:rStyle w:val="Hypertextovprepojenie"/>
          <w:color w:val="auto"/>
          <w:u w:val="none"/>
        </w:rPr>
      </w:pPr>
      <w:r w:rsidRPr="00033856">
        <w:rPr>
          <w:b/>
          <w:i/>
        </w:rPr>
        <w:t>Pracovná skupina k článku 325 Zmluvy o fungovaní EÚ</w:t>
      </w:r>
      <w:r w:rsidRPr="00033856">
        <w:rPr>
          <w:b/>
        </w:rPr>
        <w:t xml:space="preserve"> </w:t>
      </w:r>
      <w:r w:rsidRPr="00FB010E">
        <w:t>zasadala dňa</w:t>
      </w:r>
      <w:r w:rsidR="00B92DC3">
        <w:t xml:space="preserve"> </w:t>
      </w:r>
      <w:r w:rsidR="00B92DC3" w:rsidRPr="00FB010E">
        <w:t>29. januára 2013</w:t>
      </w:r>
      <w:r w:rsidR="00B92DC3">
        <w:t xml:space="preserve">. </w:t>
      </w:r>
      <w:r w:rsidR="00C70431" w:rsidRPr="00FB010E">
        <w:t xml:space="preserve">Predmetom zasadnutia PS </w:t>
      </w:r>
      <w:r w:rsidR="00BA5500" w:rsidRPr="00BA5500">
        <w:t xml:space="preserve">k článku 325 ZFEÚ </w:t>
      </w:r>
      <w:r w:rsidR="00C70431">
        <w:t xml:space="preserve">bolo </w:t>
      </w:r>
      <w:r w:rsidRPr="00FB010E">
        <w:t>schválen</w:t>
      </w:r>
      <w:r w:rsidR="00C70431">
        <w:t>ie</w:t>
      </w:r>
      <w:r w:rsidR="002F11EA">
        <w:t xml:space="preserve"> finálnej verzie dotazníka</w:t>
      </w:r>
      <w:r w:rsidRPr="00FB010E">
        <w:t xml:space="preserve"> k vykonávaniu čl. 325 Zmluvy o fungovaní EÚ na </w:t>
      </w:r>
      <w:r w:rsidR="00B92DC3">
        <w:t xml:space="preserve">rok 2012 za SR a takisto </w:t>
      </w:r>
      <w:r w:rsidR="002F11EA">
        <w:t xml:space="preserve">prerokovanie </w:t>
      </w:r>
      <w:r w:rsidR="00B92DC3">
        <w:t>návrh</w:t>
      </w:r>
      <w:r w:rsidR="002F11EA">
        <w:t>u</w:t>
      </w:r>
      <w:r w:rsidRPr="00FB010E">
        <w:t xml:space="preserve"> odpovedí k odporúčaniam Komisie v správe Komisie Európskemu parlamentu a Rade - Ochrana finančných záujmov EÚ – Boj proti podvodo</w:t>
      </w:r>
      <w:r w:rsidR="00B92DC3">
        <w:t>m – Výročná správa za rok 2012.</w:t>
      </w:r>
      <w:r w:rsidR="00C70431">
        <w:t xml:space="preserve"> Dotazník </w:t>
      </w:r>
      <w:r w:rsidR="002F11EA">
        <w:t>z</w:t>
      </w:r>
      <w:r w:rsidR="00C70431">
        <w:t xml:space="preserve">a rok 2012 </w:t>
      </w:r>
      <w:r w:rsidR="00C70431" w:rsidRPr="00FB010E">
        <w:t xml:space="preserve">sa týkal vyšetrovaní podvodov, vrátane kontrol na mieste, s cieľom bojovať proti nezrovnalostiam a podvodom so zreteľom </w:t>
      </w:r>
      <w:r w:rsidR="00692FCD">
        <w:t>n</w:t>
      </w:r>
      <w:r w:rsidR="00C70431" w:rsidRPr="00FB010E">
        <w:t xml:space="preserve">a ochranu finančných záujmov EÚ v oblasti poľnohospodárskej politiky EÚ. Konečné znenie dotazníka po schválení </w:t>
      </w:r>
      <w:r w:rsidR="00093DE6">
        <w:t xml:space="preserve">členmi </w:t>
      </w:r>
      <w:r w:rsidR="00C70431" w:rsidRPr="00FB010E">
        <w:t xml:space="preserve">RV bolo </w:t>
      </w:r>
      <w:r w:rsidR="00093DE6">
        <w:t xml:space="preserve">dňa </w:t>
      </w:r>
      <w:r w:rsidR="00C70431" w:rsidRPr="00FB010E">
        <w:t xml:space="preserve">15. februára 2013 odoslané </w:t>
      </w:r>
      <w:proofErr w:type="spellStart"/>
      <w:r w:rsidR="00692FCD">
        <w:t>OLAFu</w:t>
      </w:r>
      <w:proofErr w:type="spellEnd"/>
      <w:r w:rsidR="00C70431" w:rsidRPr="00FB010E">
        <w:t xml:space="preserve">. </w:t>
      </w:r>
      <w:r w:rsidR="00C70431" w:rsidRPr="00DD51DD">
        <w:t xml:space="preserve">Odpovede </w:t>
      </w:r>
      <w:r w:rsidR="00BA5500" w:rsidRPr="00DD51DD">
        <w:t xml:space="preserve">v dotazníku </w:t>
      </w:r>
      <w:r w:rsidR="005F394B" w:rsidRPr="005F394B">
        <w:t xml:space="preserve">k čl. 325 Zmluvy o fungovaní EÚ za rok 2012 a odpovede k odporúčaniam Komisie v PIF správe za rok 2011 </w:t>
      </w:r>
      <w:r w:rsidR="005F394B" w:rsidRPr="00DD51DD">
        <w:t xml:space="preserve">za SR </w:t>
      </w:r>
      <w:r w:rsidR="005F394B" w:rsidRPr="005F394B">
        <w:t>boli súčasťou správy</w:t>
      </w:r>
      <w:r w:rsidR="005F394B">
        <w:t xml:space="preserve"> </w:t>
      </w:r>
      <w:r w:rsidR="00C70431" w:rsidRPr="00FB010E">
        <w:t>Komisie EP a Rady s názvom Ochrana finančných záujmov EÚ - boj proti podvodom</w:t>
      </w:r>
      <w:r w:rsidR="00692FCD">
        <w:t xml:space="preserve"> - V</w:t>
      </w:r>
      <w:r w:rsidR="00C70431" w:rsidRPr="00FB010E">
        <w:t>ýročná správa za rok 2012</w:t>
      </w:r>
      <w:r w:rsidR="002F11EA">
        <w:t>, zverejnenej Komisiou dňa</w:t>
      </w:r>
      <w:r w:rsidR="002F11EA" w:rsidRPr="002F11EA">
        <w:t xml:space="preserve"> 24. </w:t>
      </w:r>
      <w:r w:rsidR="00692FCD">
        <w:t>j</w:t>
      </w:r>
      <w:r w:rsidR="002F11EA">
        <w:t xml:space="preserve">úla </w:t>
      </w:r>
      <w:r w:rsidR="002F11EA" w:rsidRPr="002F11EA">
        <w:t>2013</w:t>
      </w:r>
      <w:r w:rsidR="002F11EA">
        <w:t>:</w:t>
      </w:r>
      <w:r w:rsidR="00DD51DD">
        <w:t xml:space="preserve"> </w:t>
      </w:r>
      <w:hyperlink r:id="rId10" w:history="1">
        <w:r w:rsidR="00DD51DD" w:rsidRPr="00F15AE4">
          <w:rPr>
            <w:rStyle w:val="Hypertextovprepojenie"/>
          </w:rPr>
          <w:t>http://ec.europa.eu/anti_fraud/about-us/reports/communities-reports/index_en.htm</w:t>
        </w:r>
      </w:hyperlink>
      <w:r w:rsidR="00DD51DD">
        <w:t xml:space="preserve"> </w:t>
      </w:r>
      <w:r w:rsidR="00BE3613">
        <w:t xml:space="preserve">  </w:t>
      </w:r>
    </w:p>
    <w:p w:rsidR="00D44100" w:rsidRPr="001F5EE6" w:rsidRDefault="00D44100" w:rsidP="006230B7">
      <w:pPr>
        <w:spacing w:after="0"/>
        <w:jc w:val="both"/>
      </w:pPr>
      <w:r w:rsidRPr="00056B1A">
        <w:rPr>
          <w:b/>
          <w:i/>
        </w:rPr>
        <w:lastRenderedPageBreak/>
        <w:t>Pracovná skupina pre spoluprácu v oblasti koordinácie kontrolnej činn</w:t>
      </w:r>
      <w:r w:rsidRPr="001F5EE6">
        <w:rPr>
          <w:b/>
          <w:i/>
        </w:rPr>
        <w:t>osti</w:t>
      </w:r>
      <w:r w:rsidRPr="001F5EE6">
        <w:t xml:space="preserve"> v sledovanom období nezasadala. Dňa 25. januára 2013 sa uskutočnila koordinačná porada MF SR, ÚV SR, NKÚ SR k odstráneniu prípadných kolízií kontrol a auditov vyplývajúcich z návrhu plánov auditov operácií sekcie auditu a kontroly MF SR, ročného plánu kontrol ÚV SR a zoznamu plánovaných kontrolných subjektov s predpokladaným termínom začatia a ukončenia kontroly zaslaných od NKÚ SR. </w:t>
      </w:r>
      <w:r w:rsidR="00E155F7" w:rsidRPr="00E155F7">
        <w:t xml:space="preserve">Dňa 27. </w:t>
      </w:r>
      <w:r w:rsidR="006E58BF">
        <w:t>novembra</w:t>
      </w:r>
      <w:r w:rsidR="00E155F7" w:rsidRPr="00E155F7">
        <w:t xml:space="preserve"> 2013 sa uskutočnila koordinačná porada MF SR a ÚV SR k odstráneniu kolízií kontrol a auditov vyplývajúcich z návrhu plánu systémových auditov sekcie auditu a kontroly MF SR a ročného plánu kontrol ÚV SR.</w:t>
      </w:r>
    </w:p>
    <w:p w:rsidR="00D44100" w:rsidRPr="001F5EE6" w:rsidRDefault="00D44100" w:rsidP="006230B7">
      <w:pPr>
        <w:spacing w:after="0"/>
        <w:jc w:val="both"/>
      </w:pPr>
      <w:r w:rsidRPr="001F5EE6">
        <w:t xml:space="preserve">V priebehu roku 2013 sa uskutočnilo niekoľko pracovných stretnutí medzi ÚV SR a MF SR za účelom koordinácie </w:t>
      </w:r>
      <w:r w:rsidR="00AD1249">
        <w:t xml:space="preserve">postupu </w:t>
      </w:r>
      <w:r w:rsidRPr="001F5EE6">
        <w:t>riešenia podnetov prijatých od fyzických resp. právnických osôb, ktoré poukazujú na porušovanie povinností vyplývajúcich z príslušných právnych a iných predpisov SR a</w:t>
      </w:r>
      <w:r w:rsidR="00AD1249">
        <w:t> </w:t>
      </w:r>
      <w:r w:rsidRPr="001F5EE6">
        <w:t>EÚ</w:t>
      </w:r>
      <w:r w:rsidR="00AD1249">
        <w:t xml:space="preserve"> </w:t>
      </w:r>
      <w:r w:rsidRPr="001F5EE6">
        <w:t>s cieľom vyhnúť sa duplicitnému riešeniu podnetov. Tento postup bol následne premietnutý do aktualizácie materiálu  </w:t>
      </w:r>
      <w:r w:rsidRPr="00AD1249">
        <w:rPr>
          <w:i/>
        </w:rPr>
        <w:t>„Zásady koordinácie kontrol a auditov sieťových partnerov AFCOS“</w:t>
      </w:r>
      <w:r w:rsidRPr="001F5EE6">
        <w:t>, ktorá bola predložená na schválenie členom PSKK ako aj členom RV v roku 2014.</w:t>
      </w:r>
    </w:p>
    <w:p w:rsidR="00D44100" w:rsidRPr="001F5EE6" w:rsidRDefault="00D44100" w:rsidP="001F5EE6">
      <w:pPr>
        <w:spacing w:after="0"/>
      </w:pPr>
    </w:p>
    <w:p w:rsidR="005A7457" w:rsidRDefault="00FB010E" w:rsidP="00464427">
      <w:pPr>
        <w:jc w:val="both"/>
      </w:pPr>
      <w:r w:rsidRPr="003E3795">
        <w:rPr>
          <w:b/>
          <w:i/>
        </w:rPr>
        <w:t xml:space="preserve">Pracovná skupina pre spoluprácu v oblasti verejného obstarávania </w:t>
      </w:r>
      <w:r w:rsidRPr="000C243A">
        <w:t xml:space="preserve">zasadala </w:t>
      </w:r>
      <w:r w:rsidR="000B4F7B">
        <w:t>v </w:t>
      </w:r>
      <w:r w:rsidR="007D3095">
        <w:t>hodnotenom</w:t>
      </w:r>
      <w:r w:rsidR="000B4F7B">
        <w:t xml:space="preserve"> období jedenkrát</w:t>
      </w:r>
      <w:r w:rsidR="002E2F86">
        <w:t>,</w:t>
      </w:r>
      <w:r w:rsidR="000B4F7B">
        <w:t xml:space="preserve"> a to </w:t>
      </w:r>
      <w:r w:rsidRPr="000C243A">
        <w:t xml:space="preserve">dňa </w:t>
      </w:r>
      <w:r>
        <w:t>16</w:t>
      </w:r>
      <w:r w:rsidRPr="000C243A">
        <w:t>.</w:t>
      </w:r>
      <w:r>
        <w:t xml:space="preserve"> </w:t>
      </w:r>
      <w:r w:rsidR="00692FCD">
        <w:t xml:space="preserve">decembra </w:t>
      </w:r>
      <w:r>
        <w:t>2</w:t>
      </w:r>
      <w:r w:rsidRPr="000C243A">
        <w:t>01</w:t>
      </w:r>
      <w:r>
        <w:t>3</w:t>
      </w:r>
      <w:r w:rsidR="00484B93">
        <w:t>. Predmetom jej zasadnutia bolo</w:t>
      </w:r>
      <w:r>
        <w:t xml:space="preserve"> </w:t>
      </w:r>
      <w:r w:rsidR="00484B93">
        <w:t xml:space="preserve">prediskutovanie </w:t>
      </w:r>
      <w:r w:rsidR="000B4F7B">
        <w:t xml:space="preserve">problematiky zákona o VO v nadväznosti na prijaté novely zákona o VO a problémy v aplikačnej praxi;  riešenia konkrétnych problémov v oblasti VO, ktoré predstavili členovia PS. </w:t>
      </w:r>
      <w:r w:rsidR="00D016D1" w:rsidRPr="00DD51DD">
        <w:t>O</w:t>
      </w:r>
      <w:r w:rsidR="000B4F7B" w:rsidRPr="00DD51DD">
        <w:t xml:space="preserve">pätovne </w:t>
      </w:r>
      <w:r w:rsidR="00D016D1" w:rsidRPr="00DD51DD">
        <w:t xml:space="preserve">bola riešená </w:t>
      </w:r>
      <w:r w:rsidR="000B4F7B" w:rsidRPr="00DD51DD">
        <w:t>problematik</w:t>
      </w:r>
      <w:r w:rsidR="00D016D1" w:rsidRPr="00DD51DD">
        <w:t>a</w:t>
      </w:r>
      <w:r w:rsidR="000B4F7B" w:rsidRPr="00DD51DD">
        <w:t xml:space="preserve"> konfliktu záujmov vo verejnom obstarávaní. Pomoc pri riešení problematiky navrhli OCKÚ OLAF ako aj CKO. OCKÚ OLAF vzhľadom na túto problematiku zároveň prezentoval materiál „Identifikácia konfliktu záujmov v procesoch verejného obstarávania. Praktická príručka pre manažérov,“ ktorý bol predstavený členským štátom na zasadnutí COCOLAF </w:t>
      </w:r>
      <w:r w:rsidR="00AD1249">
        <w:t xml:space="preserve">- </w:t>
      </w:r>
      <w:proofErr w:type="spellStart"/>
      <w:r w:rsidR="000B4F7B" w:rsidRPr="00DD51DD">
        <w:t>Fraud</w:t>
      </w:r>
      <w:proofErr w:type="spellEnd"/>
      <w:r w:rsidR="000B4F7B" w:rsidRPr="00DD51DD">
        <w:t xml:space="preserve"> </w:t>
      </w:r>
      <w:proofErr w:type="spellStart"/>
      <w:r w:rsidR="000B4F7B" w:rsidRPr="00DD51DD">
        <w:t>Prevention</w:t>
      </w:r>
      <w:proofErr w:type="spellEnd"/>
      <w:r w:rsidR="000B4F7B" w:rsidRPr="00DD51DD">
        <w:t xml:space="preserve"> </w:t>
      </w:r>
      <w:proofErr w:type="spellStart"/>
      <w:r w:rsidR="000B4F7B" w:rsidRPr="00DD51DD">
        <w:t>Group</w:t>
      </w:r>
      <w:proofErr w:type="spellEnd"/>
      <w:r w:rsidR="000B4F7B" w:rsidRPr="00DD51DD">
        <w:t xml:space="preserve"> v Bruseli dňa 12. </w:t>
      </w:r>
      <w:r w:rsidR="00AD1249">
        <w:t>novembra</w:t>
      </w:r>
      <w:r w:rsidR="000B4F7B" w:rsidRPr="00DD51DD">
        <w:t xml:space="preserve"> 2013. Materiál bol vypracovaný skupinou odborníkov z</w:t>
      </w:r>
      <w:r w:rsidR="00AD1249">
        <w:t xml:space="preserve"> 10 </w:t>
      </w:r>
      <w:r w:rsidR="000B4F7B" w:rsidRPr="00DD51DD">
        <w:t xml:space="preserve">členských štátov koordinovanou </w:t>
      </w:r>
      <w:proofErr w:type="spellStart"/>
      <w:r w:rsidR="000B4F7B" w:rsidRPr="00DD51DD">
        <w:t>OLAF-om</w:t>
      </w:r>
      <w:proofErr w:type="spellEnd"/>
      <w:r w:rsidR="00BE3613" w:rsidRPr="00DD51DD">
        <w:t>,</w:t>
      </w:r>
      <w:r w:rsidR="000B4F7B" w:rsidRPr="00DD51DD">
        <w:t xml:space="preserve"> Oddelením D</w:t>
      </w:r>
      <w:r w:rsidR="00031C44">
        <w:t>.2</w:t>
      </w:r>
      <w:r w:rsidR="000B4F7B" w:rsidRPr="00DD51DD">
        <w:t xml:space="preserve"> – prevencia proti podvodom. Materiál má byť nápomocným pri riešení problematiky konfliktu záujmov vo verejnom obstarávaní.</w:t>
      </w:r>
      <w:r w:rsidR="000B4F7B">
        <w:t xml:space="preserve"> </w:t>
      </w:r>
    </w:p>
    <w:p w:rsidR="003006C5" w:rsidRDefault="00FB010E" w:rsidP="003006C5">
      <w:pPr>
        <w:spacing w:after="0"/>
        <w:jc w:val="both"/>
      </w:pPr>
      <w:r w:rsidRPr="0055048A">
        <w:rPr>
          <w:b/>
          <w:i/>
        </w:rPr>
        <w:t xml:space="preserve">Pracovná skupina pre </w:t>
      </w:r>
      <w:r w:rsidR="00C93D05">
        <w:rPr>
          <w:b/>
          <w:i/>
        </w:rPr>
        <w:t xml:space="preserve">centrálnu databázu vylúčených subjektov </w:t>
      </w:r>
      <w:r w:rsidR="00C93D05" w:rsidRPr="00C93D05">
        <w:t>v r</w:t>
      </w:r>
      <w:r w:rsidR="003427EB" w:rsidRPr="00A87E97">
        <w:t>oku 2013</w:t>
      </w:r>
      <w:r>
        <w:t xml:space="preserve"> nezasadala. </w:t>
      </w:r>
      <w:r w:rsidR="003006C5" w:rsidRPr="003006C5">
        <w:t xml:space="preserve">Dôvodom bola prebiehajúca finalizácia manuálu k Centrálnej databáze vylúčených subjektov. </w:t>
      </w:r>
      <w:r w:rsidR="003006C5">
        <w:t>P</w:t>
      </w:r>
      <w:r w:rsidR="003006C5" w:rsidRPr="003006C5">
        <w:rPr>
          <w:iCs/>
        </w:rPr>
        <w:t xml:space="preserve">rvá </w:t>
      </w:r>
      <w:r w:rsidR="003006C5" w:rsidRPr="003006C5">
        <w:t>verzia návrhu manuálu k CED bola zaslaná členom PS </w:t>
      </w:r>
      <w:r w:rsidR="003006C5">
        <w:t xml:space="preserve">pre </w:t>
      </w:r>
      <w:r w:rsidR="003006C5" w:rsidRPr="003006C5">
        <w:t xml:space="preserve">CED </w:t>
      </w:r>
      <w:r w:rsidR="003006C5">
        <w:t xml:space="preserve">dňa </w:t>
      </w:r>
      <w:r w:rsidR="003006C5" w:rsidRPr="003006C5">
        <w:t>4. </w:t>
      </w:r>
      <w:r w:rsidR="003006C5">
        <w:t xml:space="preserve">júla </w:t>
      </w:r>
      <w:r w:rsidR="003006C5" w:rsidRPr="003006C5">
        <w:t xml:space="preserve">2013. K návrhu manuálu sa uskutočnilo stretnutie s CKO </w:t>
      </w:r>
      <w:r w:rsidR="006D45A1">
        <w:t xml:space="preserve">dňa </w:t>
      </w:r>
      <w:r w:rsidR="003006C5" w:rsidRPr="003006C5">
        <w:t>20. </w:t>
      </w:r>
      <w:r w:rsidR="00A87E97">
        <w:t xml:space="preserve">septembra </w:t>
      </w:r>
      <w:r w:rsidR="003006C5" w:rsidRPr="003006C5">
        <w:t xml:space="preserve">2013. Materiál bol prepracovaný a zároveň vznikla potreba prekonzultovať materiál s Úradom na ochranu osobných údajov vzhľadom na </w:t>
      </w:r>
      <w:r w:rsidR="006D45A1">
        <w:t>po</w:t>
      </w:r>
      <w:r w:rsidR="003006C5" w:rsidRPr="003006C5">
        <w:t>treb</w:t>
      </w:r>
      <w:r w:rsidR="006D45A1">
        <w:t>u</w:t>
      </w:r>
      <w:r w:rsidR="003006C5" w:rsidRPr="003006C5">
        <w:t xml:space="preserve"> upraviť oblasti týkajúce </w:t>
      </w:r>
      <w:r w:rsidR="00E155F7">
        <w:t xml:space="preserve">sa </w:t>
      </w:r>
      <w:r w:rsidR="003006C5" w:rsidRPr="003006C5">
        <w:t xml:space="preserve">niektorých aspektov ochrany osobných údajov v súvislosti s CED, najmä poskytovania osobných údajov tretím stranám a s tým spojenú prípadnú potrebu zákonného splnomocnenia pre </w:t>
      </w:r>
      <w:r w:rsidR="006D45A1">
        <w:t>„</w:t>
      </w:r>
      <w:r w:rsidR="003006C5" w:rsidRPr="003006C5">
        <w:t>Styčné miesto</w:t>
      </w:r>
      <w:r w:rsidR="006D45A1">
        <w:t>“, ktorým je OCKÚ OLAF</w:t>
      </w:r>
      <w:r w:rsidR="003006C5" w:rsidRPr="003006C5">
        <w:t xml:space="preserve">. </w:t>
      </w:r>
      <w:r w:rsidR="00A87E97">
        <w:t>V roku 2013 ešte</w:t>
      </w:r>
      <w:r w:rsidR="00A87E97" w:rsidRPr="003006C5">
        <w:t xml:space="preserve"> </w:t>
      </w:r>
      <w:r w:rsidR="00A87E97">
        <w:t>ú</w:t>
      </w:r>
      <w:r w:rsidR="00A87E97" w:rsidRPr="003006C5">
        <w:t xml:space="preserve">daje </w:t>
      </w:r>
      <w:r w:rsidR="006D45A1">
        <w:t xml:space="preserve">do </w:t>
      </w:r>
      <w:r w:rsidR="006D45A1" w:rsidRPr="003006C5">
        <w:t xml:space="preserve">CED </w:t>
      </w:r>
      <w:r w:rsidR="003006C5" w:rsidRPr="003006C5">
        <w:t>neboli odovzdávané.</w:t>
      </w:r>
    </w:p>
    <w:p w:rsidR="00851A61" w:rsidRPr="006D45A1" w:rsidRDefault="00851A61" w:rsidP="003006C5">
      <w:pPr>
        <w:spacing w:after="0"/>
        <w:jc w:val="both"/>
      </w:pPr>
    </w:p>
    <w:p w:rsidR="00851A61" w:rsidRDefault="00851A61" w:rsidP="00851A61">
      <w:pPr>
        <w:spacing w:after="0"/>
        <w:jc w:val="both"/>
      </w:pPr>
      <w:r w:rsidRPr="003E3795">
        <w:rPr>
          <w:b/>
          <w:i/>
        </w:rPr>
        <w:t>Pracovná skupina pre komunikáciu</w:t>
      </w:r>
      <w:r w:rsidRPr="003E3795">
        <w:rPr>
          <w:b/>
        </w:rPr>
        <w:t> </w:t>
      </w:r>
      <w:r>
        <w:t>zasadala v sledovanom období celkovo trikrát, a to dňa 1. marca 2013, 19. apríla 2013 a 22. novembra 2013. PSK v rámci svojej činnosti plní úlohy vyplývajúce z Komunikačného plánu  ako aj z </w:t>
      </w:r>
      <w:r w:rsidRPr="00DD51DD">
        <w:t>Akčného plánu k OFZ EÚ v SR v platnom znení</w:t>
      </w:r>
      <w:r>
        <w:t xml:space="preserve">. PSK na svojom zasadnutí dňa 19. apríla 2013 schválila </w:t>
      </w:r>
      <w:r w:rsidRPr="00800FD1">
        <w:t xml:space="preserve">návrh </w:t>
      </w:r>
      <w:r w:rsidRPr="00715F67">
        <w:rPr>
          <w:i/>
        </w:rPr>
        <w:t>1.</w:t>
      </w:r>
      <w:r>
        <w:t xml:space="preserve"> </w:t>
      </w:r>
      <w:r w:rsidRPr="00A54A78">
        <w:rPr>
          <w:i/>
        </w:rPr>
        <w:t>Výročnej správy o aktivitách sieťových partnerov v oblasti ochrany finančných záujmov EÚ v</w:t>
      </w:r>
      <w:r>
        <w:rPr>
          <w:i/>
        </w:rPr>
        <w:t> </w:t>
      </w:r>
      <w:r w:rsidRPr="00A54A78">
        <w:rPr>
          <w:i/>
        </w:rPr>
        <w:t>S</w:t>
      </w:r>
      <w:r>
        <w:rPr>
          <w:i/>
        </w:rPr>
        <w:t>lovenskej republike za rok 2012</w:t>
      </w:r>
      <w:r w:rsidRPr="00FB6805">
        <w:t xml:space="preserve"> </w:t>
      </w:r>
      <w:hyperlink r:id="rId11" w:history="1">
        <w:r w:rsidR="00DD0E26" w:rsidRPr="00DD0E26">
          <w:rPr>
            <w:rStyle w:val="Hypertextovprepojenie"/>
            <w:i/>
          </w:rPr>
          <w:t>http://www.olaf.vlada.</w:t>
        </w:r>
        <w:r w:rsidR="00DD0E26" w:rsidRPr="00637FEE">
          <w:rPr>
            <w:rStyle w:val="Hypertextovprepojenie"/>
            <w:i/>
          </w:rPr>
          <w:t>gov.sk/vyrocna-sprava-o-aktivitach-sietovych-partnerov-v-oblasti-ochrany-financnych-zaujmov-eu-v-sr-v-roku-2012</w:t>
        </w:r>
        <w:r w:rsidR="00DD0E26" w:rsidRPr="00290996">
          <w:rPr>
            <w:rStyle w:val="Hypertextovprepojenie"/>
            <w:i/>
          </w:rPr>
          <w:t>/</w:t>
        </w:r>
      </w:hyperlink>
      <w:r w:rsidR="00DD0E26">
        <w:rPr>
          <w:i/>
        </w:rPr>
        <w:t xml:space="preserve"> </w:t>
      </w:r>
      <w:r w:rsidRPr="00800FD1">
        <w:t xml:space="preserve">, ako aj materiál </w:t>
      </w:r>
      <w:r w:rsidRPr="00A54A78">
        <w:rPr>
          <w:i/>
        </w:rPr>
        <w:t>Opatrenia na motivovanie verejnosti k účasti na ochrane finančných záujmov EÚ v</w:t>
      </w:r>
      <w:r>
        <w:rPr>
          <w:i/>
        </w:rPr>
        <w:t> </w:t>
      </w:r>
      <w:r w:rsidRPr="00A54A78">
        <w:rPr>
          <w:i/>
        </w:rPr>
        <w:t>SR</w:t>
      </w:r>
      <w:r>
        <w:rPr>
          <w:i/>
        </w:rPr>
        <w:t xml:space="preserve"> v zmysle úlohy č. 3.9 Akčného plánu k </w:t>
      </w:r>
      <w:r w:rsidRPr="00FD266F">
        <w:rPr>
          <w:i/>
        </w:rPr>
        <w:t>OFZ EÚ v</w:t>
      </w:r>
      <w:r>
        <w:rPr>
          <w:i/>
        </w:rPr>
        <w:t> </w:t>
      </w:r>
      <w:r w:rsidRPr="00FD266F">
        <w:rPr>
          <w:i/>
        </w:rPr>
        <w:t>SR</w:t>
      </w:r>
      <w:r>
        <w:rPr>
          <w:i/>
        </w:rPr>
        <w:t xml:space="preserve"> platnom od 1. januára 2013</w:t>
      </w:r>
      <w:r w:rsidRPr="00800FD1">
        <w:t xml:space="preserve">. </w:t>
      </w:r>
      <w:r>
        <w:t xml:space="preserve">Na zasadnutí PSK dňa </w:t>
      </w:r>
      <w:r w:rsidRPr="00800FD1">
        <w:t xml:space="preserve">22. </w:t>
      </w:r>
      <w:r>
        <w:t xml:space="preserve">novembra </w:t>
      </w:r>
      <w:r w:rsidRPr="00800FD1">
        <w:t>20</w:t>
      </w:r>
      <w:r>
        <w:t>1</w:t>
      </w:r>
      <w:r w:rsidRPr="00800FD1">
        <w:t xml:space="preserve">3 </w:t>
      </w:r>
      <w:r>
        <w:t xml:space="preserve">bola členmi PSK </w:t>
      </w:r>
      <w:r w:rsidRPr="00800FD1">
        <w:t>schvál</w:t>
      </w:r>
      <w:r>
        <w:t>ená ak</w:t>
      </w:r>
      <w:r w:rsidRPr="00800FD1">
        <w:t>tualiz</w:t>
      </w:r>
      <w:r>
        <w:t xml:space="preserve">ácia </w:t>
      </w:r>
      <w:r w:rsidRPr="00800FD1">
        <w:t>Komunikačn</w:t>
      </w:r>
      <w:r>
        <w:t xml:space="preserve">ého </w:t>
      </w:r>
      <w:r w:rsidRPr="00800FD1">
        <w:t xml:space="preserve"> plán</w:t>
      </w:r>
      <w:r>
        <w:t xml:space="preserve">u verzia 2.0, </w:t>
      </w:r>
      <w:r w:rsidRPr="00A54A78">
        <w:t xml:space="preserve">vrátane jeho Prílohy </w:t>
      </w:r>
      <w:r>
        <w:t xml:space="preserve">č. 1, </w:t>
      </w:r>
      <w:r w:rsidRPr="00800FD1">
        <w:t>ako aj odpočet K</w:t>
      </w:r>
      <w:r>
        <w:t xml:space="preserve">omunikačného plánu </w:t>
      </w:r>
      <w:r w:rsidRPr="00800FD1">
        <w:t>k 30.</w:t>
      </w:r>
      <w:r>
        <w:t xml:space="preserve"> novembru </w:t>
      </w:r>
      <w:r w:rsidRPr="00800FD1">
        <w:t xml:space="preserve">2013. </w:t>
      </w:r>
    </w:p>
    <w:p w:rsidR="00D42502" w:rsidRDefault="00882431" w:rsidP="00DE058A">
      <w:pPr>
        <w:pStyle w:val="Nadpis1"/>
        <w:numPr>
          <w:ilvl w:val="0"/>
          <w:numId w:val="22"/>
        </w:numPr>
        <w:jc w:val="both"/>
      </w:pPr>
      <w:bookmarkStart w:id="12" w:name="_Toc384972203"/>
      <w:r w:rsidRPr="00882431">
        <w:lastRenderedPageBreak/>
        <w:t xml:space="preserve">Činnosť OCKÚ OLAF a ostatných sieťových partnerov v oblasti </w:t>
      </w:r>
      <w:r w:rsidR="00D42502" w:rsidRPr="00882431">
        <w:t xml:space="preserve"> ochrany finančných záujmov EÚ</w:t>
      </w:r>
      <w:bookmarkEnd w:id="12"/>
      <w:r w:rsidR="00D42502" w:rsidRPr="00882431">
        <w:t xml:space="preserve"> </w:t>
      </w:r>
    </w:p>
    <w:p w:rsidR="00DE058A" w:rsidRPr="00DE058A" w:rsidRDefault="00DE058A" w:rsidP="00DE058A">
      <w:pPr>
        <w:pStyle w:val="Odsekzoznamu"/>
        <w:ind w:left="360"/>
      </w:pPr>
    </w:p>
    <w:p w:rsidR="002E2F86" w:rsidRDefault="002E2F86" w:rsidP="00DE058A">
      <w:pPr>
        <w:pStyle w:val="Nadpis2"/>
        <w:spacing w:before="0"/>
        <w:rPr>
          <w:rStyle w:val="Nadpis2Char"/>
          <w:b/>
        </w:rPr>
      </w:pPr>
      <w:bookmarkStart w:id="13" w:name="_Toc384972204"/>
      <w:r>
        <w:t xml:space="preserve">4.1 </w:t>
      </w:r>
      <w:r w:rsidRPr="00F10AD3">
        <w:rPr>
          <w:rStyle w:val="Nadpis2Char"/>
          <w:b/>
        </w:rPr>
        <w:t>OCKÚ OLAF</w:t>
      </w:r>
      <w:bookmarkEnd w:id="13"/>
    </w:p>
    <w:p w:rsidR="00DE058A" w:rsidRPr="00DE058A" w:rsidRDefault="00DE058A" w:rsidP="00DE058A">
      <w:pPr>
        <w:spacing w:after="0"/>
      </w:pPr>
    </w:p>
    <w:p w:rsidR="003427EB" w:rsidRDefault="00DE058A" w:rsidP="00DE058A">
      <w:pPr>
        <w:spacing w:after="0"/>
        <w:rPr>
          <w:b/>
        </w:rPr>
      </w:pPr>
      <w:r>
        <w:rPr>
          <w:b/>
        </w:rPr>
        <w:t>K</w:t>
      </w:r>
      <w:r w:rsidR="006D45A1" w:rsidRPr="00BF2432">
        <w:rPr>
          <w:b/>
        </w:rPr>
        <w:t xml:space="preserve">ontrolná činnosť </w:t>
      </w:r>
      <w:r w:rsidR="003427EB" w:rsidRPr="00BF2432">
        <w:rPr>
          <w:b/>
        </w:rPr>
        <w:t>OCKÚ OLAF</w:t>
      </w:r>
    </w:p>
    <w:p w:rsidR="00DE058A" w:rsidRPr="00BF2432" w:rsidRDefault="00DE058A" w:rsidP="00DE058A">
      <w:pPr>
        <w:spacing w:after="0"/>
        <w:rPr>
          <w:b/>
        </w:rPr>
      </w:pPr>
    </w:p>
    <w:p w:rsidR="003427EB" w:rsidRPr="003427EB" w:rsidRDefault="006D45A1" w:rsidP="00DE058A">
      <w:pPr>
        <w:spacing w:after="0"/>
        <w:jc w:val="both"/>
      </w:pPr>
      <w:r>
        <w:t>K</w:t>
      </w:r>
      <w:r w:rsidR="003427EB" w:rsidRPr="003427EB">
        <w:t xml:space="preserve">ontrolná činnosť </w:t>
      </w:r>
      <w:r>
        <w:t xml:space="preserve">OCKÚ OLAF </w:t>
      </w:r>
      <w:r w:rsidR="003427EB" w:rsidRPr="003427EB">
        <w:t xml:space="preserve">podľa zákona č. 10/1996 Z. z. o kontrole v štátnej správe v znení neskorších predpisov (ďalej len „zákon č. 10/1996 Z. z.“) </w:t>
      </w:r>
      <w:r w:rsidR="002E2F86">
        <w:t>bola v sledovanom období vykonávaná</w:t>
      </w:r>
      <w:r w:rsidR="002E2F86" w:rsidRPr="003427EB">
        <w:t xml:space="preserve"> </w:t>
      </w:r>
      <w:r w:rsidR="003427EB" w:rsidRPr="003427EB">
        <w:t xml:space="preserve">v zmysle „Zamerania kontrolnej činnosti úradu vlády na rok 2013“, </w:t>
      </w:r>
      <w:r w:rsidR="003427EB" w:rsidRPr="00F10AD3">
        <w:t>schválen</w:t>
      </w:r>
      <w:r w:rsidR="001B459C" w:rsidRPr="00F10AD3">
        <w:t>ého</w:t>
      </w:r>
      <w:r w:rsidR="003427EB" w:rsidRPr="00F10AD3">
        <w:t xml:space="preserve"> uznesením vlády Slovenskej republiky č. 37 zo dňa 23</w:t>
      </w:r>
      <w:r w:rsidR="003427EB" w:rsidRPr="001F5EE6">
        <w:t xml:space="preserve">. </w:t>
      </w:r>
      <w:r w:rsidR="001B459C" w:rsidRPr="001F5EE6">
        <w:t xml:space="preserve">januára </w:t>
      </w:r>
      <w:r w:rsidR="003427EB" w:rsidRPr="001F5EE6">
        <w:t>2013</w:t>
      </w:r>
      <w:r w:rsidR="001B459C" w:rsidRPr="001F5EE6">
        <w:t>.</w:t>
      </w:r>
      <w:r w:rsidR="001B459C">
        <w:t xml:space="preserve"> </w:t>
      </w:r>
      <w:r w:rsidR="003427EB" w:rsidRPr="003427EB">
        <w:t xml:space="preserve">      </w:t>
      </w:r>
    </w:p>
    <w:p w:rsidR="00172E47" w:rsidRDefault="00622E73" w:rsidP="006230B7">
      <w:pPr>
        <w:spacing w:after="0"/>
        <w:jc w:val="both"/>
      </w:pPr>
      <w:r>
        <w:t>V</w:t>
      </w:r>
      <w:r w:rsidR="00B223A6">
        <w:t xml:space="preserve"> hodnotenom </w:t>
      </w:r>
      <w:r w:rsidR="00DD51DD">
        <w:t xml:space="preserve">období </w:t>
      </w:r>
      <w:r w:rsidR="001B459C" w:rsidRPr="001B459C">
        <w:t>vykonali zamestnanci</w:t>
      </w:r>
      <w:r w:rsidR="001B459C" w:rsidRPr="001B459C">
        <w:rPr>
          <w:b/>
        </w:rPr>
        <w:t xml:space="preserve"> </w:t>
      </w:r>
      <w:r w:rsidR="003427EB" w:rsidRPr="003427EB">
        <w:t xml:space="preserve">OCKÚ OLAF </w:t>
      </w:r>
      <w:r w:rsidRPr="00721A0D">
        <w:t xml:space="preserve">v zmysle uvedeného zákona </w:t>
      </w:r>
      <w:r w:rsidR="001B459C" w:rsidRPr="00721A0D">
        <w:t xml:space="preserve">kontrolu postupu </w:t>
      </w:r>
      <w:r w:rsidR="001B459C" w:rsidRPr="00721A0D">
        <w:rPr>
          <w:b/>
        </w:rPr>
        <w:t>Pôdohospodárskej platobnej agentúry</w:t>
      </w:r>
      <w:r w:rsidR="00565EBE">
        <w:rPr>
          <w:b/>
        </w:rPr>
        <w:t xml:space="preserve"> pri MPRV SR</w:t>
      </w:r>
      <w:r w:rsidR="00DD51DD" w:rsidRPr="00721A0D">
        <w:rPr>
          <w:b/>
        </w:rPr>
        <w:t xml:space="preserve">. </w:t>
      </w:r>
      <w:r w:rsidR="00DD51DD" w:rsidRPr="00721A0D">
        <w:t>Cieľom kontroly bolo</w:t>
      </w:r>
      <w:r w:rsidR="00DD51DD" w:rsidRPr="00721A0D">
        <w:rPr>
          <w:b/>
        </w:rPr>
        <w:t xml:space="preserve"> </w:t>
      </w:r>
      <w:r w:rsidR="00DD51DD" w:rsidRPr="00721A0D">
        <w:t xml:space="preserve">preverenie dodržiavania právnych predpisov EÚ a všeobecne záväzných právnych predpisov SR a interných predpisov zo strany PPA pri 2 projektoch v rámci Programu rozvoja vidieka SR 2007 – 2013, spolufinancovaných z EPFRV a z prostriedkov štátneho rozpočtu SR, najmä v súvislosti so skutočnosťami uvedenými v Záverečnej správe </w:t>
      </w:r>
      <w:proofErr w:type="spellStart"/>
      <w:r w:rsidR="00DD51DD" w:rsidRPr="00721A0D">
        <w:t>OLAFu</w:t>
      </w:r>
      <w:proofErr w:type="spellEnd"/>
      <w:r w:rsidR="00DD51DD" w:rsidRPr="00721A0D">
        <w:t xml:space="preserve"> doručenej sekcii kontroly a boja proti korupcii Úradu vlády SR a v súvislosti so skutočnosťami uvedenými v podaní doručenom OCKÚ OLAF</w:t>
      </w:r>
      <w:r w:rsidR="00036AB5" w:rsidRPr="001F5EE6">
        <w:t>,</w:t>
      </w:r>
      <w:r w:rsidR="00DD51DD" w:rsidRPr="001F5EE6">
        <w:t xml:space="preserve"> </w:t>
      </w:r>
      <w:r w:rsidR="00036AB5" w:rsidRPr="00F10AD3">
        <w:t>týkajúc</w:t>
      </w:r>
      <w:r w:rsidR="001F5EE6" w:rsidRPr="00F10AD3">
        <w:t xml:space="preserve">om </w:t>
      </w:r>
      <w:r w:rsidR="00036AB5" w:rsidRPr="00F10AD3">
        <w:t xml:space="preserve">sa </w:t>
      </w:r>
      <w:r w:rsidR="00721A0D" w:rsidRPr="00F10AD3">
        <w:t>proces</w:t>
      </w:r>
      <w:r w:rsidR="00036AB5" w:rsidRPr="00F10AD3">
        <w:t>u</w:t>
      </w:r>
      <w:r w:rsidR="00721A0D" w:rsidRPr="00F10AD3">
        <w:t xml:space="preserve"> schvaľovania </w:t>
      </w:r>
      <w:r w:rsidR="001B459C" w:rsidRPr="00F10AD3">
        <w:t xml:space="preserve"> žiadostí o </w:t>
      </w:r>
      <w:r w:rsidR="00F10AD3">
        <w:t>NFP.</w:t>
      </w:r>
      <w:r w:rsidR="00721A0D" w:rsidRPr="00721A0D">
        <w:t xml:space="preserve"> </w:t>
      </w:r>
    </w:p>
    <w:p w:rsidR="001B459C" w:rsidRPr="003427EB" w:rsidRDefault="00721A0D" w:rsidP="006230B7">
      <w:pPr>
        <w:spacing w:after="0"/>
        <w:jc w:val="both"/>
      </w:pPr>
      <w:r w:rsidRPr="00721A0D">
        <w:t xml:space="preserve">Ďalšia </w:t>
      </w:r>
      <w:r w:rsidR="00825ED3" w:rsidRPr="00721A0D">
        <w:t xml:space="preserve">kontrola bola vykonaná na </w:t>
      </w:r>
      <w:r w:rsidRPr="00721A0D">
        <w:rPr>
          <w:b/>
        </w:rPr>
        <w:t>MŽP SR</w:t>
      </w:r>
      <w:r w:rsidRPr="00721A0D">
        <w:t xml:space="preserve">. </w:t>
      </w:r>
      <w:r w:rsidR="00CD2184" w:rsidRPr="00721A0D">
        <w:t>Cieľom kontroly bolo preveriť dodržiavanie všeobecne záväzných právnych predpisov a interných predpisov pri vybraných projektoch realizovaných v rámci OP ŽP so zameraním na dodržiavanie procesov finančného riadenia.</w:t>
      </w:r>
      <w:r>
        <w:t xml:space="preserve"> </w:t>
      </w:r>
      <w:r w:rsidR="007D3DFB">
        <w:t xml:space="preserve">Kontrola bola vykonaná ako operatívna kontrola na základe pokynu a poverenia vedúceho ÚV SR. </w:t>
      </w:r>
    </w:p>
    <w:p w:rsidR="003D0FD5" w:rsidRDefault="003D0FD5" w:rsidP="006230B7">
      <w:pPr>
        <w:spacing w:after="0"/>
        <w:jc w:val="both"/>
      </w:pPr>
      <w:r w:rsidRPr="003427EB">
        <w:t>Pri oboch kontrolách vykonaných podľa  zákona č. 10/1996 Z. z. bol</w:t>
      </w:r>
      <w:r w:rsidR="00284163">
        <w:t>o</w:t>
      </w:r>
      <w:r w:rsidRPr="003427EB">
        <w:t xml:space="preserve"> zistené porušenie všeobecne záväzných právn</w:t>
      </w:r>
      <w:r>
        <w:t>y</w:t>
      </w:r>
      <w:r w:rsidRPr="003427EB">
        <w:t>ch predpisov</w:t>
      </w:r>
      <w:r w:rsidR="00036AB5">
        <w:t xml:space="preserve"> a </w:t>
      </w:r>
      <w:r w:rsidRPr="003427EB">
        <w:t xml:space="preserve"> interných predpisov.</w:t>
      </w:r>
    </w:p>
    <w:p w:rsidR="006230B7" w:rsidRDefault="006230B7" w:rsidP="006230B7">
      <w:pPr>
        <w:spacing w:after="0"/>
        <w:jc w:val="both"/>
      </w:pPr>
    </w:p>
    <w:p w:rsidR="00D53F97" w:rsidRPr="00BF2432" w:rsidRDefault="00BF2432" w:rsidP="00BF2432">
      <w:pPr>
        <w:rPr>
          <w:b/>
        </w:rPr>
      </w:pPr>
      <w:r w:rsidRPr="00BF2432">
        <w:rPr>
          <w:b/>
        </w:rPr>
        <w:t>N</w:t>
      </w:r>
      <w:r w:rsidR="00D53F97" w:rsidRPr="00BF2432">
        <w:rPr>
          <w:b/>
        </w:rPr>
        <w:t xml:space="preserve">ahlasovanie nezrovnalostí </w:t>
      </w:r>
    </w:p>
    <w:p w:rsidR="00D53F97" w:rsidRDefault="00D53F97" w:rsidP="006230B7">
      <w:pPr>
        <w:spacing w:after="0"/>
        <w:jc w:val="both"/>
        <w:rPr>
          <w:b/>
        </w:rPr>
      </w:pPr>
      <w:r w:rsidRPr="00D53F97">
        <w:t xml:space="preserve">Dôležitou úlohou OCKÚ OLAF v rámci svojej činnosti je </w:t>
      </w:r>
      <w:r w:rsidRPr="00D53F97">
        <w:rPr>
          <w:b/>
        </w:rPr>
        <w:t xml:space="preserve">prijímanie, evidencia a monitorovanie </w:t>
      </w:r>
      <w:r w:rsidRPr="00D53F97">
        <w:t xml:space="preserve">všetkých zistených a odhalených porušení pravidiel pri čerpaní finančných prostriedkov z fondov Európskej únie,  tzv. </w:t>
      </w:r>
      <w:r w:rsidRPr="00D53F97">
        <w:rPr>
          <w:b/>
        </w:rPr>
        <w:t>nezrovnalostí.</w:t>
      </w:r>
      <w:r w:rsidRPr="00D53F97">
        <w:t xml:space="preserve"> V rámci tejto činnosti </w:t>
      </w:r>
      <w:r w:rsidRPr="00D53F97">
        <w:rPr>
          <w:b/>
        </w:rPr>
        <w:t>spolupracuje so sieťovými partnermi siete AFCOS.</w:t>
      </w:r>
    </w:p>
    <w:p w:rsidR="00AD1249" w:rsidRPr="00D53F97" w:rsidRDefault="00AD1249" w:rsidP="006230B7">
      <w:pPr>
        <w:spacing w:after="0"/>
        <w:jc w:val="both"/>
        <w:rPr>
          <w:b/>
        </w:rPr>
      </w:pPr>
    </w:p>
    <w:p w:rsidR="00D53F97" w:rsidRDefault="00D53F97" w:rsidP="00AD1249">
      <w:pPr>
        <w:spacing w:after="0"/>
        <w:jc w:val="both"/>
      </w:pPr>
      <w:r w:rsidRPr="00D53F97">
        <w:t xml:space="preserve">OCKÚ OLAF všetky nezrovnalosti zasielané sieťovými partnermi analyzuje. Štvrťročne nahlasuje </w:t>
      </w:r>
      <w:r w:rsidR="00AD1249">
        <w:t xml:space="preserve">úradu </w:t>
      </w:r>
      <w:r w:rsidRPr="00D53F97">
        <w:t xml:space="preserve"> OLAF</w:t>
      </w:r>
      <w:r w:rsidR="00AD1249">
        <w:t xml:space="preserve"> </w:t>
      </w:r>
      <w:r w:rsidR="00AD1249" w:rsidRPr="00D53F97">
        <w:t xml:space="preserve">cez internetový systém Komisie pre nahlasovanie nezrovnalostí – IMS </w:t>
      </w:r>
      <w:r w:rsidRPr="00D53F97">
        <w:t>tie nezrovnalosti, ktorých finančný dopad na</w:t>
      </w:r>
      <w:r w:rsidR="00AD1249">
        <w:t xml:space="preserve"> rozpočet EÚ je nad 10 000 EUR. </w:t>
      </w:r>
      <w:r w:rsidRPr="00D53F97">
        <w:t xml:space="preserve">V roku 2013 OCKÚ OLAF zaslal do </w:t>
      </w:r>
      <w:proofErr w:type="spellStart"/>
      <w:r w:rsidRPr="00D53F97">
        <w:t>OLAF-u</w:t>
      </w:r>
      <w:proofErr w:type="spellEnd"/>
      <w:r w:rsidRPr="00D53F97">
        <w:t xml:space="preserve"> cez IMS </w:t>
      </w:r>
      <w:r w:rsidRPr="00AD1249">
        <w:rPr>
          <w:b/>
        </w:rPr>
        <w:t xml:space="preserve">29 hlásení </w:t>
      </w:r>
      <w:r w:rsidRPr="00D53F97">
        <w:t>za programové obdobie 2004-2006 a </w:t>
      </w:r>
      <w:r w:rsidRPr="00AD1249">
        <w:rPr>
          <w:b/>
        </w:rPr>
        <w:t>287 hlásení</w:t>
      </w:r>
      <w:r w:rsidRPr="00D53F97">
        <w:t xml:space="preserve"> za programové obdobie 2007-2013. </w:t>
      </w:r>
    </w:p>
    <w:p w:rsidR="00AD1249" w:rsidRPr="00D53F97" w:rsidRDefault="00AD1249" w:rsidP="00AD1249">
      <w:pPr>
        <w:spacing w:after="0"/>
        <w:jc w:val="both"/>
      </w:pPr>
    </w:p>
    <w:p w:rsidR="00282944" w:rsidRDefault="00D53F97" w:rsidP="00D53F97">
      <w:pPr>
        <w:jc w:val="both"/>
      </w:pPr>
      <w:r w:rsidRPr="00682B20">
        <w:t>OCKÚ OLAF vypracováva a na svojej webovej stránke zverejňuje pravidelne aktualizovaný</w:t>
      </w:r>
      <w:r w:rsidRPr="00682B20">
        <w:rPr>
          <w:b/>
        </w:rPr>
        <w:t xml:space="preserve"> NZN. </w:t>
      </w:r>
      <w:r w:rsidRPr="00682B20">
        <w:t xml:space="preserve">Ide o zoznam všetkých nezrovnalostí s dopadom na výkaz výdavkov EÚ a nezrovnalosti, v ktorých je vedené trestné konanie, vzniknutých pri čerpaní pomoci zo ŠF, KF a EFF, nahlásených OCKÚ OLAF. V roku 2013 bolo nahlásených OCKÚ OLAF za jednotlivé operačné programy v rámci štrukturálnych fondov EÚ za PO 2007-2013 (vrátane programu cezhraničnej spolupráce SR-ČR) </w:t>
      </w:r>
      <w:r w:rsidRPr="00682B20">
        <w:rPr>
          <w:b/>
        </w:rPr>
        <w:t>celkovo 1</w:t>
      </w:r>
      <w:r w:rsidR="006736E8">
        <w:rPr>
          <w:b/>
        </w:rPr>
        <w:t xml:space="preserve"> </w:t>
      </w:r>
      <w:r w:rsidRPr="00682B20">
        <w:rPr>
          <w:b/>
        </w:rPr>
        <w:t xml:space="preserve">062 </w:t>
      </w:r>
      <w:r w:rsidR="007D3095">
        <w:rPr>
          <w:b/>
        </w:rPr>
        <w:t xml:space="preserve">nových </w:t>
      </w:r>
      <w:r w:rsidRPr="00682B20">
        <w:rPr>
          <w:b/>
        </w:rPr>
        <w:t>nezrovnalostí</w:t>
      </w:r>
      <w:r w:rsidRPr="00682B20">
        <w:t xml:space="preserve">. </w:t>
      </w:r>
    </w:p>
    <w:p w:rsidR="00D53F97" w:rsidRDefault="00D53F97" w:rsidP="00D53F97">
      <w:pPr>
        <w:jc w:val="both"/>
      </w:pPr>
      <w:r w:rsidRPr="00682B20">
        <w:t xml:space="preserve">V rámci programov cezhraničnej spolupráce (SR–AT, MR-SR, SR-PL, ENPI (HU-SK-RO-UA) </w:t>
      </w:r>
      <w:r w:rsidR="007D3095" w:rsidRPr="00682B20">
        <w:t>bolo nahlásených OCKÚ OLAF 10 nezrovnalostí</w:t>
      </w:r>
      <w:r w:rsidR="00282944">
        <w:t xml:space="preserve"> za programy cezhraničnej spolupráce (PCS) SR-AT a PL-SR</w:t>
      </w:r>
      <w:r w:rsidR="007D3095">
        <w:t xml:space="preserve">. </w:t>
      </w:r>
      <w:r w:rsidR="007D3095">
        <w:lastRenderedPageBreak/>
        <w:t>V</w:t>
      </w:r>
      <w:r w:rsidRPr="00682B20">
        <w:t xml:space="preserve"> rámci nadnárodných operačných programov </w:t>
      </w:r>
      <w:r w:rsidR="007D3095">
        <w:t>(</w:t>
      </w:r>
      <w:r w:rsidRPr="00682B20">
        <w:t xml:space="preserve">OP </w:t>
      </w:r>
      <w:proofErr w:type="spellStart"/>
      <w:r w:rsidRPr="00682B20">
        <w:t>Interreg</w:t>
      </w:r>
      <w:proofErr w:type="spellEnd"/>
      <w:r w:rsidRPr="00682B20">
        <w:t xml:space="preserve"> IVC, OP </w:t>
      </w:r>
      <w:proofErr w:type="spellStart"/>
      <w:r w:rsidRPr="00682B20">
        <w:t>Urbact</w:t>
      </w:r>
      <w:proofErr w:type="spellEnd"/>
      <w:r w:rsidRPr="00682B20">
        <w:t xml:space="preserve"> II, OP ESPON 2013, OP JVE, OP SE) </w:t>
      </w:r>
      <w:r w:rsidR="007D3095">
        <w:t xml:space="preserve">nebola nahlásená žiadna nezrovnalosť. </w:t>
      </w:r>
      <w:r w:rsidRPr="00682B20">
        <w:t xml:space="preserve">Za program teritoriálnej spolupráce </w:t>
      </w:r>
      <w:proofErr w:type="spellStart"/>
      <w:r w:rsidRPr="00682B20">
        <w:t>Interract</w:t>
      </w:r>
      <w:proofErr w:type="spellEnd"/>
      <w:r w:rsidRPr="00682B20">
        <w:t xml:space="preserve"> II bola</w:t>
      </w:r>
      <w:r w:rsidRPr="00D53F97">
        <w:t xml:space="preserve"> nahlásená </w:t>
      </w:r>
      <w:r w:rsidR="00682B20">
        <w:t xml:space="preserve">1 </w:t>
      </w:r>
      <w:r w:rsidRPr="00D53F97">
        <w:t xml:space="preserve">nezrovnalosť. Za programové obdobie 2004-2006 </w:t>
      </w:r>
      <w:r w:rsidR="00282944">
        <w:t xml:space="preserve">(SOP ĽZ a SOP </w:t>
      </w:r>
      <w:proofErr w:type="spellStart"/>
      <w:r w:rsidR="00282944">
        <w:t>PaS</w:t>
      </w:r>
      <w:proofErr w:type="spellEnd"/>
      <w:r w:rsidR="00282944">
        <w:t xml:space="preserve">) </w:t>
      </w:r>
      <w:r w:rsidRPr="00D53F97">
        <w:t>bolo nahlásených 1</w:t>
      </w:r>
      <w:r w:rsidR="002271DA">
        <w:t>4</w:t>
      </w:r>
      <w:r w:rsidRPr="00D53F97">
        <w:t xml:space="preserve"> nezrovnalostí, za predvstupový nástroj štrukturálnej politiky ISPA (následne Kohézny fond) neboli nahlásené žiadne nezrovnalosti. V rámci Spoločnej poľnohospodárskej politiky bolo nahlásených </w:t>
      </w:r>
      <w:r w:rsidR="00682B20">
        <w:t>44</w:t>
      </w:r>
      <w:r w:rsidRPr="00D53F97">
        <w:t xml:space="preserve"> </w:t>
      </w:r>
      <w:r w:rsidR="00882431">
        <w:t xml:space="preserve">nezrovnalostí. </w:t>
      </w:r>
    </w:p>
    <w:p w:rsidR="007D3095" w:rsidRPr="007D3095" w:rsidRDefault="007D3095" w:rsidP="003E7067">
      <w:pPr>
        <w:spacing w:after="0" w:line="240" w:lineRule="auto"/>
        <w:jc w:val="both"/>
        <w:rPr>
          <w:b/>
        </w:rPr>
      </w:pPr>
      <w:r w:rsidRPr="007D3095">
        <w:rPr>
          <w:b/>
        </w:rPr>
        <w:t>Tabuľka 1: Prehľad nových nezrovnalostí nahlásených v roku 2013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440"/>
        <w:gridCol w:w="1440"/>
        <w:gridCol w:w="1440"/>
        <w:gridCol w:w="1440"/>
        <w:gridCol w:w="1440"/>
      </w:tblGrid>
      <w:tr w:rsidR="006F159E" w:rsidRPr="006F159E" w:rsidTr="006F159E">
        <w:trPr>
          <w:trHeight w:val="19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1Q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2Q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3Q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4Q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spolu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OP 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ROP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177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OP TP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C613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OP BK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PCS SR-ČR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OP 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OP ŽP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32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OP </w:t>
            </w:r>
            <w:proofErr w:type="spellStart"/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KaHR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22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OP 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137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OP </w:t>
            </w:r>
            <w:proofErr w:type="spellStart"/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VaV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49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OP </w:t>
            </w:r>
            <w:proofErr w:type="spellStart"/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ZaSI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578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OP 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OP RH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spolu: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1062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PCS SR-AT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PCS PL-SR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Interact</w:t>
            </w:r>
            <w:proofErr w:type="spellEnd"/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nadnárodné 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spolu: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11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SOP ĽZ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13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SOP </w:t>
            </w:r>
            <w:proofErr w:type="spellStart"/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PaS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spolu: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14</w:t>
            </w:r>
          </w:p>
        </w:tc>
      </w:tr>
      <w:tr w:rsidR="006F159E" w:rsidRPr="006F159E" w:rsidTr="007D3095">
        <w:trPr>
          <w:trHeight w:val="26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DAFF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SPP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44</w:t>
            </w:r>
          </w:p>
        </w:tc>
      </w:tr>
      <w:tr w:rsidR="006F159E" w:rsidRPr="006F159E" w:rsidTr="006F159E">
        <w:trPr>
          <w:trHeight w:val="19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spolu: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9E" w:rsidRPr="006F159E" w:rsidRDefault="006F159E" w:rsidP="006F159E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6F15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44</w:t>
            </w:r>
          </w:p>
        </w:tc>
      </w:tr>
    </w:tbl>
    <w:p w:rsidR="006F159E" w:rsidRPr="00D53F97" w:rsidRDefault="006F159E" w:rsidP="00D53F97">
      <w:pPr>
        <w:jc w:val="both"/>
      </w:pPr>
    </w:p>
    <w:p w:rsidR="00882431" w:rsidRDefault="00882431" w:rsidP="00F10AD3">
      <w:pPr>
        <w:pStyle w:val="Nadpis2"/>
      </w:pPr>
    </w:p>
    <w:p w:rsidR="00882431" w:rsidRPr="00882431" w:rsidRDefault="00882431" w:rsidP="00882431">
      <w:pPr>
        <w:rPr>
          <w:b/>
        </w:rPr>
      </w:pPr>
      <w:r w:rsidRPr="00882431">
        <w:rPr>
          <w:b/>
        </w:rPr>
        <w:t>Podania OCKÚ OLAF</w:t>
      </w:r>
    </w:p>
    <w:p w:rsidR="00882431" w:rsidRDefault="00882431" w:rsidP="00882431">
      <w:pPr>
        <w:jc w:val="both"/>
      </w:pPr>
      <w:r>
        <w:t xml:space="preserve">OCKÚ OLAF ako aj ostatní sieťoví partneri iniciujú opatrenia podnecujúce verejnosť k aktívnej účasti na nahlasovaní podozrení z nezrovnalostí. Tak môže aj verejnosť prispieť k ochrane verejných prostriedkov. </w:t>
      </w:r>
    </w:p>
    <w:p w:rsidR="00882431" w:rsidRDefault="00882431" w:rsidP="00882431">
      <w:pPr>
        <w:jc w:val="both"/>
      </w:pPr>
      <w:r>
        <w:t xml:space="preserve">OCKÚ OLAF </w:t>
      </w:r>
      <w:r w:rsidRPr="00990C39">
        <w:t>prijíma podania verejnosti o podozreniach z poškodenia, resp. ohrozenia finančných záujmov Európskej únie v Slovenskej republike</w:t>
      </w:r>
      <w:r>
        <w:t xml:space="preserve">, a to prostredníctvom emailovej adresy </w:t>
      </w:r>
      <w:hyperlink r:id="rId12" w:history="1">
        <w:r w:rsidRPr="0005220B">
          <w:rPr>
            <w:rStyle w:val="Hypertextovprepojenie"/>
          </w:rPr>
          <w:t>nezrovnalosti@vlada.gov.sk</w:t>
        </w:r>
      </w:hyperlink>
      <w:r>
        <w:t xml:space="preserve">, zverejnenej na webovej stránke OCKÚ OLAF </w:t>
      </w:r>
      <w:hyperlink r:id="rId13" w:history="1">
        <w:r w:rsidRPr="00603BB1">
          <w:rPr>
            <w:rStyle w:val="Hypertextovprepojenie"/>
          </w:rPr>
          <w:t>www.olaf.vlada.gov.sk</w:t>
        </w:r>
      </w:hyperlink>
      <w:r>
        <w:t xml:space="preserve">, poštou alebo osobne.  </w:t>
      </w:r>
    </w:p>
    <w:p w:rsidR="00282944" w:rsidRDefault="00282944" w:rsidP="00882431">
      <w:pPr>
        <w:jc w:val="both"/>
      </w:pPr>
    </w:p>
    <w:p w:rsidR="00282944" w:rsidRDefault="00282944" w:rsidP="00882431">
      <w:pPr>
        <w:jc w:val="both"/>
      </w:pPr>
    </w:p>
    <w:p w:rsidR="00282944" w:rsidRPr="00444333" w:rsidRDefault="00282944" w:rsidP="00882431">
      <w:pPr>
        <w:jc w:val="both"/>
      </w:pPr>
    </w:p>
    <w:p w:rsidR="00882431" w:rsidRPr="000836B4" w:rsidRDefault="00882431" w:rsidP="003E7067">
      <w:pPr>
        <w:spacing w:after="0" w:line="240" w:lineRule="auto"/>
        <w:rPr>
          <w:b/>
        </w:rPr>
      </w:pPr>
      <w:r w:rsidRPr="000836B4">
        <w:rPr>
          <w:b/>
        </w:rPr>
        <w:t>Tabuľka</w:t>
      </w:r>
      <w:r w:rsidR="006230B7">
        <w:rPr>
          <w:b/>
        </w:rPr>
        <w:t xml:space="preserve"> </w:t>
      </w:r>
      <w:r w:rsidR="00282944">
        <w:rPr>
          <w:b/>
        </w:rPr>
        <w:t>2</w:t>
      </w:r>
      <w:r w:rsidRPr="000836B4">
        <w:rPr>
          <w:b/>
        </w:rPr>
        <w:t xml:space="preserve">: Počet </w:t>
      </w:r>
      <w:r w:rsidR="00F71C31">
        <w:rPr>
          <w:b/>
        </w:rPr>
        <w:t xml:space="preserve">riešených </w:t>
      </w:r>
      <w:r w:rsidRPr="000836B4">
        <w:rPr>
          <w:b/>
        </w:rPr>
        <w:t>podaní v</w:t>
      </w:r>
      <w:r w:rsidR="006230B7">
        <w:rPr>
          <w:b/>
        </w:rPr>
        <w:t> </w:t>
      </w:r>
      <w:r w:rsidRPr="000836B4">
        <w:rPr>
          <w:b/>
        </w:rPr>
        <w:t>rokoch</w:t>
      </w:r>
      <w:r w:rsidR="006230B7">
        <w:rPr>
          <w:b/>
        </w:rPr>
        <w:t xml:space="preserve"> 2012-2013</w:t>
      </w:r>
    </w:p>
    <w:tbl>
      <w:tblPr>
        <w:tblW w:w="8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980"/>
        <w:gridCol w:w="1242"/>
        <w:gridCol w:w="1001"/>
        <w:gridCol w:w="913"/>
        <w:gridCol w:w="1011"/>
        <w:gridCol w:w="905"/>
        <w:gridCol w:w="1047"/>
      </w:tblGrid>
      <w:tr w:rsidR="00882431" w:rsidRPr="00622E73" w:rsidTr="006E58BF">
        <w:trPr>
          <w:trHeight w:val="272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Rok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Počet podaní</w:t>
            </w:r>
          </w:p>
        </w:tc>
        <w:tc>
          <w:tcPr>
            <w:tcW w:w="6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3FE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1B15BA">
            <w:pPr>
              <w:jc w:val="center"/>
              <w:rPr>
                <w:b/>
              </w:rPr>
            </w:pPr>
            <w:r w:rsidRPr="00622E73">
              <w:rPr>
                <w:b/>
              </w:rPr>
              <w:t>Spôsob vybavenia jednotlivých podaní</w:t>
            </w:r>
          </w:p>
        </w:tc>
      </w:tr>
      <w:tr w:rsidR="00882431" w:rsidRPr="00622E73" w:rsidTr="006E58BF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vybavené OCKÚ OLAF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orgán auditu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ÚVO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NAKA/    GP SR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NKÚ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iný orgán štátnej správy</w:t>
            </w:r>
            <w:r w:rsidR="00E155F7">
              <w:rPr>
                <w:b/>
              </w:rPr>
              <w:t>*</w:t>
            </w:r>
          </w:p>
        </w:tc>
      </w:tr>
      <w:tr w:rsidR="00882431" w:rsidRPr="00622E73" w:rsidTr="006E58BF">
        <w:trPr>
          <w:trHeight w:val="334"/>
        </w:trPr>
        <w:tc>
          <w:tcPr>
            <w:tcW w:w="1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2012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28</w:t>
            </w:r>
          </w:p>
        </w:tc>
      </w:tr>
      <w:tr w:rsidR="00882431" w:rsidRPr="00622E73" w:rsidTr="006E58BF">
        <w:trPr>
          <w:trHeight w:val="334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2013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64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16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8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2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882431" w:rsidRPr="00622E73" w:rsidRDefault="00882431" w:rsidP="00AD1249">
            <w:pPr>
              <w:rPr>
                <w:b/>
              </w:rPr>
            </w:pPr>
            <w:r w:rsidRPr="00622E73">
              <w:rPr>
                <w:b/>
              </w:rPr>
              <w:t>30</w:t>
            </w:r>
          </w:p>
        </w:tc>
      </w:tr>
    </w:tbl>
    <w:p w:rsidR="00882431" w:rsidRPr="006E58BF" w:rsidRDefault="008B6618" w:rsidP="006E58BF">
      <w:pPr>
        <w:jc w:val="both"/>
      </w:pPr>
      <w:r>
        <w:rPr>
          <w:b/>
        </w:rPr>
        <w:t>*</w:t>
      </w:r>
      <w:r w:rsidRPr="006E58BF">
        <w:t>Napr. m</w:t>
      </w:r>
      <w:r w:rsidR="00E155F7" w:rsidRPr="006E58BF">
        <w:t>inisterstvá, riadiace orgány a sprostredkovateľské orgány pod riadiacimi orgánmi pre ŠF a KF, PPA, FR SR, ASFEÚ, ÚPSVR SR</w:t>
      </w:r>
      <w:r w:rsidR="001256F6" w:rsidRPr="006E58BF">
        <w:t>, NKÚ</w:t>
      </w:r>
      <w:r w:rsidR="006E58BF">
        <w:t>.</w:t>
      </w:r>
    </w:p>
    <w:p w:rsidR="00816B88" w:rsidRPr="00882431" w:rsidRDefault="00B223A6" w:rsidP="00882431">
      <w:pPr>
        <w:rPr>
          <w:b/>
        </w:rPr>
      </w:pPr>
      <w:r w:rsidRPr="00882431">
        <w:rPr>
          <w:b/>
        </w:rPr>
        <w:t xml:space="preserve">Trestné konania  </w:t>
      </w:r>
    </w:p>
    <w:p w:rsidR="00382BC4" w:rsidRPr="00382BC4" w:rsidRDefault="00382BC4" w:rsidP="00382BC4">
      <w:pPr>
        <w:jc w:val="both"/>
      </w:pPr>
      <w:r w:rsidRPr="00F10AD3">
        <w:t>OCKÚ OLAF vedie na základe spolupráce s G</w:t>
      </w:r>
      <w:r w:rsidR="002271DA">
        <w:t>P</w:t>
      </w:r>
      <w:r w:rsidRPr="00F10AD3">
        <w:t xml:space="preserve"> SR evidenciu trestných konaní, týkajúcich sa trestných činov v oblasti ochrany finančných záujmov EÚ v SR pre skutky kvalifikované ako trestné činy poškodzovania finančných záujmov Európskych spoločenstiev, podvodu, subvenčného podvodu, korupcie, machinácie pri verejnom obstarávaní a verejnej dražbe, zneužívania informácií v obchodnom styku, legalizácie príjmu z trestnej činnosti, založenia, zosnovania a podporovania zločineckej skupiny, zneužívania právomoci verejného činiteľa a  ďalších trestných činov, pokiaľ súvisia</w:t>
      </w:r>
      <w:r w:rsidRPr="00F10A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0AD3">
        <w:t>s ochranou finančných záujmov Európskej únie.</w:t>
      </w:r>
      <w:r w:rsidRPr="006658DE">
        <w:t xml:space="preserve"> </w:t>
      </w:r>
    </w:p>
    <w:p w:rsidR="008D7405" w:rsidRPr="009E406E" w:rsidRDefault="008D7405" w:rsidP="006230B7">
      <w:pPr>
        <w:spacing w:after="0"/>
        <w:jc w:val="both"/>
        <w:rPr>
          <w:b/>
        </w:rPr>
      </w:pPr>
      <w:r>
        <w:t xml:space="preserve">Podľa údajov z NAKA </w:t>
      </w:r>
      <w:r w:rsidRPr="009E406E">
        <w:t xml:space="preserve">bolo </w:t>
      </w:r>
      <w:r>
        <w:t>c</w:t>
      </w:r>
      <w:r w:rsidRPr="009E406E">
        <w:t xml:space="preserve">elkovo vo vyšetrovaní a skrátenom vyšetrovaní </w:t>
      </w:r>
      <w:r w:rsidRPr="009E406E">
        <w:rPr>
          <w:b/>
        </w:rPr>
        <w:t>obvinených</w:t>
      </w:r>
      <w:r w:rsidRPr="009E406E">
        <w:t xml:space="preserve"> </w:t>
      </w:r>
      <w:r w:rsidRPr="009E406E">
        <w:rPr>
          <w:b/>
        </w:rPr>
        <w:t>46 osôb pre trestný čin poškodzovania finančných záujmov Európskych spoločenstiev</w:t>
      </w:r>
      <w:r w:rsidRPr="009E406E">
        <w:rPr>
          <w:bCs/>
        </w:rPr>
        <w:t xml:space="preserve"> podľa </w:t>
      </w:r>
      <w:r w:rsidRPr="009E406E">
        <w:t xml:space="preserve">§ 261 ods. 1, 3  </w:t>
      </w:r>
      <w:r w:rsidRPr="009E406E">
        <w:rPr>
          <w:bCs/>
        </w:rPr>
        <w:t>Trestného zákona č. 300/2005 Z. z. v znení neskorších predpisov (ďalej len „Trestný zákon“).</w:t>
      </w:r>
      <w:r w:rsidRPr="009E406E">
        <w:rPr>
          <w:b/>
        </w:rPr>
        <w:t xml:space="preserve"> </w:t>
      </w:r>
    </w:p>
    <w:p w:rsidR="008D7405" w:rsidRPr="009E406E" w:rsidRDefault="008D7405" w:rsidP="006230B7">
      <w:pPr>
        <w:spacing w:after="0"/>
        <w:jc w:val="both"/>
      </w:pPr>
      <w:r w:rsidRPr="009E406E">
        <w:rPr>
          <w:b/>
        </w:rPr>
        <w:t>Celková výška dokumentovanej spôsobenej škody</w:t>
      </w:r>
      <w:r w:rsidRPr="009E406E">
        <w:t xml:space="preserve"> bola vyčíslená na sumu </w:t>
      </w:r>
      <w:r w:rsidRPr="00F10AD3">
        <w:rPr>
          <w:b/>
        </w:rPr>
        <w:t>9 372 268 EUR</w:t>
      </w:r>
      <w:r w:rsidRPr="00F10AD3">
        <w:t xml:space="preserve"> (o 5 409 410 EUR viac ako v roku 2012).</w:t>
      </w:r>
    </w:p>
    <w:p w:rsidR="008D7405" w:rsidRDefault="008D7405" w:rsidP="008D7405">
      <w:pPr>
        <w:jc w:val="both"/>
      </w:pPr>
      <w:r w:rsidRPr="009E406E">
        <w:t>Z hľadiska postavenia, funkcie, resp. pracovného zaradenia bolo obvinených</w:t>
      </w:r>
      <w:r>
        <w:t>:</w:t>
      </w:r>
    </w:p>
    <w:p w:rsidR="008D7405" w:rsidRPr="00A0344F" w:rsidRDefault="008D7405" w:rsidP="00484782">
      <w:pPr>
        <w:pStyle w:val="Odsekzoznamu"/>
        <w:numPr>
          <w:ilvl w:val="0"/>
          <w:numId w:val="26"/>
        </w:numPr>
        <w:tabs>
          <w:tab w:val="left" w:pos="709"/>
        </w:tabs>
        <w:jc w:val="both"/>
        <w:rPr>
          <w:bCs/>
        </w:rPr>
      </w:pPr>
      <w:r w:rsidRPr="009E406E">
        <w:t>23 samostatne zárobkovo činných osôb</w:t>
      </w:r>
    </w:p>
    <w:p w:rsidR="008D7405" w:rsidRPr="00A0344F" w:rsidRDefault="008D7405" w:rsidP="00484782">
      <w:pPr>
        <w:pStyle w:val="Odsekzoznamu"/>
        <w:numPr>
          <w:ilvl w:val="0"/>
          <w:numId w:val="26"/>
        </w:numPr>
        <w:tabs>
          <w:tab w:val="left" w:pos="709"/>
        </w:tabs>
        <w:jc w:val="both"/>
        <w:rPr>
          <w:bCs/>
        </w:rPr>
      </w:pPr>
      <w:r w:rsidRPr="009E406E">
        <w:t>15 predstavite</w:t>
      </w:r>
      <w:r>
        <w:t>ľov</w:t>
      </w:r>
      <w:r w:rsidRPr="009E406E">
        <w:t xml:space="preserve"> obchodných spoločností (konateľ, spoločník, člen orgánov)</w:t>
      </w:r>
    </w:p>
    <w:p w:rsidR="008D7405" w:rsidRPr="00A0344F" w:rsidRDefault="008D7405" w:rsidP="00484782">
      <w:pPr>
        <w:pStyle w:val="Odsekzoznamu"/>
        <w:numPr>
          <w:ilvl w:val="0"/>
          <w:numId w:val="26"/>
        </w:numPr>
        <w:tabs>
          <w:tab w:val="left" w:pos="709"/>
        </w:tabs>
        <w:jc w:val="both"/>
        <w:rPr>
          <w:bCs/>
        </w:rPr>
      </w:pPr>
      <w:r w:rsidRPr="009E406E">
        <w:t>5 splnomocnen</w:t>
      </w:r>
      <w:r>
        <w:t>ých</w:t>
      </w:r>
      <w:r w:rsidRPr="009E406E">
        <w:t xml:space="preserve"> zástupcov spoločností</w:t>
      </w:r>
    </w:p>
    <w:p w:rsidR="008D7405" w:rsidRPr="00A0344F" w:rsidRDefault="008D7405" w:rsidP="00484782">
      <w:pPr>
        <w:pStyle w:val="Odsekzoznamu"/>
        <w:numPr>
          <w:ilvl w:val="0"/>
          <w:numId w:val="26"/>
        </w:numPr>
        <w:tabs>
          <w:tab w:val="left" w:pos="709"/>
        </w:tabs>
        <w:jc w:val="both"/>
        <w:rPr>
          <w:bCs/>
        </w:rPr>
      </w:pPr>
      <w:r w:rsidRPr="009E406E">
        <w:t xml:space="preserve">2 starostovia obce </w:t>
      </w:r>
    </w:p>
    <w:p w:rsidR="008D7405" w:rsidRPr="00A0344F" w:rsidRDefault="008D7405" w:rsidP="00484782">
      <w:pPr>
        <w:pStyle w:val="Odsekzoznamu"/>
        <w:numPr>
          <w:ilvl w:val="0"/>
          <w:numId w:val="26"/>
        </w:numPr>
        <w:tabs>
          <w:tab w:val="left" w:pos="709"/>
        </w:tabs>
        <w:jc w:val="both"/>
        <w:rPr>
          <w:bCs/>
        </w:rPr>
      </w:pPr>
      <w:r w:rsidRPr="009E406E">
        <w:t>1 fyzická osoba</w:t>
      </w:r>
      <w:r>
        <w:t>.</w:t>
      </w:r>
    </w:p>
    <w:p w:rsidR="008D7405" w:rsidRPr="009E406E" w:rsidRDefault="008D7405" w:rsidP="008D7405">
      <w:pPr>
        <w:jc w:val="both"/>
      </w:pPr>
      <w:r w:rsidRPr="009E406E">
        <w:t>Protiprávnosť konania páchateľov spočívala hlavne v predkladaní nepravdivých dokladov a taktiež v následnom použití finančných prostriedkov zo všeobecného rozpočtu EÚ na iný účel, ako boli pôvodne určené. Predovšetkým išlo o finančné prostriedky poskytnuté z</w:t>
      </w:r>
      <w:r>
        <w:t> </w:t>
      </w:r>
      <w:r w:rsidRPr="009E406E">
        <w:t>E</w:t>
      </w:r>
      <w:r>
        <w:t>SF, EFRR, EPFRV SR.</w:t>
      </w:r>
    </w:p>
    <w:p w:rsidR="008D7405" w:rsidRDefault="008D7405" w:rsidP="008D7405">
      <w:pPr>
        <w:jc w:val="both"/>
      </w:pPr>
      <w:r w:rsidRPr="009E406E">
        <w:t xml:space="preserve">Trestný čin poškodzovania finančných záujmov Európskych spoločenstiev je spravidla spáchaný v súbehu s iným trestným činom, najčastejšie subvenčným podvodom, pretože finančné prostriedky sú poskytované v percentuálnom pomere zo zdrojov EÚ a štátneho rozpočtu SR, ktorých poskytnutie alebo </w:t>
      </w:r>
      <w:r w:rsidRPr="009E406E">
        <w:lastRenderedPageBreak/>
        <w:t xml:space="preserve">použitie je viazané na podmienky stanovené všeobecne záväzným právnym predpisom, ktoré nespĺňajú, alebo tým, že ho uvedú do omylu v otázke splnenia týchto podmienok. </w:t>
      </w:r>
    </w:p>
    <w:p w:rsidR="00D058B5" w:rsidRDefault="005851F0" w:rsidP="00534726">
      <w:pPr>
        <w:spacing w:after="0" w:line="240" w:lineRule="auto"/>
        <w:jc w:val="both"/>
      </w:pPr>
      <w:r w:rsidRPr="006230B7">
        <w:rPr>
          <w:rFonts w:eastAsia="Times New Roman" w:cstheme="minorHAnsi"/>
          <w:b/>
          <w:lang w:eastAsia="cs-CZ"/>
        </w:rPr>
        <w:t>Tab</w:t>
      </w:r>
      <w:r w:rsidR="006230B7" w:rsidRPr="006230B7">
        <w:rPr>
          <w:rFonts w:eastAsia="Times New Roman" w:cstheme="minorHAnsi"/>
          <w:b/>
          <w:lang w:eastAsia="cs-CZ"/>
        </w:rPr>
        <w:t xml:space="preserve">uľka </w:t>
      </w:r>
      <w:r w:rsidR="00282944">
        <w:rPr>
          <w:rFonts w:eastAsia="Times New Roman" w:cstheme="minorHAnsi"/>
          <w:b/>
          <w:lang w:eastAsia="cs-CZ"/>
        </w:rPr>
        <w:t>3</w:t>
      </w:r>
      <w:r w:rsidR="006230B7">
        <w:rPr>
          <w:rFonts w:eastAsia="Times New Roman" w:cstheme="minorHAnsi"/>
          <w:b/>
          <w:lang w:eastAsia="cs-CZ"/>
        </w:rPr>
        <w:t xml:space="preserve"> </w:t>
      </w:r>
      <w:r w:rsidRPr="006230B7">
        <w:rPr>
          <w:rFonts w:eastAsia="Times New Roman" w:cstheme="minorHAnsi"/>
          <w:b/>
          <w:lang w:eastAsia="cs-CZ"/>
        </w:rPr>
        <w:t>:</w:t>
      </w:r>
      <w:r w:rsidRPr="00382BC4">
        <w:rPr>
          <w:rFonts w:eastAsia="Times New Roman" w:cstheme="minorHAnsi"/>
          <w:b/>
          <w:lang w:eastAsia="cs-CZ"/>
        </w:rPr>
        <w:t xml:space="preserve"> Porovnanie stavu trestných konaní v súvislosti s poškodzovaním finančných záujmov EÚ v rokoch 201</w:t>
      </w:r>
      <w:r w:rsidR="00A0344F">
        <w:rPr>
          <w:rFonts w:eastAsia="Times New Roman" w:cstheme="minorHAnsi"/>
          <w:b/>
          <w:lang w:eastAsia="cs-CZ"/>
        </w:rPr>
        <w:t>2</w:t>
      </w:r>
      <w:r w:rsidR="00DA23A4">
        <w:rPr>
          <w:rFonts w:eastAsia="Times New Roman" w:cstheme="minorHAnsi"/>
          <w:b/>
          <w:lang w:eastAsia="cs-CZ"/>
        </w:rPr>
        <w:t>-2013</w:t>
      </w:r>
    </w:p>
    <w:tbl>
      <w:tblPr>
        <w:tblW w:w="80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6"/>
        <w:gridCol w:w="1417"/>
        <w:gridCol w:w="1417"/>
      </w:tblGrid>
      <w:tr w:rsidR="00D058B5" w:rsidRPr="00382BC4" w:rsidTr="00D058B5">
        <w:trPr>
          <w:trHeight w:val="209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F675C9" w:rsidRPr="00382BC4" w:rsidRDefault="00F675C9" w:rsidP="00534726">
            <w:pPr>
              <w:spacing w:after="0"/>
              <w:jc w:val="center"/>
              <w:rPr>
                <w:b/>
              </w:rPr>
            </w:pPr>
            <w:r w:rsidRPr="00382BC4">
              <w:rPr>
                <w:b/>
              </w:rPr>
              <w:t>Trestné konania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F675C9" w:rsidRPr="00382BC4" w:rsidRDefault="00F675C9" w:rsidP="00534726">
            <w:pPr>
              <w:spacing w:after="0"/>
              <w:jc w:val="center"/>
              <w:rPr>
                <w:b/>
              </w:rPr>
            </w:pPr>
            <w:r w:rsidRPr="00382BC4">
              <w:rPr>
                <w:b/>
              </w:rPr>
              <w:t>2012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</w:tcPr>
          <w:p w:rsidR="00F675C9" w:rsidRPr="00382BC4" w:rsidRDefault="00F675C9" w:rsidP="00534726">
            <w:pPr>
              <w:spacing w:after="0"/>
              <w:jc w:val="center"/>
              <w:rPr>
                <w:b/>
              </w:rPr>
            </w:pPr>
            <w:r w:rsidRPr="00382BC4">
              <w:rPr>
                <w:b/>
              </w:rPr>
              <w:t>2013</w:t>
            </w:r>
          </w:p>
        </w:tc>
      </w:tr>
      <w:tr w:rsidR="00D058B5" w:rsidRPr="00382BC4" w:rsidTr="00B223A6">
        <w:trPr>
          <w:trHeight w:val="197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5C9" w:rsidRPr="00382BC4" w:rsidRDefault="00F675C9" w:rsidP="00534726">
            <w:pPr>
              <w:spacing w:after="0"/>
            </w:pPr>
            <w:r w:rsidRPr="00382BC4">
              <w:t>vydané uznesenia o začatí trestného stíhania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534726">
            <w:pPr>
              <w:spacing w:after="0"/>
              <w:jc w:val="center"/>
            </w:pPr>
            <w:r w:rsidRPr="00382BC4"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534726">
            <w:pPr>
              <w:spacing w:after="0"/>
              <w:jc w:val="center"/>
            </w:pPr>
            <w:r w:rsidRPr="00382BC4">
              <w:t>64</w:t>
            </w:r>
          </w:p>
        </w:tc>
      </w:tr>
      <w:tr w:rsidR="00D058B5" w:rsidRPr="00382BC4" w:rsidTr="00B223A6">
        <w:trPr>
          <w:trHeight w:val="39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5C9" w:rsidRPr="00382BC4" w:rsidRDefault="00F675C9" w:rsidP="00534726">
            <w:pPr>
              <w:spacing w:after="0"/>
            </w:pPr>
            <w:r w:rsidRPr="00382BC4">
              <w:t>vydané uznesenia o vznesení obvinenia (počet skutkov)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534726">
            <w:pPr>
              <w:spacing w:after="0"/>
              <w:jc w:val="center"/>
            </w:pPr>
            <w:r w:rsidRPr="00382BC4"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534726">
            <w:pPr>
              <w:spacing w:after="0"/>
              <w:jc w:val="center"/>
            </w:pPr>
            <w:r w:rsidRPr="00382BC4">
              <w:t>33</w:t>
            </w:r>
          </w:p>
        </w:tc>
      </w:tr>
      <w:tr w:rsidR="00D058B5" w:rsidRPr="00382BC4" w:rsidTr="00B223A6">
        <w:trPr>
          <w:trHeight w:val="197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5C9" w:rsidRPr="00382BC4" w:rsidRDefault="00F675C9" w:rsidP="00D058B5">
            <w:r w:rsidRPr="00382BC4">
              <w:t>počet obvinených osôb za trestné činy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B223A6">
            <w:pPr>
              <w:jc w:val="center"/>
            </w:pPr>
            <w:r w:rsidRPr="00382BC4"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B223A6">
            <w:pPr>
              <w:jc w:val="center"/>
            </w:pPr>
            <w:r w:rsidRPr="00382BC4">
              <w:t>46</w:t>
            </w:r>
          </w:p>
        </w:tc>
      </w:tr>
      <w:tr w:rsidR="00D058B5" w:rsidRPr="00382BC4" w:rsidTr="00B223A6">
        <w:trPr>
          <w:trHeight w:val="308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5C9" w:rsidRPr="00382BC4" w:rsidRDefault="00F675C9" w:rsidP="00D058B5">
            <w:r w:rsidRPr="00382BC4">
              <w:t>zastavené trestné stíhania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B223A6">
            <w:pPr>
              <w:jc w:val="center"/>
            </w:pPr>
            <w:r w:rsidRPr="00382BC4"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B223A6">
            <w:pPr>
              <w:jc w:val="center"/>
            </w:pPr>
            <w:r w:rsidRPr="00382BC4">
              <w:t>22</w:t>
            </w:r>
          </w:p>
        </w:tc>
      </w:tr>
      <w:tr w:rsidR="00D058B5" w:rsidRPr="00382BC4" w:rsidTr="00B223A6">
        <w:trPr>
          <w:trHeight w:val="209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75C9" w:rsidRPr="00382BC4" w:rsidRDefault="00F675C9" w:rsidP="00D058B5">
            <w:r w:rsidRPr="00382BC4">
              <w:t>Počet prípadov ukončených odsúdením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B223A6">
            <w:pPr>
              <w:jc w:val="center"/>
            </w:pPr>
            <w:r w:rsidRPr="00382BC4">
              <w:t>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5C9" w:rsidRPr="00382BC4" w:rsidRDefault="00F675C9" w:rsidP="00B223A6">
            <w:pPr>
              <w:jc w:val="center"/>
            </w:pPr>
            <w:r w:rsidRPr="00382BC4">
              <w:t>32</w:t>
            </w:r>
          </w:p>
        </w:tc>
      </w:tr>
    </w:tbl>
    <w:p w:rsidR="00816B88" w:rsidRPr="009E406E" w:rsidRDefault="00816B88" w:rsidP="009E406E">
      <w:pPr>
        <w:jc w:val="both"/>
      </w:pPr>
    </w:p>
    <w:p w:rsidR="00990C39" w:rsidRDefault="00652FC8" w:rsidP="00C93D05">
      <w:pPr>
        <w:pStyle w:val="Nadpis2"/>
        <w:spacing w:before="0"/>
      </w:pPr>
      <w:bookmarkStart w:id="14" w:name="_Toc384972205"/>
      <w:r w:rsidRPr="00882431">
        <w:t>4.</w:t>
      </w:r>
      <w:r w:rsidR="00FF1A51" w:rsidRPr="00882431">
        <w:t>2 O</w:t>
      </w:r>
      <w:r w:rsidRPr="00882431">
        <w:t>statn</w:t>
      </w:r>
      <w:r w:rsidR="00FF1A51" w:rsidRPr="00882431">
        <w:t>í</w:t>
      </w:r>
      <w:r w:rsidRPr="00882431">
        <w:t xml:space="preserve"> sieťov</w:t>
      </w:r>
      <w:r w:rsidR="00FF1A51" w:rsidRPr="00882431">
        <w:t>í</w:t>
      </w:r>
      <w:r w:rsidRPr="00882431">
        <w:t xml:space="preserve"> partner</w:t>
      </w:r>
      <w:r w:rsidR="00FF1A51" w:rsidRPr="00882431">
        <w:t>i</w:t>
      </w:r>
      <w:bookmarkEnd w:id="14"/>
      <w:r w:rsidRPr="00882431">
        <w:t> </w:t>
      </w:r>
    </w:p>
    <w:p w:rsidR="00882431" w:rsidRPr="00882431" w:rsidRDefault="00882431" w:rsidP="00C93D05">
      <w:pPr>
        <w:spacing w:after="0"/>
      </w:pPr>
    </w:p>
    <w:p w:rsidR="001A7F0A" w:rsidRDefault="00281EA8" w:rsidP="00C93D05">
      <w:pPr>
        <w:spacing w:after="0"/>
        <w:jc w:val="both"/>
      </w:pPr>
      <w:r>
        <w:rPr>
          <w:b/>
        </w:rPr>
        <w:t>NAKA P</w:t>
      </w:r>
      <w:r w:rsidR="001A7F0A" w:rsidRPr="001A7F0A">
        <w:rPr>
          <w:b/>
        </w:rPr>
        <w:t>PZ</w:t>
      </w:r>
      <w:r w:rsidR="0031735A">
        <w:rPr>
          <w:b/>
        </w:rPr>
        <w:t xml:space="preserve"> </w:t>
      </w:r>
      <w:r w:rsidR="001A7F0A" w:rsidRPr="001A7F0A">
        <w:t>s vecnou príslušnosťou pre trestné činy poškodzovania finančných záujmov ES podľa § 261 až 263 Trestného zákona, v spolupráci s OCKÚ OLAF, ako orgánom zabezpečujúcim ochranu finančných záujmov Európskej únie v</w:t>
      </w:r>
      <w:r w:rsidR="002271DA">
        <w:t> </w:t>
      </w:r>
      <w:r w:rsidR="001A7F0A" w:rsidRPr="001A7F0A">
        <w:t>SR</w:t>
      </w:r>
      <w:r w:rsidR="002271DA">
        <w:t xml:space="preserve"> v zmysle zákona č. 528/2008 Z. z. o pomoci a podpore poskytovanej z fondov Európskeho spoločenstva v znení neskorších predpisov</w:t>
      </w:r>
      <w:r w:rsidR="001A7F0A" w:rsidRPr="001A7F0A">
        <w:t xml:space="preserve">, zriadila </w:t>
      </w:r>
      <w:r w:rsidR="001A7F0A">
        <w:t xml:space="preserve">v roku 2011 </w:t>
      </w:r>
      <w:r w:rsidR="001A7F0A" w:rsidRPr="001A7F0A">
        <w:t xml:space="preserve">e-mailovú schránku </w:t>
      </w:r>
      <w:proofErr w:type="spellStart"/>
      <w:r w:rsidR="001A7F0A" w:rsidRPr="001A7F0A">
        <w:rPr>
          <w:b/>
        </w:rPr>
        <w:t>infoirq@minv.sk</w:t>
      </w:r>
      <w:proofErr w:type="spellEnd"/>
      <w:r w:rsidR="001A7F0A" w:rsidRPr="001A7F0A">
        <w:t xml:space="preserve"> na účely oznamovania podozrení z trestných činov, ktoré majú dopad na finančné záujmy EÚ. Uvedená e-mailová schránka slúži zamestnancom verejnej správy na zasielanie podnetov, ktorých obsahom je podozrenie z možného protizákonného konania subjektov v oblasti implementácie finančných prostriedkov EÚ s dopadom na finančné prostriedky Európskej únie a štátneho rozpočtu.</w:t>
      </w:r>
    </w:p>
    <w:p w:rsidR="00C93D05" w:rsidRDefault="00C93D05" w:rsidP="00C93D05">
      <w:pPr>
        <w:spacing w:after="0"/>
        <w:jc w:val="both"/>
      </w:pPr>
    </w:p>
    <w:p w:rsidR="006230B7" w:rsidRPr="00534726" w:rsidRDefault="006230B7" w:rsidP="00534726">
      <w:pPr>
        <w:spacing w:after="0"/>
        <w:jc w:val="both"/>
        <w:rPr>
          <w:b/>
        </w:rPr>
      </w:pPr>
      <w:r w:rsidRPr="00534726">
        <w:rPr>
          <w:b/>
        </w:rPr>
        <w:t xml:space="preserve">Tabuľka </w:t>
      </w:r>
      <w:r w:rsidR="00282944">
        <w:rPr>
          <w:b/>
        </w:rPr>
        <w:t>4</w:t>
      </w:r>
      <w:r w:rsidRPr="00534726">
        <w:rPr>
          <w:b/>
        </w:rPr>
        <w:t xml:space="preserve"> : </w:t>
      </w:r>
      <w:r w:rsidR="00534726" w:rsidRPr="00534726">
        <w:rPr>
          <w:b/>
        </w:rPr>
        <w:t>Prehľad nahlásených podnetov NAKA</w:t>
      </w:r>
    </w:p>
    <w:tbl>
      <w:tblPr>
        <w:tblW w:w="910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9"/>
        <w:gridCol w:w="3680"/>
        <w:gridCol w:w="1418"/>
        <w:gridCol w:w="1418"/>
        <w:gridCol w:w="1418"/>
      </w:tblGrid>
      <w:tr w:rsidR="001A7F0A" w:rsidRPr="001A7F0A" w:rsidTr="00B223A6">
        <w:trPr>
          <w:trHeight w:val="397"/>
        </w:trPr>
        <w:tc>
          <w:tcPr>
            <w:tcW w:w="4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3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534726">
            <w:pPr>
              <w:spacing w:after="0"/>
            </w:pPr>
            <w:r w:rsidRPr="001A7F0A">
              <w:rPr>
                <w:b/>
                <w:bCs/>
              </w:rPr>
              <w:t>Kalendárny rok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3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534726">
            <w:pPr>
              <w:spacing w:after="0"/>
              <w:jc w:val="center"/>
            </w:pPr>
            <w:r w:rsidRPr="001A7F0A">
              <w:rPr>
                <w:b/>
                <w:bCs/>
              </w:rPr>
              <w:t>2011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3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534726">
            <w:pPr>
              <w:spacing w:after="0"/>
              <w:jc w:val="center"/>
            </w:pPr>
            <w:r w:rsidRPr="001A7F0A">
              <w:rPr>
                <w:b/>
                <w:bCs/>
              </w:rPr>
              <w:t>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D3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534726">
            <w:pPr>
              <w:spacing w:after="0"/>
              <w:jc w:val="center"/>
            </w:pPr>
            <w:r w:rsidRPr="001A7F0A">
              <w:rPr>
                <w:b/>
                <w:bCs/>
              </w:rPr>
              <w:t>2013</w:t>
            </w:r>
          </w:p>
        </w:tc>
      </w:tr>
      <w:tr w:rsidR="001A7F0A" w:rsidRPr="001A7F0A" w:rsidTr="00B223A6">
        <w:trPr>
          <w:trHeight w:val="488"/>
        </w:trPr>
        <w:tc>
          <w:tcPr>
            <w:tcW w:w="4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D058B5">
            <w:r w:rsidRPr="001A7F0A">
              <w:rPr>
                <w:b/>
                <w:bCs/>
              </w:rPr>
              <w:t>Počet nahlásených prípadov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26</w:t>
            </w:r>
          </w:p>
        </w:tc>
      </w:tr>
      <w:tr w:rsidR="001A7F0A" w:rsidRPr="001A7F0A" w:rsidTr="00B223A6">
        <w:trPr>
          <w:trHeight w:val="482"/>
        </w:trPr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1A7F0A">
            <w:r w:rsidRPr="001A7F0A">
              <w:rPr>
                <w:b/>
                <w:bCs/>
              </w:rPr>
              <w:t>z toho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1A7F0A">
            <w:r w:rsidRPr="001A7F0A">
              <w:t xml:space="preserve">  Neopodstatnené informácie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22</w:t>
            </w:r>
          </w:p>
        </w:tc>
      </w:tr>
      <w:tr w:rsidR="001A7F0A" w:rsidRPr="001A7F0A" w:rsidTr="00B223A6">
        <w:trPr>
          <w:trHeight w:val="490"/>
        </w:trPr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F0A" w:rsidRPr="001A7F0A" w:rsidRDefault="001A7F0A" w:rsidP="001A7F0A"/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1A7F0A">
            <w:r w:rsidRPr="001A7F0A">
              <w:t xml:space="preserve">  Opodstatnené informácie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2271DA" w:rsidP="00B223A6">
            <w:pPr>
              <w:jc w:val="center"/>
            </w:pPr>
            <w:r>
              <w:t>4</w:t>
            </w:r>
          </w:p>
        </w:tc>
      </w:tr>
      <w:tr w:rsidR="001A7F0A" w:rsidRPr="001A7F0A" w:rsidTr="00B223A6">
        <w:trPr>
          <w:trHeight w:val="384"/>
        </w:trPr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F0A" w:rsidRPr="001A7F0A" w:rsidRDefault="001A7F0A" w:rsidP="001A7F0A"/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1A7F0A">
            <w:r w:rsidRPr="001A7F0A">
              <w:t xml:space="preserve">  Začaté trestné stíhanie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04522" w:rsidRPr="001A7F0A" w:rsidRDefault="001A7F0A" w:rsidP="00B223A6">
            <w:pPr>
              <w:jc w:val="center"/>
            </w:pPr>
            <w:r w:rsidRPr="001A7F0A">
              <w:t>1</w:t>
            </w:r>
          </w:p>
        </w:tc>
      </w:tr>
    </w:tbl>
    <w:p w:rsidR="00DC07F1" w:rsidRDefault="00DC07F1" w:rsidP="00DC07F1"/>
    <w:p w:rsidR="00DC07F1" w:rsidRDefault="00DC07F1" w:rsidP="00A268E1">
      <w:pPr>
        <w:jc w:val="both"/>
      </w:pPr>
      <w:r w:rsidRPr="00F443E0">
        <w:rPr>
          <w:b/>
        </w:rPr>
        <w:t xml:space="preserve">ÚVO </w:t>
      </w:r>
      <w:r w:rsidRPr="00F443E0">
        <w:t>zriadilo a zverejnilo</w:t>
      </w:r>
      <w:r w:rsidRPr="00F443E0">
        <w:rPr>
          <w:b/>
        </w:rPr>
        <w:t xml:space="preserve"> </w:t>
      </w:r>
      <w:r w:rsidRPr="00F443E0">
        <w:t>na svojej webovej stránke samostatnú emailovú adresu pre nahlasovanie podozrení z nezrovnalostí pri verejnom obstarávaní</w:t>
      </w:r>
      <w:r w:rsidRPr="00F443E0">
        <w:rPr>
          <w:b/>
        </w:rPr>
        <w:t xml:space="preserve"> </w:t>
      </w:r>
      <w:proofErr w:type="spellStart"/>
      <w:r w:rsidRPr="00F443E0">
        <w:rPr>
          <w:b/>
        </w:rPr>
        <w:t>nezrovnalosti@uvo.gov.sk</w:t>
      </w:r>
      <w:proofErr w:type="spellEnd"/>
      <w:r w:rsidRPr="00F443E0">
        <w:t xml:space="preserve">. </w:t>
      </w:r>
      <w:r w:rsidR="00A268E1" w:rsidRPr="00F443E0">
        <w:t xml:space="preserve"> Na uvedenú emailovú adresu bolo nahlásených v roku 2013 celkovo 13 podnetov, z toho ani jeden sa netýkal verejného obstarávania vo vzťahu k finančným prostriedkom EÚ.</w:t>
      </w:r>
    </w:p>
    <w:p w:rsidR="006E58BF" w:rsidRPr="00F443E0" w:rsidRDefault="006E58BF" w:rsidP="00A268E1">
      <w:pPr>
        <w:jc w:val="both"/>
      </w:pPr>
    </w:p>
    <w:p w:rsidR="00D53F97" w:rsidRPr="00534726" w:rsidRDefault="00FF1A51" w:rsidP="00DE058A">
      <w:pPr>
        <w:pStyle w:val="Nadpis1"/>
        <w:numPr>
          <w:ilvl w:val="0"/>
          <w:numId w:val="35"/>
        </w:numPr>
      </w:pPr>
      <w:bookmarkStart w:id="15" w:name="_Toc384972206"/>
      <w:r w:rsidRPr="00534726">
        <w:lastRenderedPageBreak/>
        <w:t>Príklady dobrej praxe sieťových partnerov</w:t>
      </w:r>
      <w:bookmarkEnd w:id="15"/>
    </w:p>
    <w:p w:rsidR="00882431" w:rsidRPr="00534726" w:rsidRDefault="00882431" w:rsidP="00534726">
      <w:pPr>
        <w:pStyle w:val="Odsekzoznamu"/>
        <w:spacing w:after="0"/>
        <w:ind w:left="9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D53F97" w:rsidRPr="00A0344F" w:rsidRDefault="00D53F97" w:rsidP="00534726">
      <w:pPr>
        <w:spacing w:after="0"/>
        <w:jc w:val="both"/>
        <w:rPr>
          <w:bCs/>
        </w:rPr>
      </w:pPr>
      <w:r w:rsidRPr="00A0344F">
        <w:t>V</w:t>
      </w:r>
      <w:r>
        <w:t xml:space="preserve"> uvedenom období </w:t>
      </w:r>
      <w:r w:rsidRPr="00A0344F">
        <w:t xml:space="preserve">boli </w:t>
      </w:r>
      <w:r w:rsidRPr="00A0344F">
        <w:rPr>
          <w:b/>
        </w:rPr>
        <w:t>NAKA PPZ</w:t>
      </w:r>
      <w:r w:rsidRPr="00A0344F">
        <w:t xml:space="preserve"> v súvislosti s poškodzovaním finančných záujmov EÚ v SR, riešené nasledujúce </w:t>
      </w:r>
      <w:r w:rsidRPr="00A0344F">
        <w:rPr>
          <w:b/>
          <w:bCs/>
        </w:rPr>
        <w:t>najzávažnejšie</w:t>
      </w:r>
      <w:r w:rsidRPr="00A0344F">
        <w:t xml:space="preserve"> </w:t>
      </w:r>
      <w:r w:rsidRPr="00A0344F">
        <w:rPr>
          <w:b/>
        </w:rPr>
        <w:t>prípady</w:t>
      </w:r>
      <w:r w:rsidRPr="00A0344F">
        <w:t xml:space="preserve">, ktoré sa týkali </w:t>
      </w:r>
      <w:r>
        <w:t>najmä finančných prostriedkov EÚ v rámci fondu ESF (</w:t>
      </w:r>
      <w:r w:rsidRPr="00A0344F">
        <w:t xml:space="preserve">OP </w:t>
      </w:r>
      <w:proofErr w:type="spellStart"/>
      <w:r>
        <w:t>ZaSI</w:t>
      </w:r>
      <w:proofErr w:type="spellEnd"/>
      <w:r>
        <w:t>)</w:t>
      </w:r>
      <w:r w:rsidRPr="00A0344F">
        <w:t xml:space="preserve">, </w:t>
      </w:r>
      <w:r>
        <w:t>EFRR SR (</w:t>
      </w:r>
      <w:r w:rsidRPr="00A0344F">
        <w:t>ROP</w:t>
      </w:r>
      <w:r>
        <w:t>)</w:t>
      </w:r>
      <w:r w:rsidRPr="00A0344F">
        <w:t xml:space="preserve"> a v 2 prípadoch išlo </w:t>
      </w:r>
      <w:r w:rsidRPr="00721A0D">
        <w:t>o</w:t>
      </w:r>
      <w:r>
        <w:t> štátnu pomoc (</w:t>
      </w:r>
      <w:r w:rsidRPr="00721A0D">
        <w:t>schém</w:t>
      </w:r>
      <w:r>
        <w:t>a</w:t>
      </w:r>
      <w:r w:rsidRPr="00721A0D">
        <w:t xml:space="preserve"> </w:t>
      </w:r>
      <w:proofErr w:type="spellStart"/>
      <w:r w:rsidRPr="00721A0D">
        <w:t>de</w:t>
      </w:r>
      <w:proofErr w:type="spellEnd"/>
      <w:r w:rsidRPr="00721A0D">
        <w:t xml:space="preserve"> </w:t>
      </w:r>
      <w:proofErr w:type="spellStart"/>
      <w:r w:rsidRPr="00721A0D">
        <w:t>minimis</w:t>
      </w:r>
      <w:proofErr w:type="spellEnd"/>
      <w:r w:rsidRPr="00721A0D">
        <w:t xml:space="preserve"> na podporu zamestnanosti DM1-1/2007</w:t>
      </w:r>
      <w:r>
        <w:t>)</w:t>
      </w:r>
      <w:r w:rsidRPr="00721A0D">
        <w:t>.</w:t>
      </w:r>
      <w:r w:rsidRPr="00A0344F">
        <w:t xml:space="preserve"> </w:t>
      </w:r>
    </w:p>
    <w:p w:rsidR="00D53F97" w:rsidRPr="00A2245F" w:rsidRDefault="00D53F97" w:rsidP="00F71C31">
      <w:pPr>
        <w:numPr>
          <w:ilvl w:val="0"/>
          <w:numId w:val="31"/>
        </w:numPr>
        <w:spacing w:after="0"/>
        <w:ind w:left="714" w:hanging="357"/>
        <w:jc w:val="both"/>
        <w:rPr>
          <w:bCs/>
        </w:rPr>
      </w:pPr>
      <w:r w:rsidRPr="00A2245F">
        <w:t xml:space="preserve">Vyšetrovateľom bolo vznesené obvinenie voči osobe za </w:t>
      </w:r>
      <w:r w:rsidRPr="00A2245F">
        <w:rPr>
          <w:b/>
        </w:rPr>
        <w:t>zločin</w:t>
      </w:r>
      <w:r w:rsidRPr="00A2245F">
        <w:rPr>
          <w:b/>
          <w:bCs/>
        </w:rPr>
        <w:t xml:space="preserve"> subvenčného podvodu</w:t>
      </w:r>
      <w:r w:rsidRPr="00A2245F">
        <w:rPr>
          <w:bCs/>
        </w:rPr>
        <w:t xml:space="preserve"> podľa §</w:t>
      </w:r>
      <w:r w:rsidRPr="00A0344F">
        <w:rPr>
          <w:bCs/>
        </w:rPr>
        <w:t xml:space="preserve"> 225 ods. 1, ods. 4 písm. a)  Trestného zákona </w:t>
      </w:r>
      <w:r w:rsidRPr="00A0344F">
        <w:rPr>
          <w:b/>
          <w:bCs/>
        </w:rPr>
        <w:t>v jednočinnom súbehu s prečinom poškodzovania finančných záujmov Európskych spoločenstiev</w:t>
      </w:r>
      <w:r w:rsidRPr="00A0344F">
        <w:rPr>
          <w:bCs/>
        </w:rPr>
        <w:t xml:space="preserve"> podľa § 261 ods. 1, ods. 3  Trestného zákona, keď ako </w:t>
      </w:r>
      <w:r w:rsidRPr="00A0344F">
        <w:rPr>
          <w:b/>
          <w:bCs/>
        </w:rPr>
        <w:t xml:space="preserve">štatutárny </w:t>
      </w:r>
      <w:r w:rsidR="003E62A3">
        <w:rPr>
          <w:b/>
          <w:bCs/>
        </w:rPr>
        <w:t>orgán</w:t>
      </w:r>
      <w:r w:rsidRPr="00A0344F">
        <w:rPr>
          <w:bCs/>
        </w:rPr>
        <w:t xml:space="preserve"> nemenovaného </w:t>
      </w:r>
      <w:r w:rsidRPr="00A0344F">
        <w:rPr>
          <w:b/>
          <w:bCs/>
        </w:rPr>
        <w:t>občianskeho združenia,</w:t>
      </w:r>
      <w:r w:rsidRPr="00A0344F">
        <w:rPr>
          <w:bCs/>
        </w:rPr>
        <w:t xml:space="preserve"> na Fonde sociálneho rozvoja zriadeného na </w:t>
      </w:r>
      <w:proofErr w:type="spellStart"/>
      <w:r w:rsidRPr="00A0344F">
        <w:rPr>
          <w:bCs/>
        </w:rPr>
        <w:t>MPSVaR</w:t>
      </w:r>
      <w:proofErr w:type="spellEnd"/>
      <w:r w:rsidRPr="00A0344F">
        <w:rPr>
          <w:bCs/>
        </w:rPr>
        <w:t xml:space="preserve"> SR, v úmysle neoprávnene získať finančné prostriedky z Európskeho sociálneho fondu a zo štátneho rozpočtu SR, v rámci </w:t>
      </w:r>
      <w:r>
        <w:rPr>
          <w:bCs/>
        </w:rPr>
        <w:t xml:space="preserve">nemenovaného </w:t>
      </w:r>
      <w:r w:rsidRPr="00A0344F">
        <w:rPr>
          <w:bCs/>
        </w:rPr>
        <w:t>projektu, predložil dodávku tovaru, ktorý preukázateľne nebol dodaný, čím takto spôsobil škodu v rozsahu neoprávnene uplatnených výdavkov za nedodaný tovar v celkovej výške 35 771,30 EUR</w:t>
      </w:r>
      <w:r w:rsidRPr="00A0344F">
        <w:rPr>
          <w:b/>
          <w:bCs/>
        </w:rPr>
        <w:t xml:space="preserve">,  z ktorých prostriedky </w:t>
      </w:r>
      <w:r w:rsidR="0031735A">
        <w:rPr>
          <w:b/>
          <w:bCs/>
        </w:rPr>
        <w:t>ESF</w:t>
      </w:r>
      <w:r w:rsidRPr="00A0344F">
        <w:rPr>
          <w:b/>
          <w:bCs/>
        </w:rPr>
        <w:t xml:space="preserve"> predstavujú sumu 30 405,60 EUR</w:t>
      </w:r>
      <w:r w:rsidRPr="00A0344F">
        <w:rPr>
          <w:bCs/>
        </w:rPr>
        <w:t xml:space="preserve"> (85 % z  poskytnutých prostriedkov) a zdroje štátneho rozpočtu Slovenskej republiky predstavujú sumu 5 365,70 EUR (15 % z  poskytnutých prostriedkov</w:t>
      </w:r>
      <w:r w:rsidRPr="00721A0D">
        <w:rPr>
          <w:bCs/>
        </w:rPr>
        <w:t xml:space="preserve">). Projekt bol mimoriadne ukončený. Celková </w:t>
      </w:r>
      <w:proofErr w:type="spellStart"/>
      <w:r w:rsidRPr="00721A0D">
        <w:rPr>
          <w:bCs/>
        </w:rPr>
        <w:t>zazmluvnená</w:t>
      </w:r>
      <w:proofErr w:type="spellEnd"/>
      <w:r w:rsidRPr="00721A0D">
        <w:rPr>
          <w:bCs/>
        </w:rPr>
        <w:t xml:space="preserve"> suma bola v hodnote </w:t>
      </w:r>
      <w:r w:rsidRPr="00A2245F">
        <w:rPr>
          <w:bCs/>
        </w:rPr>
        <w:t>207 33</w:t>
      </w:r>
      <w:r w:rsidR="00A2245F" w:rsidRPr="00A2245F">
        <w:rPr>
          <w:bCs/>
        </w:rPr>
        <w:t>3</w:t>
      </w:r>
      <w:r w:rsidRPr="00A2245F">
        <w:rPr>
          <w:bCs/>
        </w:rPr>
        <w:t xml:space="preserve">, 96 EUR. </w:t>
      </w:r>
    </w:p>
    <w:p w:rsidR="00D53F97" w:rsidRPr="00F71C31" w:rsidRDefault="00D53F97" w:rsidP="00F71C31">
      <w:pPr>
        <w:numPr>
          <w:ilvl w:val="0"/>
          <w:numId w:val="31"/>
        </w:numPr>
        <w:spacing w:after="0"/>
        <w:ind w:left="714" w:hanging="357"/>
        <w:jc w:val="both"/>
        <w:rPr>
          <w:bCs/>
        </w:rPr>
      </w:pPr>
      <w:r w:rsidRPr="00A0344F">
        <w:t xml:space="preserve">Vyšetrovateľom bolo vznesené obvinenie voči osobe za </w:t>
      </w:r>
      <w:r w:rsidRPr="00F71C31">
        <w:rPr>
          <w:b/>
        </w:rPr>
        <w:t>zločin</w:t>
      </w:r>
      <w:r w:rsidRPr="00F71C31">
        <w:rPr>
          <w:b/>
          <w:bCs/>
        </w:rPr>
        <w:t xml:space="preserve"> </w:t>
      </w:r>
      <w:r w:rsidRPr="00F71C31">
        <w:rPr>
          <w:b/>
        </w:rPr>
        <w:t>subvenčného podvodu</w:t>
      </w:r>
      <w:r w:rsidRPr="00A0344F">
        <w:t xml:space="preserve"> podľa § 225 ods. 1, ods. 4 písm. a) Trestného zákona v znení noviel </w:t>
      </w:r>
      <w:r w:rsidRPr="00F71C31">
        <w:rPr>
          <w:b/>
        </w:rPr>
        <w:t>v súbehu s prečinom poškodzovania finančných záujmov Európskych spoločenstiev</w:t>
      </w:r>
      <w:r w:rsidRPr="00A0344F">
        <w:t xml:space="preserve"> podľa § 261 ods. 1, ods. 2 písm. a) Trestného zákona, keď dňa 27. 06. 2012 ako </w:t>
      </w:r>
      <w:r w:rsidRPr="00F71C31">
        <w:rPr>
          <w:b/>
        </w:rPr>
        <w:t>príjemca príspevku uzavrel s Úradom práce, sociálnych vecí a rodiny ako poskytovateľom príspevku Dohodu o poskytnutí príspevku na samostatnú zárobkovú činnosť,</w:t>
      </w:r>
      <w:r w:rsidRPr="00A0344F">
        <w:t xml:space="preserve"> na základe ktorej bol poskytnutý príspevok vo výške 4 137,08 EUR, kde 85% príspevku bolo financovaných z </w:t>
      </w:r>
      <w:r w:rsidRPr="00F71C31">
        <w:rPr>
          <w:b/>
        </w:rPr>
        <w:t>ESF</w:t>
      </w:r>
      <w:r w:rsidRPr="00A0344F">
        <w:t xml:space="preserve"> a 15% príspevku zo štátneho rozpočtu Slovenskej republiky. </w:t>
      </w:r>
      <w:r w:rsidRPr="006E58BF">
        <w:rPr>
          <w:b/>
        </w:rPr>
        <w:t>Vykonanou</w:t>
      </w:r>
      <w:r w:rsidRPr="00A0344F">
        <w:t xml:space="preserve"> </w:t>
      </w:r>
      <w:r w:rsidRPr="00F71C31">
        <w:rPr>
          <w:b/>
        </w:rPr>
        <w:t xml:space="preserve">kontrolou </w:t>
      </w:r>
      <w:r w:rsidRPr="006E58BF">
        <w:t>Úradom práce</w:t>
      </w:r>
      <w:r w:rsidRPr="003E62A3">
        <w:t>,</w:t>
      </w:r>
      <w:r w:rsidRPr="00A0344F">
        <w:t xml:space="preserve"> sociálnych vecí a rodiny u príjemcu príspevku boli zistené </w:t>
      </w:r>
      <w:r w:rsidRPr="00F71C31">
        <w:rPr>
          <w:b/>
        </w:rPr>
        <w:t>porušenia vyššie uvedenej Dohody a to nepreukázanie výkonu dohodnutého podnikateľského zámeru,</w:t>
      </w:r>
      <w:r w:rsidRPr="00A0344F">
        <w:t xml:space="preserve"> organizovania kultúrnych a iných spoločenských podujatí, </w:t>
      </w:r>
      <w:r w:rsidRPr="00F71C31">
        <w:rPr>
          <w:b/>
        </w:rPr>
        <w:t>použitie poskytnutého príspevku na iné účely ako boli určené,</w:t>
      </w:r>
      <w:r w:rsidRPr="00A0344F">
        <w:t xml:space="preserve"> čím spôsobil škodu vo výške 4 137,08 EUR, pozostávajúcu z finančných prostriedkov vo výške 3 516,62 EUR z </w:t>
      </w:r>
      <w:r w:rsidRPr="00F71C31">
        <w:rPr>
          <w:b/>
        </w:rPr>
        <w:t>ESF</w:t>
      </w:r>
      <w:r w:rsidRPr="00A0344F">
        <w:t xml:space="preserve"> a z finančných prostriedkov vo výške 620,56 EUR zo štátneho rozpočtu Slovenskej republiky.</w:t>
      </w:r>
    </w:p>
    <w:p w:rsidR="00D53F97" w:rsidRPr="00F71C31" w:rsidRDefault="00D53F97" w:rsidP="00D53F97">
      <w:pPr>
        <w:numPr>
          <w:ilvl w:val="0"/>
          <w:numId w:val="31"/>
        </w:numPr>
        <w:spacing w:after="0"/>
        <w:jc w:val="both"/>
        <w:rPr>
          <w:bCs/>
        </w:rPr>
      </w:pPr>
      <w:r w:rsidRPr="00A0344F">
        <w:t xml:space="preserve">Vyšetrovateľom bolo vznesené obvinenie voči osobe za </w:t>
      </w:r>
      <w:r w:rsidR="002271DA">
        <w:rPr>
          <w:b/>
        </w:rPr>
        <w:t>zločin poškodzovania</w:t>
      </w:r>
      <w:r w:rsidRPr="00F71C31">
        <w:rPr>
          <w:b/>
        </w:rPr>
        <w:t xml:space="preserve"> finančných záujmov Európskych spoločenstiev</w:t>
      </w:r>
      <w:r w:rsidRPr="00A0344F">
        <w:t xml:space="preserve"> podľa § 261 ods. 1, ods. 2 písm. a) Trestného zákona a z </w:t>
      </w:r>
      <w:r w:rsidR="002271DA">
        <w:rPr>
          <w:b/>
        </w:rPr>
        <w:t>prečinu subvenčného</w:t>
      </w:r>
      <w:r w:rsidRPr="00F71C31">
        <w:rPr>
          <w:b/>
        </w:rPr>
        <w:t xml:space="preserve"> podvod</w:t>
      </w:r>
      <w:r w:rsidR="002271DA">
        <w:rPr>
          <w:b/>
        </w:rPr>
        <w:t>u</w:t>
      </w:r>
      <w:r w:rsidRPr="00A0344F">
        <w:t xml:space="preserve"> podľa § 225 ods. 1 Trestného zákona, </w:t>
      </w:r>
      <w:r w:rsidRPr="00F71C31">
        <w:rPr>
          <w:b/>
        </w:rPr>
        <w:t xml:space="preserve">keď v úmysle vylákať finančné prostriedky od </w:t>
      </w:r>
      <w:r w:rsidR="002271DA">
        <w:rPr>
          <w:b/>
        </w:rPr>
        <w:t xml:space="preserve">ÚPSVR </w:t>
      </w:r>
      <w:r w:rsidRPr="00F71C31">
        <w:rPr>
          <w:b/>
        </w:rPr>
        <w:t>a použiť ich pre vlastnú potrebu, podpísa</w:t>
      </w:r>
      <w:r w:rsidR="002271DA">
        <w:rPr>
          <w:b/>
        </w:rPr>
        <w:t>l dohodu</w:t>
      </w:r>
      <w:r w:rsidRPr="00F71C31">
        <w:rPr>
          <w:b/>
        </w:rPr>
        <w:t xml:space="preserve"> o poskytnutí príspevku na samostatnú zárobkovú činnosť</w:t>
      </w:r>
      <w:r w:rsidRPr="00A0344F">
        <w:t xml:space="preserve"> vo výške 4 137,08 EUR, z toho zo štátneho rozpočtu Slovenskej republiky vo výške 620,56 EUR, t.j. 15% z celkovej poskytnutej sumy a  zo všeobecného </w:t>
      </w:r>
      <w:r w:rsidRPr="00F71C31">
        <w:rPr>
          <w:b/>
        </w:rPr>
        <w:t>rozpočtu Európskeho sociálneho fondu</w:t>
      </w:r>
      <w:r w:rsidRPr="00A0344F">
        <w:t xml:space="preserve"> vo výške 3 516,52 EUR, t.j. 85% z celkovej poskytnutej sumy</w:t>
      </w:r>
      <w:r w:rsidR="002271DA">
        <w:t xml:space="preserve">. </w:t>
      </w:r>
      <w:r w:rsidRPr="00F71C31">
        <w:rPr>
          <w:b/>
        </w:rPr>
        <w:t xml:space="preserve">Poskytnutý príspevok </w:t>
      </w:r>
      <w:r w:rsidR="001B15BA">
        <w:rPr>
          <w:b/>
        </w:rPr>
        <w:t xml:space="preserve">teda </w:t>
      </w:r>
      <w:r w:rsidRPr="00F71C31">
        <w:rPr>
          <w:b/>
        </w:rPr>
        <w:t>nepoužila na určený predmet podnikania, ale na iný ako stanovený účel</w:t>
      </w:r>
      <w:r w:rsidRPr="00A0344F">
        <w:t xml:space="preserve"> a napriek oznámeniu o začatí kontroly a výzvam na predloženie dokladov o použití finančného príspevku, neposkytla povinné údaje na kontrolu použitia príspevku. Povereným pracovníkom </w:t>
      </w:r>
      <w:proofErr w:type="spellStart"/>
      <w:r w:rsidRPr="00A0344F">
        <w:t>ÚPSVaR</w:t>
      </w:r>
      <w:proofErr w:type="spellEnd"/>
      <w:r w:rsidRPr="00A0344F">
        <w:t xml:space="preserve"> neumožnila vykonať finančnú kontrolu použitia príspevku a poskytnutý príspevok v celej výške nevrátila a protiprávne ho zadržiava, čím uviedla do omylu pracovníkov </w:t>
      </w:r>
      <w:proofErr w:type="spellStart"/>
      <w:r w:rsidRPr="00F71C31">
        <w:rPr>
          <w:bCs/>
        </w:rPr>
        <w:t>ÚPSVaR</w:t>
      </w:r>
      <w:proofErr w:type="spellEnd"/>
      <w:r w:rsidRPr="00F71C31">
        <w:rPr>
          <w:bCs/>
        </w:rPr>
        <w:t xml:space="preserve"> </w:t>
      </w:r>
      <w:r w:rsidRPr="00A0344F">
        <w:t>a Úradu práce, sociálnych vecí a </w:t>
      </w:r>
      <w:r w:rsidRPr="00F71C31">
        <w:rPr>
          <w:bCs/>
        </w:rPr>
        <w:t xml:space="preserve"> spôsobila </w:t>
      </w:r>
      <w:r w:rsidRPr="00A0344F">
        <w:t>škodu vo výške najmenej 4 137,08 EUR.</w:t>
      </w:r>
    </w:p>
    <w:p w:rsidR="00F71C31" w:rsidRPr="00F71C31" w:rsidRDefault="00D53F97" w:rsidP="00F71C31">
      <w:pPr>
        <w:numPr>
          <w:ilvl w:val="0"/>
          <w:numId w:val="31"/>
        </w:numPr>
        <w:spacing w:after="0"/>
        <w:ind w:left="714" w:hanging="357"/>
        <w:jc w:val="both"/>
        <w:rPr>
          <w:bCs/>
        </w:rPr>
      </w:pPr>
      <w:r w:rsidRPr="00A0344F">
        <w:lastRenderedPageBreak/>
        <w:t xml:space="preserve">Vyšetrovateľom bolo vznesené </w:t>
      </w:r>
      <w:r w:rsidRPr="00F71C31">
        <w:rPr>
          <w:b/>
        </w:rPr>
        <w:t>obvinenie voči trom osobám</w:t>
      </w:r>
      <w:r w:rsidRPr="00A0344F">
        <w:t xml:space="preserve"> </w:t>
      </w:r>
      <w:r w:rsidRPr="00F71C31">
        <w:rPr>
          <w:bCs/>
        </w:rPr>
        <w:t xml:space="preserve">za </w:t>
      </w:r>
      <w:r w:rsidRPr="00A0344F">
        <w:t xml:space="preserve">pokračovací </w:t>
      </w:r>
      <w:r w:rsidRPr="00F71C31">
        <w:rPr>
          <w:b/>
        </w:rPr>
        <w:t>zločin poškodzovania finančných záujmov Európskych spoločenstiev</w:t>
      </w:r>
      <w:r w:rsidRPr="00A0344F">
        <w:t xml:space="preserve"> podľa § 261 ods. 1, ods. 4, písm. a) Trestného zákona </w:t>
      </w:r>
      <w:r w:rsidRPr="00F71C31">
        <w:rPr>
          <w:b/>
        </w:rPr>
        <w:t xml:space="preserve">vo viacčinnom súbehu s obzvlášť závažným zločinom podvodu </w:t>
      </w:r>
      <w:r w:rsidRPr="00A0344F">
        <w:t xml:space="preserve">podľa § 221 ods. 1, ods. 4 písm. a) Trestného zákona </w:t>
      </w:r>
      <w:r w:rsidRPr="00F71C31">
        <w:rPr>
          <w:b/>
        </w:rPr>
        <w:t>formou spolupáchateľstva</w:t>
      </w:r>
      <w:r w:rsidRPr="00A0344F">
        <w:t xml:space="preserve"> podľa § 20 Trestného zákona, </w:t>
      </w:r>
      <w:r w:rsidR="0034580B">
        <w:t>v súvislosti s financovaním nemenovaného projektu obnovy centra nemenovanej obce na základe Zmluvy o NFP vo výške 983 768,55 EUR</w:t>
      </w:r>
      <w:r w:rsidRPr="00F71C31">
        <w:rPr>
          <w:bCs/>
        </w:rPr>
        <w:t xml:space="preserve"> z prostriedkov EÚ a ŠR v rámci </w:t>
      </w:r>
      <w:r w:rsidRPr="00F71C31">
        <w:rPr>
          <w:b/>
          <w:bCs/>
        </w:rPr>
        <w:t>R</w:t>
      </w:r>
      <w:r w:rsidR="002271DA">
        <w:rPr>
          <w:b/>
          <w:bCs/>
        </w:rPr>
        <w:t>OP</w:t>
      </w:r>
      <w:r w:rsidRPr="00F71C31">
        <w:rPr>
          <w:b/>
          <w:bCs/>
        </w:rPr>
        <w:t xml:space="preserve"> </w:t>
      </w:r>
      <w:r w:rsidRPr="002271DA">
        <w:rPr>
          <w:bCs/>
        </w:rPr>
        <w:t xml:space="preserve">kód výzvy XY, </w:t>
      </w:r>
      <w:r w:rsidRPr="00F71C31">
        <w:rPr>
          <w:bCs/>
        </w:rPr>
        <w:t>uzatvorenej dňa 22. 06. 2010 medzi poskytovateľom Ministerstvom výstav</w:t>
      </w:r>
      <w:r w:rsidR="0034580B" w:rsidRPr="00F71C31">
        <w:rPr>
          <w:bCs/>
        </w:rPr>
        <w:t>by a regionálneho rozvoja SR a o</w:t>
      </w:r>
      <w:r w:rsidRPr="00F71C31">
        <w:rPr>
          <w:bCs/>
        </w:rPr>
        <w:t>bcou XY.</w:t>
      </w:r>
      <w:r w:rsidRPr="00F71C31">
        <w:rPr>
          <w:b/>
          <w:bCs/>
        </w:rPr>
        <w:t xml:space="preserve"> Obvinené osoby použili časť poskytnutého NFP na iný ako určený účel, kde týmto konaním spôsobili škodu MVRR SR a SR vo výške najmenej 300 000 EUR. </w:t>
      </w:r>
    </w:p>
    <w:p w:rsidR="00D53F97" w:rsidRPr="00F71C31" w:rsidRDefault="00D53F97" w:rsidP="00D53F97">
      <w:pPr>
        <w:numPr>
          <w:ilvl w:val="0"/>
          <w:numId w:val="31"/>
        </w:numPr>
        <w:spacing w:after="0"/>
        <w:ind w:left="714" w:hanging="357"/>
        <w:jc w:val="both"/>
        <w:rPr>
          <w:bCs/>
        </w:rPr>
      </w:pPr>
      <w:r w:rsidRPr="00F71C31">
        <w:rPr>
          <w:bCs/>
        </w:rPr>
        <w:t xml:space="preserve">Vyšetrovateľ vzniesol obvinenie voči 4 osobám pre </w:t>
      </w:r>
      <w:r w:rsidRPr="00F71C31">
        <w:rPr>
          <w:b/>
          <w:bCs/>
        </w:rPr>
        <w:t>pokračovací obzvlášť závažný zločin s</w:t>
      </w:r>
      <w:r w:rsidR="002271DA">
        <w:rPr>
          <w:b/>
          <w:bCs/>
        </w:rPr>
        <w:t>ubvenčného</w:t>
      </w:r>
      <w:r w:rsidRPr="00F71C31">
        <w:rPr>
          <w:b/>
          <w:bCs/>
        </w:rPr>
        <w:t xml:space="preserve"> podvod</w:t>
      </w:r>
      <w:r w:rsidR="002271DA">
        <w:rPr>
          <w:b/>
          <w:bCs/>
        </w:rPr>
        <w:t>u</w:t>
      </w:r>
      <w:r w:rsidRPr="00F71C31">
        <w:rPr>
          <w:bCs/>
        </w:rPr>
        <w:t xml:space="preserve"> podľa § 225 ods. 1, ods. 2, ods. 6 písm. a) Trestného zákona </w:t>
      </w:r>
      <w:r w:rsidR="002271DA">
        <w:rPr>
          <w:b/>
          <w:bCs/>
        </w:rPr>
        <w:t>spáchaného</w:t>
      </w:r>
      <w:r w:rsidRPr="00F71C31">
        <w:rPr>
          <w:b/>
          <w:bCs/>
        </w:rPr>
        <w:t xml:space="preserve">  formou spolupáchateľstva</w:t>
      </w:r>
      <w:r w:rsidRPr="00F71C31">
        <w:rPr>
          <w:bCs/>
        </w:rPr>
        <w:t xml:space="preserve"> podľa § 20 Trestného zákona s časti dokonaný</w:t>
      </w:r>
      <w:r w:rsidR="002271DA">
        <w:rPr>
          <w:bCs/>
        </w:rPr>
        <w:t>,</w:t>
      </w:r>
      <w:r w:rsidRPr="00F71C31">
        <w:rPr>
          <w:bCs/>
        </w:rPr>
        <w:t xml:space="preserve"> s časti v štádiu pokusu podľa § 14 ods. 1 Trestného zákona, </w:t>
      </w:r>
      <w:r w:rsidRPr="00F71C31">
        <w:rPr>
          <w:b/>
          <w:bCs/>
        </w:rPr>
        <w:t xml:space="preserve">pre zločin poškodzovanie finančných záujmov Európskych spoločenstiev </w:t>
      </w:r>
      <w:r w:rsidRPr="00F71C31">
        <w:rPr>
          <w:bCs/>
        </w:rPr>
        <w:t xml:space="preserve">podľa § 261 ods. 1, ods. 3 Trestného zákona </w:t>
      </w:r>
      <w:r w:rsidRPr="00F71C31">
        <w:rPr>
          <w:b/>
          <w:bCs/>
        </w:rPr>
        <w:t>spáchaný formou spolupáchateľstva</w:t>
      </w:r>
      <w:r w:rsidRPr="00F71C31">
        <w:rPr>
          <w:bCs/>
        </w:rPr>
        <w:t xml:space="preserve"> podľa § 20 Trestného zákona. Išlo </w:t>
      </w:r>
      <w:r w:rsidRPr="00F71C31">
        <w:rPr>
          <w:b/>
          <w:bCs/>
        </w:rPr>
        <w:t xml:space="preserve">o príspevok na zriadenie chránenej dielne </w:t>
      </w:r>
      <w:r w:rsidRPr="00F71C31">
        <w:rPr>
          <w:bCs/>
        </w:rPr>
        <w:t xml:space="preserve">v celkovej výške 122 687,15 EUR, ktorý bol schválený </w:t>
      </w:r>
      <w:r w:rsidR="002271DA">
        <w:rPr>
          <w:bCs/>
        </w:rPr>
        <w:t xml:space="preserve">ÚPSVR </w:t>
      </w:r>
      <w:r w:rsidRPr="00F71C31">
        <w:rPr>
          <w:bCs/>
        </w:rPr>
        <w:t xml:space="preserve">Prievidza. Získaný príspevok bol použitý na iný účel, ako bol pôvodne určený, čím spoločným konaním spôsobili škodu rozpočtu Európskych spoločenstiev vo výške 104 284,08 EUR, čo je 85% z výšky poskytnutého príspevku a škodu ŠR zastúpenému </w:t>
      </w:r>
      <w:r w:rsidR="002271DA">
        <w:rPr>
          <w:bCs/>
        </w:rPr>
        <w:t xml:space="preserve">ÚPSVR </w:t>
      </w:r>
      <w:r w:rsidRPr="00F71C31">
        <w:rPr>
          <w:bCs/>
        </w:rPr>
        <w:t xml:space="preserve">Prievidza, vo výške 18 403,07 EUR, čo predstavuje 15% z výšky poskytnutého príspevku. </w:t>
      </w:r>
    </w:p>
    <w:p w:rsidR="00D53F97" w:rsidRPr="00A0344F" w:rsidRDefault="00D53F97" w:rsidP="00D53F97">
      <w:pPr>
        <w:numPr>
          <w:ilvl w:val="0"/>
          <w:numId w:val="31"/>
        </w:numPr>
        <w:jc w:val="both"/>
        <w:rPr>
          <w:bCs/>
        </w:rPr>
      </w:pPr>
      <w:r w:rsidRPr="00A0344F">
        <w:rPr>
          <w:bCs/>
        </w:rPr>
        <w:t>Vyšetrovateľom bolo vznesené obvinenie voči dvom obvineným za </w:t>
      </w:r>
      <w:r w:rsidRPr="00A0344F">
        <w:rPr>
          <w:b/>
          <w:bCs/>
        </w:rPr>
        <w:t>zločin subvenčn</w:t>
      </w:r>
      <w:r w:rsidR="002271DA">
        <w:rPr>
          <w:b/>
          <w:bCs/>
        </w:rPr>
        <w:t>ého</w:t>
      </w:r>
      <w:r w:rsidRPr="00A0344F">
        <w:rPr>
          <w:b/>
          <w:bCs/>
        </w:rPr>
        <w:t xml:space="preserve"> podvod</w:t>
      </w:r>
      <w:r w:rsidR="002271DA">
        <w:rPr>
          <w:b/>
          <w:bCs/>
        </w:rPr>
        <w:t>u</w:t>
      </w:r>
      <w:r w:rsidRPr="00A0344F">
        <w:rPr>
          <w:bCs/>
        </w:rPr>
        <w:t xml:space="preserve"> podľa § 225 ods. 1, ods. 2, ods. 4 písm. a) Trestného zákona, za </w:t>
      </w:r>
      <w:r w:rsidR="002271DA">
        <w:rPr>
          <w:b/>
          <w:bCs/>
        </w:rPr>
        <w:t>prečin poškodzovania</w:t>
      </w:r>
      <w:r w:rsidRPr="00A0344F">
        <w:rPr>
          <w:b/>
          <w:bCs/>
        </w:rPr>
        <w:t xml:space="preserve"> finančných záujmov Európskych spoločenstiev </w:t>
      </w:r>
      <w:r w:rsidRPr="00A0344F">
        <w:rPr>
          <w:bCs/>
        </w:rPr>
        <w:t xml:space="preserve">podľa  § 261 ods. 1, ods. 2 písm. a) Trestného zákona </w:t>
      </w:r>
      <w:r w:rsidRPr="00A0344F">
        <w:rPr>
          <w:b/>
          <w:bCs/>
        </w:rPr>
        <w:t>spáchaného formou spolupáchateľstva</w:t>
      </w:r>
      <w:r w:rsidRPr="00A0344F">
        <w:rPr>
          <w:bCs/>
        </w:rPr>
        <w:t xml:space="preserve"> podľa § 20 Trestného zákona. Išlo o poskytnutie príspevku </w:t>
      </w:r>
      <w:r w:rsidRPr="00A0344F">
        <w:rPr>
          <w:b/>
          <w:bCs/>
        </w:rPr>
        <w:t>na zriadenie chránenej dielne alebo chráneného pracoviska.</w:t>
      </w:r>
      <w:r w:rsidRPr="00A0344F">
        <w:rPr>
          <w:bCs/>
        </w:rPr>
        <w:t xml:space="preserve"> Pod zámienkou splnenia stanovených podmienok vylákal nenávratný finančný príspevok na zriadenie chránenej dielne vo výške 16 548,32 EUR. Obvinený deklaroval mzdové náklady zamestnancov, ktorí však v chránenej dielni nikdy reálne nepracovali, ich mzdu si ponechal, z tejto vykona</w:t>
      </w:r>
      <w:r w:rsidR="007251A9">
        <w:rPr>
          <w:bCs/>
        </w:rPr>
        <w:t>l iba úhradu povinných odvodov</w:t>
      </w:r>
      <w:r w:rsidRPr="00A0344F">
        <w:rPr>
          <w:bCs/>
        </w:rPr>
        <w:t xml:space="preserve"> a neoprávnene získaný príspevok použil na iný účel, ako bol pôvodne určený, čím spôsobil škodu na štátnom rozpočte S</w:t>
      </w:r>
      <w:r w:rsidR="007251A9">
        <w:rPr>
          <w:bCs/>
        </w:rPr>
        <w:t>R</w:t>
      </w:r>
      <w:r w:rsidRPr="00A0344F">
        <w:rPr>
          <w:bCs/>
        </w:rPr>
        <w:t xml:space="preserve"> vo výške 16 548,32 EUR. Ďalej išlo v tomto prípade </w:t>
      </w:r>
      <w:r w:rsidRPr="00A0344F">
        <w:rPr>
          <w:b/>
          <w:bCs/>
        </w:rPr>
        <w:t>aj o poskytnutie príspevku na činnosť pracovného asistenta</w:t>
      </w:r>
      <w:r w:rsidRPr="00A0344F">
        <w:rPr>
          <w:bCs/>
        </w:rPr>
        <w:t xml:space="preserve"> na základe ktorej pod zámienkou splnenia stanovených podmienok vylákal finančný príspevok na činnosť dvoch pracovných asistentov, občanov so zdravotným postihnutím v prevádzke chránenej dielne so sídlom v Prievidzi vo výške 2 907,81 EUR, ktoré boli poukázané na účet </w:t>
      </w:r>
      <w:r w:rsidR="007251A9">
        <w:rPr>
          <w:bCs/>
        </w:rPr>
        <w:t>nemenovanej</w:t>
      </w:r>
      <w:r w:rsidRPr="00A0344F">
        <w:rPr>
          <w:bCs/>
        </w:rPr>
        <w:t>. V uvedenom prípade boli deklarované mzdové náklady asistentov zamestnancov so zdravotným postihnutím, ktorí však v chránenej dielni reálne nepracovali a takto neoprávnene získaný príspevok na činnosť pracovného asistenta použili na iný účel, ako bol pôvodne určený, čím spôsobili škodu na rozpočte Európskych spoločenstiev vo výške 2 471,60 EUR, čo predstavuje 85% z výšky poskytnutého príspevku a škodu na štátnom rozpočte Slovenskej republiky vo výške 436,18 EUR, čo predstavuje 15% z výšky poskytnutého príspevku. V uvedenom prípade išlo o </w:t>
      </w:r>
      <w:r w:rsidRPr="006658DE">
        <w:rPr>
          <w:bCs/>
        </w:rPr>
        <w:t>príspevok z</w:t>
      </w:r>
      <w:r w:rsidR="007251A9">
        <w:rPr>
          <w:bCs/>
        </w:rPr>
        <w:t> </w:t>
      </w:r>
      <w:r w:rsidRPr="006658DE">
        <w:rPr>
          <w:bCs/>
        </w:rPr>
        <w:t>E</w:t>
      </w:r>
      <w:r w:rsidR="007251A9">
        <w:rPr>
          <w:bCs/>
        </w:rPr>
        <w:t xml:space="preserve">SF </w:t>
      </w:r>
      <w:r w:rsidRPr="006658DE">
        <w:rPr>
          <w:bCs/>
        </w:rPr>
        <w:t xml:space="preserve">a v rámci schémy </w:t>
      </w:r>
      <w:proofErr w:type="spellStart"/>
      <w:r w:rsidRPr="006658DE">
        <w:rPr>
          <w:bCs/>
        </w:rPr>
        <w:t>de</w:t>
      </w:r>
      <w:proofErr w:type="spellEnd"/>
      <w:r w:rsidRPr="006658DE">
        <w:rPr>
          <w:bCs/>
        </w:rPr>
        <w:t xml:space="preserve"> </w:t>
      </w:r>
      <w:proofErr w:type="spellStart"/>
      <w:r w:rsidRPr="006658DE">
        <w:rPr>
          <w:bCs/>
        </w:rPr>
        <w:t>minimis</w:t>
      </w:r>
      <w:proofErr w:type="spellEnd"/>
      <w:r w:rsidRPr="006658DE">
        <w:rPr>
          <w:bCs/>
        </w:rPr>
        <w:t xml:space="preserve"> na podporu zamestnanosti DM1-1/2007.</w:t>
      </w:r>
      <w:r w:rsidRPr="00A0344F">
        <w:rPr>
          <w:bCs/>
        </w:rPr>
        <w:t xml:space="preserve"> </w:t>
      </w:r>
    </w:p>
    <w:p w:rsidR="00D53F97" w:rsidRDefault="00D53F97" w:rsidP="001E2F47">
      <w:pPr>
        <w:tabs>
          <w:tab w:val="left" w:pos="709"/>
        </w:tabs>
        <w:spacing w:after="0" w:line="240" w:lineRule="auto"/>
        <w:jc w:val="both"/>
        <w:rPr>
          <w:b/>
          <w:highlight w:val="yellow"/>
        </w:rPr>
      </w:pPr>
    </w:p>
    <w:p w:rsidR="00D53F97" w:rsidRPr="00D11B6C" w:rsidRDefault="00F64F2C" w:rsidP="00FF1A51">
      <w:pPr>
        <w:tabs>
          <w:tab w:val="left" w:pos="709"/>
        </w:tabs>
        <w:spacing w:after="0"/>
        <w:jc w:val="both"/>
      </w:pPr>
      <w:r w:rsidRPr="00FF1A51">
        <w:rPr>
          <w:b/>
        </w:rPr>
        <w:t>FS SR</w:t>
      </w:r>
      <w:r w:rsidRPr="00D11B6C">
        <w:t xml:space="preserve"> pri odhaľovaní nezákonnej činnosti a pri ochrane finančných záujmov EÚ v SR spolupracuje tak s vnútroštátnymi orgánmi SR (PZ SR), ako aj so zahraničnými colnými správami a inými zahraničnými </w:t>
      </w:r>
      <w:r w:rsidRPr="00D11B6C">
        <w:lastRenderedPageBreak/>
        <w:t>orgánmi presadzujúcimi právo (EUROPOL, RILO ECE, OLAF). Zapája sa do spoločných colných operácií, spolupracuje pri preverovaní a získavaní údajov v súvislosti s AM správami (pozn. ide o podozrivý tovar, skratka z „</w:t>
      </w:r>
      <w:proofErr w:type="spellStart"/>
      <w:r w:rsidRPr="00D11B6C">
        <w:t>allert</w:t>
      </w:r>
      <w:proofErr w:type="spellEnd"/>
      <w:r w:rsidRPr="00D11B6C">
        <w:t xml:space="preserve"> </w:t>
      </w:r>
      <w:proofErr w:type="spellStart"/>
      <w:r w:rsidRPr="00D11B6C">
        <w:t>messages</w:t>
      </w:r>
      <w:proofErr w:type="spellEnd"/>
      <w:r w:rsidRPr="00D11B6C">
        <w:t>“) a plní všetky súvisiace úlohy zamerané na predchádzanie a zisťovanie protiprávnych konaní.</w:t>
      </w:r>
    </w:p>
    <w:p w:rsidR="00F64F2C" w:rsidRPr="00D11B6C" w:rsidRDefault="00F64F2C" w:rsidP="001E2F47">
      <w:pPr>
        <w:tabs>
          <w:tab w:val="left" w:pos="709"/>
        </w:tabs>
        <w:spacing w:after="0" w:line="240" w:lineRule="auto"/>
        <w:jc w:val="both"/>
      </w:pPr>
    </w:p>
    <w:p w:rsidR="00BB4E38" w:rsidRPr="00FF1A51" w:rsidRDefault="00BB4E38" w:rsidP="00BB4E38">
      <w:pPr>
        <w:tabs>
          <w:tab w:val="left" w:pos="709"/>
        </w:tabs>
        <w:spacing w:after="0" w:line="240" w:lineRule="auto"/>
        <w:jc w:val="both"/>
        <w:rPr>
          <w:u w:val="single"/>
        </w:rPr>
      </w:pPr>
      <w:r w:rsidRPr="00FF1A51">
        <w:rPr>
          <w:u w:val="single"/>
        </w:rPr>
        <w:t xml:space="preserve">Vybrané prípady zadržania tovaru FS SR: </w:t>
      </w:r>
    </w:p>
    <w:p w:rsidR="00BB4E38" w:rsidRDefault="00BB4E38" w:rsidP="00BB4E38">
      <w:pPr>
        <w:tabs>
          <w:tab w:val="left" w:pos="709"/>
        </w:tabs>
        <w:spacing w:after="0" w:line="240" w:lineRule="auto"/>
        <w:jc w:val="both"/>
      </w:pPr>
    </w:p>
    <w:p w:rsidR="00BB4E38" w:rsidRPr="0031735A" w:rsidRDefault="00BB4E38" w:rsidP="00B223A6">
      <w:pPr>
        <w:pStyle w:val="Odsekzoznamu"/>
        <w:numPr>
          <w:ilvl w:val="0"/>
          <w:numId w:val="30"/>
        </w:numPr>
        <w:tabs>
          <w:tab w:val="left" w:pos="709"/>
        </w:tabs>
        <w:spacing w:after="0"/>
        <w:jc w:val="both"/>
        <w:rPr>
          <w:b/>
          <w:i/>
        </w:rPr>
      </w:pPr>
      <w:r w:rsidRPr="0031735A">
        <w:rPr>
          <w:b/>
          <w:i/>
        </w:rPr>
        <w:t xml:space="preserve">Razia na pašerákov cigariet na východe Slovenska </w:t>
      </w:r>
    </w:p>
    <w:p w:rsidR="00AD6AEF" w:rsidRDefault="00BB4E38" w:rsidP="00F71C31">
      <w:pPr>
        <w:tabs>
          <w:tab w:val="left" w:pos="709"/>
        </w:tabs>
        <w:spacing w:after="0"/>
        <w:jc w:val="both"/>
      </w:pPr>
      <w:r w:rsidRPr="00CC4CD8">
        <w:rPr>
          <w:b/>
          <w:bCs/>
        </w:rPr>
        <w:t>Finančná správa v spolupráci s Národnou jednotkou boja proti nelegálnej migrácii úradu hraničnej a cudzineckej polície Prezídia Policajného zboru</w:t>
      </w:r>
      <w:r w:rsidRPr="00BB4E38">
        <w:rPr>
          <w:bCs/>
        </w:rPr>
        <w:t xml:space="preserve"> rozložili 14 člennú skupinu zaoberajúcu sa pašovaním cigariet.</w:t>
      </w:r>
      <w:r w:rsidRPr="00BB4E38">
        <w:t xml:space="preserve"> Vyšetrovateľ obvinil 14 osôb zo zločinu porušovania predpisov o obehu tovaru v styku s cudzinou, prečinu porušovania predpisov o štátnych technických opatreniach na označenie tovaru a prečinu legalizácie príjmu z trestnej činnosti. Hrozí im trest odňatia slobody na sedem až dvanásť rokov. </w:t>
      </w:r>
      <w:r w:rsidRPr="00BB4E38">
        <w:rPr>
          <w:bCs/>
        </w:rPr>
        <w:t>Šesť osôb je stíhaných väzobne.</w:t>
      </w:r>
      <w:r w:rsidRPr="00BB4E38">
        <w:t xml:space="preserve"> V období od 08.11.2012 do 16.09.2013 organizovali minimálne v 39 prípadoch nelegálny prevoz cigariet rôznych značiek, ktorý bol v rozpore so zákonom o spotrebnej dani z tabakových výrobkov. Prevážať ich mali z Ukrajiny na územie Slovenskej republiky, ako aj z Ukrajiny  do Maďarska a následne z Maďarska na územie Slovenskej republiky. Po vyskladnení cigariet boli tieto ďalšími členmi v súčinnosti s organizátorom distribuované najmä do oblasti Prešovského a Košického kraja, kde boli predávané spotrebiteľom za sumu od 15 do 18 </w:t>
      </w:r>
      <w:r w:rsidR="007251A9">
        <w:t>EUR</w:t>
      </w:r>
      <w:r w:rsidRPr="00BB4E38">
        <w:t xml:space="preserve"> za kartón cigariet. </w:t>
      </w:r>
      <w:r w:rsidRPr="00BB4E38">
        <w:rPr>
          <w:bCs/>
        </w:rPr>
        <w:t xml:space="preserve">Takýmto spôsobom bola spôsobená škoda, respektíve colný dlh, najmenej 200 000 </w:t>
      </w:r>
      <w:r w:rsidR="007251A9">
        <w:rPr>
          <w:bCs/>
        </w:rPr>
        <w:t>EUR</w:t>
      </w:r>
      <w:r w:rsidRPr="00BB4E38">
        <w:rPr>
          <w:bCs/>
        </w:rPr>
        <w:t xml:space="preserve">. </w:t>
      </w:r>
      <w:r w:rsidRPr="00BB4E38">
        <w:t xml:space="preserve">Po dlhodobom rozpracovaní a dokazovaní tejto trestnej činnosti bola v okresoch Košice, Michalovce, Vranov nad Topľou, Martin, Trebišov, Levice, Nitra vykonaná akcia s krycím názvom </w:t>
      </w:r>
      <w:r w:rsidRPr="00BB4E38">
        <w:rPr>
          <w:bCs/>
        </w:rPr>
        <w:t xml:space="preserve">Spojka. </w:t>
      </w:r>
      <w:r w:rsidRPr="00CC4CD8">
        <w:rPr>
          <w:b/>
          <w:bCs/>
        </w:rPr>
        <w:t>Zasahovalo 62 príslušníkov polície</w:t>
      </w:r>
      <w:r w:rsidRPr="00CC4CD8">
        <w:rPr>
          <w:b/>
        </w:rPr>
        <w:t xml:space="preserve"> z KR PZ</w:t>
      </w:r>
      <w:r w:rsidRPr="00BB4E38">
        <w:t xml:space="preserve"> Nitra, Žilina, Prešov, Košice, UHCP P PZ a to RHCP Sobrance,  RCP Banská Bystrica, RHCP Bratislava, RHCP Prešov a</w:t>
      </w:r>
      <w:r w:rsidRPr="00BB4E38">
        <w:rPr>
          <w:bCs/>
        </w:rPr>
        <w:t xml:space="preserve"> </w:t>
      </w:r>
      <w:r w:rsidRPr="00CC4CD8">
        <w:rPr>
          <w:b/>
          <w:bCs/>
        </w:rPr>
        <w:t>8 príslušníkov Finančnej správy SR</w:t>
      </w:r>
      <w:r w:rsidRPr="00CC4CD8">
        <w:rPr>
          <w:b/>
        </w:rPr>
        <w:t>.</w:t>
      </w:r>
      <w:r w:rsidRPr="00BB4E38">
        <w:t xml:space="preserve"> </w:t>
      </w:r>
      <w:r w:rsidR="007251A9">
        <w:t>Z</w:t>
      </w:r>
      <w:r w:rsidRPr="00BB4E38">
        <w:t>aistili 233 kartónov cigariet označených kolkom „</w:t>
      </w:r>
      <w:proofErr w:type="spellStart"/>
      <w:r w:rsidRPr="00BB4E38">
        <w:t>For</w:t>
      </w:r>
      <w:proofErr w:type="spellEnd"/>
      <w:r w:rsidRPr="00BB4E38">
        <w:t xml:space="preserve"> </w:t>
      </w:r>
      <w:proofErr w:type="spellStart"/>
      <w:r w:rsidRPr="00BB4E38">
        <w:t>Duty</w:t>
      </w:r>
      <w:proofErr w:type="spellEnd"/>
      <w:r w:rsidRPr="00BB4E38">
        <w:t xml:space="preserve"> </w:t>
      </w:r>
      <w:proofErr w:type="spellStart"/>
      <w:r w:rsidRPr="00BB4E38">
        <w:t>Free</w:t>
      </w:r>
      <w:proofErr w:type="spellEnd"/>
      <w:r w:rsidRPr="00BB4E38">
        <w:t xml:space="preserve"> </w:t>
      </w:r>
      <w:proofErr w:type="spellStart"/>
      <w:r w:rsidRPr="00BB4E38">
        <w:t>only</w:t>
      </w:r>
      <w:proofErr w:type="spellEnd"/>
      <w:r w:rsidRPr="00BB4E38">
        <w:t xml:space="preserve">“, viac ako 60 kartónov cigariet bez kolkových známok, mobilné telefóny a počítače, 140 búnd, 321 </w:t>
      </w:r>
      <w:proofErr w:type="spellStart"/>
      <w:r w:rsidRPr="00BB4E38">
        <w:t>mikín</w:t>
      </w:r>
      <w:proofErr w:type="spellEnd"/>
      <w:r w:rsidRPr="00BB4E38">
        <w:t xml:space="preserve">, 297 tričiek, 492 športových nohavíc, takmer tisíc párov ponožiek, 496 čiapok, 52 tašiek, tielka, spodnú bielizeň, šatky, peňaženky, krémy, </w:t>
      </w:r>
      <w:r w:rsidR="00837C64" w:rsidRPr="00BB4E38">
        <w:t>parfumy</w:t>
      </w:r>
      <w:r w:rsidRPr="00BB4E38">
        <w:t xml:space="preserve"> a toaletné vody.</w:t>
      </w:r>
    </w:p>
    <w:p w:rsidR="00F71C31" w:rsidRDefault="00F71C31" w:rsidP="00F71C31">
      <w:pPr>
        <w:tabs>
          <w:tab w:val="left" w:pos="709"/>
        </w:tabs>
        <w:spacing w:after="0"/>
        <w:jc w:val="both"/>
      </w:pPr>
    </w:p>
    <w:p w:rsidR="00BB4E38" w:rsidRPr="0031735A" w:rsidRDefault="00BB4E38" w:rsidP="00B223A6">
      <w:pPr>
        <w:pStyle w:val="Odsekzoznamu"/>
        <w:numPr>
          <w:ilvl w:val="0"/>
          <w:numId w:val="30"/>
        </w:numPr>
        <w:tabs>
          <w:tab w:val="left" w:pos="709"/>
        </w:tabs>
        <w:spacing w:after="0"/>
        <w:jc w:val="both"/>
        <w:rPr>
          <w:b/>
          <w:i/>
        </w:rPr>
      </w:pPr>
      <w:r w:rsidRPr="0031735A">
        <w:rPr>
          <w:b/>
          <w:i/>
        </w:rPr>
        <w:t xml:space="preserve">Akcia „Diamant“ </w:t>
      </w:r>
    </w:p>
    <w:p w:rsidR="00BB4E38" w:rsidRDefault="00BB4E38" w:rsidP="00F71C31">
      <w:pPr>
        <w:tabs>
          <w:tab w:val="left" w:pos="709"/>
        </w:tabs>
        <w:spacing w:after="0"/>
        <w:jc w:val="both"/>
        <w:rPr>
          <w:b/>
        </w:rPr>
      </w:pPr>
      <w:r w:rsidRPr="00BB4E38">
        <w:rPr>
          <w:bCs/>
        </w:rPr>
        <w:t xml:space="preserve">Päť firiem si medzi sebou fakturovalo fiktívne obchody so syntetickým diamantovým práškom. Výsledkom bol </w:t>
      </w:r>
      <w:r w:rsidRPr="00CC4CD8">
        <w:rPr>
          <w:b/>
          <w:bCs/>
        </w:rPr>
        <w:t xml:space="preserve">nadmerný odpočet za takmer 2 mil. </w:t>
      </w:r>
      <w:r>
        <w:rPr>
          <w:b/>
          <w:bCs/>
        </w:rPr>
        <w:t>EUR</w:t>
      </w:r>
      <w:r w:rsidRPr="00CC4CD8">
        <w:rPr>
          <w:b/>
          <w:bCs/>
        </w:rPr>
        <w:t>,</w:t>
      </w:r>
      <w:r w:rsidRPr="00BB4E38">
        <w:rPr>
          <w:bCs/>
        </w:rPr>
        <w:t xml:space="preserve"> ktorý žiadali preplatiť.</w:t>
      </w:r>
      <w:r w:rsidRPr="00BB4E38">
        <w:t> </w:t>
      </w:r>
      <w:r w:rsidRPr="00BB4E38">
        <w:rPr>
          <w:bCs/>
        </w:rPr>
        <w:t xml:space="preserve">15 kíl syntetického diamantového prášku mala kúpiť firma z Trenčianskych Teplíc. Kúpna cena bola dohodnutá na 11 700 000 </w:t>
      </w:r>
      <w:r w:rsidR="007251A9">
        <w:rPr>
          <w:bCs/>
        </w:rPr>
        <w:t>EUR</w:t>
      </w:r>
      <w:r w:rsidRPr="00BB4E38">
        <w:rPr>
          <w:bCs/>
        </w:rPr>
        <w:t xml:space="preserve">. Na základe tohto obchodu firma z Trenčianskych Teplíc podala daňové priznanie a žiadala vrátiť daň z pridanej hodnoty vo výške 1 937 272,55 </w:t>
      </w:r>
      <w:r w:rsidR="007251A9">
        <w:rPr>
          <w:bCs/>
        </w:rPr>
        <w:t>EUR</w:t>
      </w:r>
      <w:r w:rsidRPr="00BB4E38">
        <w:rPr>
          <w:bCs/>
        </w:rPr>
        <w:t xml:space="preserve"> ako nadmerný odpočet. Vďaka spolupráci finančnej správy a polície k vyplateniu nadmerného odpočtu nedošlo. </w:t>
      </w:r>
      <w:r w:rsidRPr="00BB4E38">
        <w:t>Na podvode sa podieľalo 5 firiem. Na začiatku bola fiktívna kúpna zmluva, v ktorej americká spoločnosť predávala syntetický diamantový prášok firme v Bratislave. Za bratislavskú firmu podpisoval kúpne zmluvy a faktúry konateľ, ktorý nikdy reálne žiadnu činnosť nevykonával a bol len v úlohe tzv. „bieleho koňa“. Táto firma následne fiktívne predala prášok žilinskej spoločnosti. Tá následne uzavrela kúpnu zmluvu a fiktívne odpredala diamantový prášok firme do Trenčianskych Teplíc. </w:t>
      </w:r>
      <w:r w:rsidRPr="00BB4E38">
        <w:rPr>
          <w:bCs/>
        </w:rPr>
        <w:t xml:space="preserve">Počas akcie polícia zadržala 5 osôb, vykonala 8 domových prehliadok a 13 prehliadok iných priestorov (kaviarne, vozidlá, garáže). </w:t>
      </w:r>
      <w:r w:rsidRPr="00BB4E38">
        <w:t xml:space="preserve">Bolo zaistených 7 nelegálne držaných zbraní, 3 plastové nádoby s látkou deklarovanou ako diamantový prášok (predmet zdaniteľných obchodov), počítač, </w:t>
      </w:r>
      <w:proofErr w:type="spellStart"/>
      <w:r w:rsidRPr="00BB4E38">
        <w:t>tablet</w:t>
      </w:r>
      <w:proofErr w:type="spellEnd"/>
      <w:r w:rsidRPr="00BB4E38">
        <w:t xml:space="preserve">, USB kľúče, CD nosiče. </w:t>
      </w:r>
      <w:r w:rsidRPr="00CC4CD8">
        <w:rPr>
          <w:b/>
        </w:rPr>
        <w:t>Na akcii spolupracovali daňoví kontrolóri finančnej správy, finančná polícia a príslušníci policajného zboru.  </w:t>
      </w:r>
    </w:p>
    <w:p w:rsidR="00C04CFA" w:rsidRDefault="00C04CFA" w:rsidP="00F71C31">
      <w:pPr>
        <w:tabs>
          <w:tab w:val="left" w:pos="709"/>
        </w:tabs>
        <w:spacing w:after="0" w:line="240" w:lineRule="auto"/>
        <w:jc w:val="both"/>
        <w:rPr>
          <w:b/>
        </w:rPr>
      </w:pPr>
    </w:p>
    <w:p w:rsidR="00C04CFA" w:rsidRPr="0031735A" w:rsidRDefault="00C04CFA" w:rsidP="00F71C31">
      <w:pPr>
        <w:pStyle w:val="Odsekzoznamu"/>
        <w:numPr>
          <w:ilvl w:val="0"/>
          <w:numId w:val="30"/>
        </w:numPr>
        <w:tabs>
          <w:tab w:val="left" w:pos="709"/>
        </w:tabs>
        <w:spacing w:after="0"/>
        <w:jc w:val="both"/>
        <w:rPr>
          <w:b/>
          <w:bCs/>
        </w:rPr>
      </w:pPr>
      <w:r w:rsidRPr="0031735A">
        <w:rPr>
          <w:b/>
          <w:bCs/>
        </w:rPr>
        <w:lastRenderedPageBreak/>
        <w:t>Trnavskí colníci zaistili „</w:t>
      </w:r>
      <w:proofErr w:type="spellStart"/>
      <w:r w:rsidRPr="0031735A">
        <w:rPr>
          <w:b/>
          <w:bCs/>
        </w:rPr>
        <w:t>fejkové</w:t>
      </w:r>
      <w:proofErr w:type="spellEnd"/>
      <w:r w:rsidRPr="0031735A">
        <w:rPr>
          <w:b/>
          <w:bCs/>
        </w:rPr>
        <w:t xml:space="preserve">“ hračky a zimné bundy </w:t>
      </w:r>
    </w:p>
    <w:p w:rsidR="00652FC8" w:rsidRDefault="00C04CFA" w:rsidP="00F71C31">
      <w:pPr>
        <w:tabs>
          <w:tab w:val="left" w:pos="709"/>
        </w:tabs>
        <w:spacing w:after="0"/>
        <w:jc w:val="both"/>
      </w:pPr>
      <w:r w:rsidRPr="0034580B">
        <w:t>Trnavskí colníci v Dunajskej Strede a v Brodskom zaistili takmer 12 000 falzifikátov. Okrem toho neprepustili do predaja viac ako 5 000 hračiek a slnečných okuliarov, ktoré nespĺňali normy E</w:t>
      </w:r>
      <w:r w:rsidR="007251A9">
        <w:t>Ú</w:t>
      </w:r>
      <w:r w:rsidRPr="0034580B">
        <w:t xml:space="preserve">. Odhadovaná škoda zaistených falzifikátov bola vyčíslená na takmer </w:t>
      </w:r>
      <w:r w:rsidR="007251A9">
        <w:t xml:space="preserve">0,5 </w:t>
      </w:r>
      <w:r w:rsidRPr="0034580B">
        <w:t xml:space="preserve">milióna </w:t>
      </w:r>
      <w:r w:rsidR="007251A9">
        <w:t>EUR</w:t>
      </w:r>
      <w:r w:rsidRPr="0034580B">
        <w:t xml:space="preserve">. </w:t>
      </w:r>
      <w:r w:rsidRPr="00C04CFA">
        <w:t xml:space="preserve">Prvý prípad je z Dunajskej Stredy. Pri kontrole kontajnera z Číny colníci zaistili </w:t>
      </w:r>
      <w:r w:rsidRPr="0034580B">
        <w:t>9 216 falzifikátov hračiek a detských tričiek</w:t>
      </w:r>
      <w:r w:rsidRPr="00C04CFA">
        <w:t xml:space="preserve">. Išlo o napodobeniny ochranných známok BEYBLADE, BMW, </w:t>
      </w:r>
      <w:proofErr w:type="spellStart"/>
      <w:r w:rsidRPr="00C04CFA">
        <w:t>Franklin</w:t>
      </w:r>
      <w:proofErr w:type="spellEnd"/>
      <w:r w:rsidRPr="00C04CFA">
        <w:t xml:space="preserve"> &amp; </w:t>
      </w:r>
      <w:proofErr w:type="spellStart"/>
      <w:r w:rsidRPr="00C04CFA">
        <w:t>Marshall</w:t>
      </w:r>
      <w:proofErr w:type="spellEnd"/>
      <w:r w:rsidRPr="00C04CFA">
        <w:t xml:space="preserve">. Tovar bol určený na slovenský a maďarský trh. Odhadovaná škoda, ktorá by vznikla ich predajom na trhu, bola predbežne vyčíslená na </w:t>
      </w:r>
      <w:r w:rsidRPr="0034580B">
        <w:t xml:space="preserve">156 528 </w:t>
      </w:r>
      <w:r w:rsidR="007251A9">
        <w:t>EUR</w:t>
      </w:r>
      <w:r w:rsidRPr="0034580B">
        <w:t>.</w:t>
      </w:r>
      <w:r w:rsidRPr="00C04CFA">
        <w:t xml:space="preserve"> Z ďalšej čínskej zásielky colníci neprepustili do predaja 2 604 hračiek, 2 500 slnečných okuliarov. </w:t>
      </w:r>
      <w:r w:rsidRPr="0034580B">
        <w:t>V spolupráci so SOI</w:t>
      </w:r>
      <w:r w:rsidRPr="00C04CFA">
        <w:t xml:space="preserve"> colníci zistili, že tovar nespĺňa európske kritériá o bezpečnosti hračiek a tovar do voľného obehu neprepustili. Hračky boli vyrobené v Číne a boli určené  pre slovenské obchody. V rovnakom čase zaisťovali „</w:t>
      </w:r>
      <w:proofErr w:type="spellStart"/>
      <w:r w:rsidRPr="00C04CFA">
        <w:t>fejky</w:t>
      </w:r>
      <w:proofErr w:type="spellEnd"/>
      <w:r w:rsidRPr="00C04CFA">
        <w:t xml:space="preserve">“ aj colníci v Brodskom. Počas kontroly zásielky našli </w:t>
      </w:r>
      <w:r w:rsidRPr="0034580B">
        <w:t>2 699 falzifikátov pánskych zimných búnd</w:t>
      </w:r>
      <w:r w:rsidRPr="00C04CFA">
        <w:t xml:space="preserve">, ktoré boli falzifikátmi značiek </w:t>
      </w:r>
      <w:proofErr w:type="spellStart"/>
      <w:r w:rsidRPr="00C04CFA">
        <w:t>Camp</w:t>
      </w:r>
      <w:proofErr w:type="spellEnd"/>
      <w:r w:rsidRPr="00C04CFA">
        <w:t xml:space="preserve"> DAVID a NAPAPIJRI. Tovar pochádzal z Číny a bol určený na český trh. Odhadovaná škoda, ktorá by vznikla ich predajom na trhu, bola vyčíslená na </w:t>
      </w:r>
      <w:r w:rsidRPr="0034580B">
        <w:t xml:space="preserve">323 650 </w:t>
      </w:r>
      <w:r w:rsidR="007251A9">
        <w:t>EUR</w:t>
      </w:r>
      <w:r w:rsidRPr="00C04CFA">
        <w:t xml:space="preserve">. Tovar v oboch prípadoch videli aj zástupcovia majiteľov ochranných známok, ktorý potvrdili, že ide o falzifikáty. </w:t>
      </w:r>
    </w:p>
    <w:p w:rsidR="00F64F2C" w:rsidRDefault="00F64F2C" w:rsidP="0034580B">
      <w:pPr>
        <w:tabs>
          <w:tab w:val="left" w:pos="709"/>
        </w:tabs>
        <w:spacing w:after="0"/>
        <w:jc w:val="both"/>
      </w:pPr>
    </w:p>
    <w:p w:rsidR="00F64F2C" w:rsidRDefault="00F64F2C" w:rsidP="00C04CFA">
      <w:pPr>
        <w:tabs>
          <w:tab w:val="left" w:pos="709"/>
        </w:tabs>
        <w:spacing w:after="0" w:line="240" w:lineRule="auto"/>
        <w:jc w:val="both"/>
      </w:pPr>
    </w:p>
    <w:p w:rsidR="00D11B6C" w:rsidRDefault="00D11B6C" w:rsidP="00C04CFA">
      <w:pPr>
        <w:tabs>
          <w:tab w:val="left" w:pos="709"/>
        </w:tabs>
        <w:spacing w:after="0" w:line="240" w:lineRule="auto"/>
        <w:jc w:val="both"/>
      </w:pPr>
    </w:p>
    <w:p w:rsidR="00D11B6C" w:rsidRDefault="00D11B6C" w:rsidP="00C04CFA">
      <w:pPr>
        <w:tabs>
          <w:tab w:val="left" w:pos="709"/>
        </w:tabs>
        <w:spacing w:after="0" w:line="240" w:lineRule="auto"/>
        <w:jc w:val="both"/>
      </w:pPr>
    </w:p>
    <w:p w:rsidR="00F71C31" w:rsidRDefault="00F71C31" w:rsidP="00C04CFA">
      <w:pPr>
        <w:tabs>
          <w:tab w:val="left" w:pos="709"/>
        </w:tabs>
        <w:spacing w:after="0" w:line="240" w:lineRule="auto"/>
        <w:jc w:val="both"/>
      </w:pPr>
    </w:p>
    <w:p w:rsidR="00D11B6C" w:rsidRDefault="00D11B6C" w:rsidP="00C04CFA">
      <w:pPr>
        <w:tabs>
          <w:tab w:val="left" w:pos="709"/>
        </w:tabs>
        <w:spacing w:after="0" w:line="240" w:lineRule="auto"/>
        <w:jc w:val="both"/>
      </w:pPr>
    </w:p>
    <w:p w:rsidR="00D11B6C" w:rsidRDefault="00D11B6C" w:rsidP="00C04CFA">
      <w:pPr>
        <w:tabs>
          <w:tab w:val="left" w:pos="709"/>
        </w:tabs>
        <w:spacing w:after="0" w:line="240" w:lineRule="auto"/>
        <w:jc w:val="both"/>
      </w:pPr>
    </w:p>
    <w:p w:rsidR="007251A9" w:rsidRDefault="007251A9" w:rsidP="00C04CFA">
      <w:pPr>
        <w:tabs>
          <w:tab w:val="left" w:pos="709"/>
        </w:tabs>
        <w:spacing w:after="0" w:line="240" w:lineRule="auto"/>
        <w:jc w:val="both"/>
      </w:pPr>
    </w:p>
    <w:p w:rsidR="007251A9" w:rsidRDefault="007251A9" w:rsidP="00C04CFA">
      <w:pPr>
        <w:tabs>
          <w:tab w:val="left" w:pos="709"/>
        </w:tabs>
        <w:spacing w:after="0" w:line="240" w:lineRule="auto"/>
        <w:jc w:val="both"/>
      </w:pPr>
    </w:p>
    <w:p w:rsidR="007251A9" w:rsidRDefault="007251A9" w:rsidP="00C04CFA">
      <w:pPr>
        <w:tabs>
          <w:tab w:val="left" w:pos="709"/>
        </w:tabs>
        <w:spacing w:after="0" w:line="240" w:lineRule="auto"/>
        <w:jc w:val="both"/>
      </w:pPr>
    </w:p>
    <w:p w:rsidR="00282944" w:rsidRDefault="00282944" w:rsidP="00C04CFA">
      <w:pPr>
        <w:tabs>
          <w:tab w:val="left" w:pos="709"/>
        </w:tabs>
        <w:spacing w:after="0" w:line="240" w:lineRule="auto"/>
        <w:jc w:val="both"/>
      </w:pPr>
    </w:p>
    <w:p w:rsidR="00282944" w:rsidRDefault="00282944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6E58BF" w:rsidRDefault="006E58BF" w:rsidP="00C04CFA">
      <w:pPr>
        <w:tabs>
          <w:tab w:val="left" w:pos="709"/>
        </w:tabs>
        <w:spacing w:after="0" w:line="240" w:lineRule="auto"/>
        <w:jc w:val="both"/>
      </w:pPr>
    </w:p>
    <w:p w:rsidR="00282944" w:rsidRDefault="00282944" w:rsidP="00C04CFA">
      <w:pPr>
        <w:tabs>
          <w:tab w:val="left" w:pos="709"/>
        </w:tabs>
        <w:spacing w:after="0" w:line="240" w:lineRule="auto"/>
        <w:jc w:val="both"/>
      </w:pPr>
    </w:p>
    <w:p w:rsidR="00282944" w:rsidRDefault="00282944" w:rsidP="00C04CFA">
      <w:pPr>
        <w:tabs>
          <w:tab w:val="left" w:pos="709"/>
        </w:tabs>
        <w:spacing w:after="0" w:line="240" w:lineRule="auto"/>
        <w:jc w:val="both"/>
      </w:pPr>
    </w:p>
    <w:p w:rsidR="00282944" w:rsidRDefault="00282944" w:rsidP="00C04CFA">
      <w:pPr>
        <w:tabs>
          <w:tab w:val="left" w:pos="709"/>
        </w:tabs>
        <w:spacing w:after="0" w:line="240" w:lineRule="auto"/>
        <w:jc w:val="both"/>
      </w:pPr>
    </w:p>
    <w:p w:rsidR="00282944" w:rsidRDefault="00282944" w:rsidP="00C04CFA">
      <w:pPr>
        <w:tabs>
          <w:tab w:val="left" w:pos="709"/>
        </w:tabs>
        <w:spacing w:after="0" w:line="240" w:lineRule="auto"/>
        <w:jc w:val="both"/>
      </w:pPr>
    </w:p>
    <w:p w:rsidR="00D11B6C" w:rsidRPr="00534726" w:rsidRDefault="00F71C31" w:rsidP="00534726">
      <w:pPr>
        <w:pStyle w:val="Nadpis1"/>
      </w:pPr>
      <w:bookmarkStart w:id="16" w:name="_Toc384972207"/>
      <w:r>
        <w:lastRenderedPageBreak/>
        <w:t>6</w:t>
      </w:r>
      <w:r w:rsidR="00534726">
        <w:t xml:space="preserve">. </w:t>
      </w:r>
      <w:r w:rsidR="008131ED" w:rsidRPr="00534726">
        <w:t>Š</w:t>
      </w:r>
      <w:r w:rsidR="00D42502" w:rsidRPr="00534726">
        <w:t>koliace aktivity</w:t>
      </w:r>
      <w:bookmarkEnd w:id="16"/>
    </w:p>
    <w:p w:rsidR="00346988" w:rsidRDefault="00F71C31" w:rsidP="00534726">
      <w:pPr>
        <w:pStyle w:val="Nadpis2"/>
      </w:pPr>
      <w:bookmarkStart w:id="17" w:name="_Toc384972208"/>
      <w:r>
        <w:t>6</w:t>
      </w:r>
      <w:r w:rsidR="00346988" w:rsidRPr="008131ED">
        <w:t xml:space="preserve">.1 </w:t>
      </w:r>
      <w:r w:rsidR="00D70C87" w:rsidRPr="008131ED">
        <w:t>OCKÚ OLAF</w:t>
      </w:r>
      <w:bookmarkEnd w:id="17"/>
      <w:r w:rsidR="00D70C87" w:rsidRPr="0034580B">
        <w:t xml:space="preserve"> </w:t>
      </w:r>
    </w:p>
    <w:p w:rsidR="00504522" w:rsidRPr="00D70C87" w:rsidRDefault="00346988" w:rsidP="008131ED">
      <w:pPr>
        <w:spacing w:before="100" w:beforeAutospacing="1" w:after="0"/>
        <w:jc w:val="both"/>
      </w:pPr>
      <w:r>
        <w:t xml:space="preserve">OCKÚ OLAF </w:t>
      </w:r>
      <w:r w:rsidR="00D70C87">
        <w:t>realizoval</w:t>
      </w:r>
      <w:r w:rsidR="00504522" w:rsidRPr="00D70C87">
        <w:t xml:space="preserve"> v roku 2013 školenia zamerané na oblasť ochrany finančných záujmov Európskej únie v zmysle Plánu vzdelávania v oblasti ochrany finančných záujmov EÚ na rok 2013, ktorý bol schválený Riadiacim výborom v súlade s Akčným plánom k Národnej stratégii ochrany finančných záujmov Európskej únie v Slovenskej republike. V rámci ochrany finančných záujmov EÚ </w:t>
      </w:r>
      <w:r w:rsidR="00D70C87">
        <w:t xml:space="preserve">OCKÚ OLAF </w:t>
      </w:r>
      <w:r w:rsidR="00504522" w:rsidRPr="00D70C87">
        <w:t>vyškolil</w:t>
      </w:r>
      <w:r w:rsidR="00D70C87">
        <w:t xml:space="preserve"> </w:t>
      </w:r>
      <w:r w:rsidR="002B6DE7">
        <w:t xml:space="preserve">na </w:t>
      </w:r>
      <w:r w:rsidR="00504522" w:rsidRPr="00D70C87">
        <w:rPr>
          <w:b/>
        </w:rPr>
        <w:t>11 seminároch celkom 639 zamestnancov verejnej správy</w:t>
      </w:r>
      <w:r w:rsidR="00504522" w:rsidRPr="00D70C87">
        <w:t xml:space="preserve"> pod</w:t>
      </w:r>
      <w:r w:rsidR="007251A9">
        <w:t xml:space="preserve">ieľajúcich sa na implementačnom </w:t>
      </w:r>
      <w:r w:rsidR="00504522" w:rsidRPr="00D70C87">
        <w:t>a kontrolnom systéme štrukturálnych fondov a Kohézneho fondu, poľnohospodárskych fondov a tradičných vlastných zdrojov. Išlo o zamestnancov riadiacich orgánov, sprostredkovateľských orgánov pod riadiacimi orgánmi, implementačných agentúr, orgánov kontroly a auditu a subjektov finančnej správy SR, prokuratúry a policajných zložiek.</w:t>
      </w:r>
    </w:p>
    <w:p w:rsidR="00B223A6" w:rsidRDefault="00B223A6" w:rsidP="0048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522" w:rsidRPr="00B223A6" w:rsidRDefault="00984775" w:rsidP="00B223A6">
      <w:pPr>
        <w:spacing w:after="0" w:line="240" w:lineRule="auto"/>
        <w:rPr>
          <w:b/>
        </w:rPr>
      </w:pPr>
      <w:r w:rsidRPr="00B223A6">
        <w:rPr>
          <w:b/>
        </w:rPr>
        <w:t>Prehľad</w:t>
      </w:r>
      <w:r w:rsidR="00484782" w:rsidRPr="00B223A6">
        <w:rPr>
          <w:b/>
        </w:rPr>
        <w:t xml:space="preserve"> u</w:t>
      </w:r>
      <w:r w:rsidRPr="00B223A6">
        <w:rPr>
          <w:b/>
        </w:rPr>
        <w:t>skutočnených</w:t>
      </w:r>
      <w:r w:rsidR="00484782" w:rsidRPr="00B223A6">
        <w:rPr>
          <w:b/>
        </w:rPr>
        <w:t xml:space="preserve"> </w:t>
      </w:r>
      <w:r w:rsidRPr="00B223A6">
        <w:rPr>
          <w:b/>
        </w:rPr>
        <w:t>vzdelávacích</w:t>
      </w:r>
      <w:r w:rsidR="00484782" w:rsidRPr="00B223A6">
        <w:rPr>
          <w:b/>
        </w:rPr>
        <w:t xml:space="preserve"> aktivít</w:t>
      </w:r>
      <w:r w:rsidR="00504522" w:rsidRPr="00B223A6">
        <w:rPr>
          <w:b/>
        </w:rPr>
        <w:t xml:space="preserve"> </w:t>
      </w:r>
      <w:r w:rsidR="00B223A6" w:rsidRPr="00B223A6">
        <w:rPr>
          <w:b/>
        </w:rPr>
        <w:t>v roku 2013</w:t>
      </w:r>
      <w:r w:rsidR="00504522" w:rsidRPr="00B223A6">
        <w:rPr>
          <w:b/>
        </w:rPr>
        <w:t xml:space="preserve">                                                                                                                     </w:t>
      </w:r>
    </w:p>
    <w:p w:rsidR="00484782" w:rsidRPr="00504522" w:rsidRDefault="00484782" w:rsidP="00B2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22"/>
        <w:tblW w:w="0" w:type="auto"/>
        <w:tblLook w:val="04A0" w:firstRow="1" w:lastRow="0" w:firstColumn="1" w:lastColumn="0" w:noHBand="0" w:noVBand="1"/>
      </w:tblPr>
      <w:tblGrid>
        <w:gridCol w:w="804"/>
        <w:gridCol w:w="8484"/>
      </w:tblGrid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</w:pPr>
          </w:p>
        </w:tc>
        <w:tc>
          <w:tcPr>
            <w:tcW w:w="8484" w:type="dxa"/>
          </w:tcPr>
          <w:p w:rsidR="00504522" w:rsidRPr="00D70C87" w:rsidRDefault="00504522" w:rsidP="00346988">
            <w:pPr>
              <w:jc w:val="both"/>
            </w:pPr>
            <w:proofErr w:type="spellStart"/>
            <w:r w:rsidRPr="00D70C87">
              <w:t>Forenzný</w:t>
            </w:r>
            <w:proofErr w:type="spellEnd"/>
            <w:r w:rsidRPr="00D70C87">
              <w:t xml:space="preserve"> audit</w:t>
            </w:r>
            <w:r w:rsidR="002B6DE7">
              <w:t xml:space="preserve"> – v spolupráci s  NAKA</w:t>
            </w:r>
          </w:p>
        </w:tc>
      </w:tr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</w:pPr>
          </w:p>
        </w:tc>
        <w:tc>
          <w:tcPr>
            <w:tcW w:w="8484" w:type="dxa"/>
          </w:tcPr>
          <w:p w:rsidR="00504522" w:rsidRPr="00D70C87" w:rsidRDefault="00504522" w:rsidP="00346988">
            <w:pPr>
              <w:jc w:val="both"/>
            </w:pPr>
            <w:r w:rsidRPr="00D70C87">
              <w:t>Nezrovnalosti v poľnohospodárskych fondoch v podmienkach Slovenskej republiky</w:t>
            </w:r>
            <w:r w:rsidR="00AD0177">
              <w:t xml:space="preserve"> – v spolupráci s</w:t>
            </w:r>
            <w:r w:rsidR="00346988">
              <w:t> </w:t>
            </w:r>
            <w:r w:rsidR="00984775">
              <w:t>M</w:t>
            </w:r>
            <w:r w:rsidR="00346988">
              <w:t>PRV SR a PPA</w:t>
            </w:r>
          </w:p>
        </w:tc>
      </w:tr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</w:pPr>
          </w:p>
        </w:tc>
        <w:tc>
          <w:tcPr>
            <w:tcW w:w="8484" w:type="dxa"/>
          </w:tcPr>
          <w:p w:rsidR="00504522" w:rsidRPr="00D70C87" w:rsidRDefault="00504522" w:rsidP="00504522">
            <w:pPr>
              <w:jc w:val="both"/>
            </w:pPr>
            <w:r w:rsidRPr="00D70C87">
              <w:t>Národná kriminálna agentúra P PZ a ochrana finančných záujmov Európskej únie</w:t>
            </w:r>
          </w:p>
          <w:p w:rsidR="00504522" w:rsidRPr="00D70C87" w:rsidRDefault="00504522" w:rsidP="00984775">
            <w:pPr>
              <w:jc w:val="both"/>
            </w:pPr>
            <w:r w:rsidRPr="00B223A6">
              <w:t>(</w:t>
            </w:r>
            <w:r w:rsidR="00984775" w:rsidRPr="00B223A6">
              <w:t>2 školenia</w:t>
            </w:r>
            <w:r w:rsidRPr="00B223A6">
              <w:t>)</w:t>
            </w:r>
            <w:r w:rsidR="002B6DE7">
              <w:t xml:space="preserve"> – v spolupráci s NAKA a CKO </w:t>
            </w:r>
          </w:p>
        </w:tc>
      </w:tr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</w:pPr>
          </w:p>
        </w:tc>
        <w:tc>
          <w:tcPr>
            <w:tcW w:w="8484" w:type="dxa"/>
          </w:tcPr>
          <w:p w:rsidR="00504522" w:rsidRPr="00D70C87" w:rsidRDefault="00504522" w:rsidP="00504522">
            <w:pPr>
              <w:jc w:val="both"/>
            </w:pPr>
            <w:r w:rsidRPr="00D70C87">
              <w:t>Ochrana finančných záujmov Európskej únie v podmienkach Slovenskej republiky</w:t>
            </w:r>
          </w:p>
        </w:tc>
      </w:tr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</w:pPr>
          </w:p>
        </w:tc>
        <w:tc>
          <w:tcPr>
            <w:tcW w:w="8484" w:type="dxa"/>
          </w:tcPr>
          <w:p w:rsidR="00504522" w:rsidRPr="00D70C87" w:rsidRDefault="00504522" w:rsidP="00504522">
            <w:pPr>
              <w:jc w:val="both"/>
            </w:pPr>
            <w:r w:rsidRPr="00D70C87">
              <w:t>Mechanizmy daňových podvodov DPH a odhaľovanie podozrení z podvodov počas výkonu daňovej kontroly v súvislosti s ochranou finančných záujmov Európskej únie</w:t>
            </w:r>
            <w:r w:rsidR="002B6DE7">
              <w:t xml:space="preserve"> – v spolupráci s FS SR</w:t>
            </w:r>
          </w:p>
        </w:tc>
      </w:tr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numPr>
                <w:ilvl w:val="0"/>
                <w:numId w:val="14"/>
              </w:numPr>
              <w:ind w:left="284" w:hanging="284"/>
              <w:contextualSpacing/>
              <w:jc w:val="both"/>
            </w:pPr>
          </w:p>
        </w:tc>
        <w:tc>
          <w:tcPr>
            <w:tcW w:w="8484" w:type="dxa"/>
          </w:tcPr>
          <w:p w:rsidR="00504522" w:rsidRPr="00D70C87" w:rsidRDefault="00504522" w:rsidP="00504522">
            <w:pPr>
              <w:jc w:val="both"/>
            </w:pPr>
            <w:r w:rsidRPr="00D70C87">
              <w:t>Verejné obstarávanie v Slovenskej republike po 01. 07. 2013</w:t>
            </w:r>
            <w:r w:rsidR="002B6DE7">
              <w:t xml:space="preserve"> – v spolupráci s ÚVO</w:t>
            </w:r>
          </w:p>
        </w:tc>
      </w:tr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jc w:val="both"/>
            </w:pPr>
            <w:r w:rsidRPr="00D70C87">
              <w:t>7.</w:t>
            </w:r>
          </w:p>
        </w:tc>
        <w:tc>
          <w:tcPr>
            <w:tcW w:w="8484" w:type="dxa"/>
          </w:tcPr>
          <w:p w:rsidR="00504522" w:rsidRPr="00D70C87" w:rsidRDefault="00504522" w:rsidP="00504522">
            <w:pPr>
              <w:jc w:val="both"/>
            </w:pPr>
            <w:r w:rsidRPr="00D70C87">
              <w:t>Kontrola a audit v rámci implementácie finančnej pomoc Európskej únie v podmienkach Slovenskej republiky</w:t>
            </w:r>
            <w:r w:rsidR="00AD0177">
              <w:t xml:space="preserve"> – v spolupráci s</w:t>
            </w:r>
            <w:r w:rsidR="00346988">
              <w:t xml:space="preserve"> MF SR a </w:t>
            </w:r>
            <w:r w:rsidR="00CC4CD8">
              <w:t xml:space="preserve">NKÚ </w:t>
            </w:r>
            <w:r w:rsidR="007251A9">
              <w:t>SR</w:t>
            </w:r>
          </w:p>
        </w:tc>
      </w:tr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jc w:val="both"/>
            </w:pPr>
            <w:r w:rsidRPr="00D70C87">
              <w:t>8.</w:t>
            </w:r>
          </w:p>
        </w:tc>
        <w:tc>
          <w:tcPr>
            <w:tcW w:w="8484" w:type="dxa"/>
          </w:tcPr>
          <w:p w:rsidR="00504522" w:rsidRPr="00D70C87" w:rsidRDefault="00504522" w:rsidP="00346988">
            <w:pPr>
              <w:jc w:val="both"/>
            </w:pPr>
            <w:r w:rsidRPr="00D70C87">
              <w:t>Nezrovnalosti v štrukturálnych fondoch a Kohéznom fonde v podmienkach Slovenskej republiky</w:t>
            </w:r>
            <w:r w:rsidR="00AD0177">
              <w:t xml:space="preserve"> </w:t>
            </w:r>
            <w:r w:rsidR="00AD0177" w:rsidRPr="00B223A6">
              <w:t>- v spolupráci s</w:t>
            </w:r>
            <w:r w:rsidR="00CC4CD8" w:rsidRPr="00B223A6">
              <w:t> </w:t>
            </w:r>
            <w:r w:rsidR="00346988" w:rsidRPr="00B223A6">
              <w:t>CKO</w:t>
            </w:r>
          </w:p>
        </w:tc>
      </w:tr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jc w:val="both"/>
            </w:pPr>
            <w:r w:rsidRPr="00D70C87">
              <w:t>9.</w:t>
            </w:r>
          </w:p>
        </w:tc>
        <w:tc>
          <w:tcPr>
            <w:tcW w:w="8484" w:type="dxa"/>
          </w:tcPr>
          <w:p w:rsidR="00504522" w:rsidRPr="00D70C87" w:rsidRDefault="00504522" w:rsidP="00504522">
            <w:pPr>
              <w:jc w:val="both"/>
            </w:pPr>
            <w:r w:rsidRPr="00D70C87">
              <w:t>Dohľad vo verejnom obstarávaní</w:t>
            </w:r>
            <w:r w:rsidR="00346988">
              <w:t xml:space="preserve"> - </w:t>
            </w:r>
            <w:r w:rsidR="00346988" w:rsidRPr="00346988">
              <w:t>v spolupráci s ÚVO</w:t>
            </w:r>
          </w:p>
        </w:tc>
      </w:tr>
      <w:tr w:rsidR="00504522" w:rsidRPr="00504522" w:rsidTr="00504522">
        <w:tc>
          <w:tcPr>
            <w:tcW w:w="804" w:type="dxa"/>
          </w:tcPr>
          <w:p w:rsidR="00504522" w:rsidRPr="00D70C87" w:rsidRDefault="00504522" w:rsidP="00504522">
            <w:pPr>
              <w:jc w:val="both"/>
            </w:pPr>
            <w:r w:rsidRPr="00D70C87">
              <w:t>10.</w:t>
            </w:r>
          </w:p>
        </w:tc>
        <w:tc>
          <w:tcPr>
            <w:tcW w:w="8484" w:type="dxa"/>
          </w:tcPr>
          <w:p w:rsidR="00504522" w:rsidRPr="00D70C87" w:rsidRDefault="00504522" w:rsidP="00504522">
            <w:pPr>
              <w:jc w:val="both"/>
            </w:pPr>
            <w:r w:rsidRPr="00D70C87">
              <w:t>Nezrovnalosti v oblasti tradičných vlastných zdrojov rozpočtu Európskej únie v podmienkach Slovenskej republiky</w:t>
            </w:r>
            <w:r w:rsidR="00346988">
              <w:t xml:space="preserve"> </w:t>
            </w:r>
            <w:r w:rsidR="00346988" w:rsidRPr="00B223A6">
              <w:t>- v spolupráci s FS SR</w:t>
            </w:r>
          </w:p>
        </w:tc>
      </w:tr>
    </w:tbl>
    <w:p w:rsidR="00504522" w:rsidRPr="00D70C87" w:rsidRDefault="00504522" w:rsidP="00504522">
      <w:pPr>
        <w:spacing w:after="0" w:line="240" w:lineRule="auto"/>
        <w:jc w:val="both"/>
      </w:pPr>
    </w:p>
    <w:p w:rsidR="00504522" w:rsidRPr="00504522" w:rsidRDefault="0034580B" w:rsidP="00504522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0792C4F3" wp14:editId="249A508E">
            <wp:extent cx="3248024" cy="2438400"/>
            <wp:effectExtent l="0" t="0" r="0" b="0"/>
            <wp:docPr id="1" name="Obrázok 1" descr="C:\Users\prievalska\Desktop\Foto semináre 2012\seminár IRR v ŠF a KF\IMG_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valska\Desktop\Foto semináre 2012\seminár IRR v ŠF a KF\IMG_206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74" cy="24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C4" w:rsidRDefault="00382BC4" w:rsidP="00382BC4">
      <w:pPr>
        <w:jc w:val="both"/>
      </w:pPr>
      <w:r>
        <w:t xml:space="preserve">        </w:t>
      </w:r>
    </w:p>
    <w:p w:rsidR="00346988" w:rsidRDefault="00F71C31" w:rsidP="00B223A6">
      <w:pPr>
        <w:pStyle w:val="Nadpis2"/>
      </w:pPr>
      <w:bookmarkStart w:id="18" w:name="_Toc384972209"/>
      <w:r>
        <w:lastRenderedPageBreak/>
        <w:t>6</w:t>
      </w:r>
      <w:r w:rsidR="00346988">
        <w:t>.2 Ostatní sieťoví partneri</w:t>
      </w:r>
      <w:bookmarkEnd w:id="18"/>
    </w:p>
    <w:p w:rsidR="00346988" w:rsidRDefault="00346988" w:rsidP="007627AD">
      <w:pPr>
        <w:spacing w:after="0" w:line="240" w:lineRule="auto"/>
        <w:jc w:val="both"/>
        <w:rPr>
          <w:b/>
        </w:rPr>
      </w:pPr>
    </w:p>
    <w:p w:rsidR="007251A9" w:rsidRDefault="007627AD" w:rsidP="007251A9">
      <w:pPr>
        <w:spacing w:after="0" w:line="240" w:lineRule="auto"/>
        <w:jc w:val="both"/>
      </w:pPr>
      <w:r w:rsidRPr="00CC4CD8">
        <w:rPr>
          <w:b/>
        </w:rPr>
        <w:t xml:space="preserve">FS SR </w:t>
      </w:r>
      <w:r w:rsidRPr="00E322C8">
        <w:t>participuje na medzinárodných programoch a</w:t>
      </w:r>
      <w:r w:rsidR="0075533B">
        <w:t xml:space="preserve"> zamestnanci </w:t>
      </w:r>
      <w:r w:rsidRPr="00E322C8">
        <w:t xml:space="preserve">FS SR sa zúčastňujú </w:t>
      </w:r>
      <w:r w:rsidR="0075533B">
        <w:t xml:space="preserve">na </w:t>
      </w:r>
      <w:r w:rsidRPr="00E322C8">
        <w:t>rôznych školiacich aktiv</w:t>
      </w:r>
      <w:r w:rsidR="0014435D">
        <w:t>i</w:t>
      </w:r>
      <w:r w:rsidRPr="00E322C8">
        <w:t>t</w:t>
      </w:r>
      <w:r w:rsidR="0075533B">
        <w:t>ách</w:t>
      </w:r>
      <w:r w:rsidRPr="00E322C8">
        <w:t xml:space="preserve">, </w:t>
      </w:r>
      <w:proofErr w:type="spellStart"/>
      <w:r w:rsidRPr="00E322C8">
        <w:t>workshopo</w:t>
      </w:r>
      <w:r w:rsidR="0075533B">
        <w:t>ch</w:t>
      </w:r>
      <w:proofErr w:type="spellEnd"/>
      <w:r w:rsidRPr="00E322C8">
        <w:t xml:space="preserve"> a konferenci</w:t>
      </w:r>
      <w:r w:rsidR="0075533B">
        <w:t>ách</w:t>
      </w:r>
      <w:r w:rsidRPr="00E322C8">
        <w:t xml:space="preserve"> zameraných na predchádzanie a boj proti podvodom, korupcii a pašovaniu tovaru</w:t>
      </w:r>
      <w:r>
        <w:t xml:space="preserve"> (napr. v rámci programu „</w:t>
      </w:r>
      <w:proofErr w:type="spellStart"/>
      <w:r>
        <w:t>Hercule</w:t>
      </w:r>
      <w:proofErr w:type="spellEnd"/>
      <w:r>
        <w:t xml:space="preserve"> II“ Európskej komisie</w:t>
      </w:r>
      <w:r w:rsidR="0075533B">
        <w:t xml:space="preserve">, viď </w:t>
      </w:r>
      <w:r w:rsidR="00B223A6">
        <w:t>text nižšie</w:t>
      </w:r>
      <w:r>
        <w:t>)</w:t>
      </w:r>
      <w:r w:rsidRPr="00E322C8">
        <w:t xml:space="preserve">. </w:t>
      </w:r>
    </w:p>
    <w:p w:rsidR="007251A9" w:rsidRDefault="007251A9" w:rsidP="007251A9">
      <w:pPr>
        <w:spacing w:after="0" w:line="240" w:lineRule="auto"/>
        <w:jc w:val="both"/>
        <w:rPr>
          <w:b/>
        </w:rPr>
      </w:pPr>
    </w:p>
    <w:p w:rsidR="003365E9" w:rsidRDefault="00882954" w:rsidP="003365E9">
      <w:pPr>
        <w:jc w:val="both"/>
      </w:pPr>
      <w:r w:rsidRPr="00CC4CD8">
        <w:rPr>
          <w:b/>
        </w:rPr>
        <w:t>ÚVO</w:t>
      </w:r>
      <w:r w:rsidR="003365E9">
        <w:t xml:space="preserve"> org</w:t>
      </w:r>
      <w:r w:rsidR="00D70C87">
        <w:t>anizoval v roku 2013, v spoluprá</w:t>
      </w:r>
      <w:r w:rsidR="003365E9">
        <w:t>ci s</w:t>
      </w:r>
      <w:r>
        <w:t xml:space="preserve"> Inštitútom </w:t>
      </w:r>
      <w:r w:rsidR="00611774">
        <w:t xml:space="preserve">pre </w:t>
      </w:r>
      <w:r>
        <w:t>verejn</w:t>
      </w:r>
      <w:r w:rsidR="00611774">
        <w:t>ú</w:t>
      </w:r>
      <w:r>
        <w:t xml:space="preserve"> správ</w:t>
      </w:r>
      <w:r w:rsidR="00611774">
        <w:t>u</w:t>
      </w:r>
      <w:r>
        <w:t xml:space="preserve"> (</w:t>
      </w:r>
      <w:r w:rsidR="003365E9">
        <w:t>IVS</w:t>
      </w:r>
      <w:r>
        <w:t>)</w:t>
      </w:r>
      <w:r w:rsidR="003365E9">
        <w:t xml:space="preserve">, </w:t>
      </w:r>
      <w:r>
        <w:t>š</w:t>
      </w:r>
      <w:r w:rsidR="003365E9">
        <w:t>kolenia zameran</w:t>
      </w:r>
      <w:r>
        <w:t>é na novely zákona o verejnom obstará</w:t>
      </w:r>
      <w:r w:rsidR="003365E9">
        <w:t>van</w:t>
      </w:r>
      <w:r>
        <w:t>í</w:t>
      </w:r>
      <w:r w:rsidR="003365E9">
        <w:t xml:space="preserve"> prijat</w:t>
      </w:r>
      <w:r>
        <w:t>é</w:t>
      </w:r>
      <w:r w:rsidR="003365E9">
        <w:t xml:space="preserve"> v roku 2013. </w:t>
      </w:r>
      <w:r>
        <w:t>Ď</w:t>
      </w:r>
      <w:r w:rsidR="003365E9">
        <w:t>a</w:t>
      </w:r>
      <w:r>
        <w:t>lší</w:t>
      </w:r>
      <w:r w:rsidR="003365E9">
        <w:t xml:space="preserve"> okruh </w:t>
      </w:r>
      <w:r>
        <w:t>š</w:t>
      </w:r>
      <w:r w:rsidR="003365E9">
        <w:t>kolen</w:t>
      </w:r>
      <w:r>
        <w:t>í</w:t>
      </w:r>
      <w:r w:rsidR="003365E9">
        <w:t xml:space="preserve"> bol zameran</w:t>
      </w:r>
      <w:r>
        <w:t>ý na dohľ</w:t>
      </w:r>
      <w:r w:rsidR="003365E9">
        <w:t>ad nad verejn</w:t>
      </w:r>
      <w:r>
        <w:t>ým obstará</w:t>
      </w:r>
      <w:r w:rsidR="003365E9">
        <w:t>van</w:t>
      </w:r>
      <w:r>
        <w:t>í</w:t>
      </w:r>
      <w:r w:rsidR="003365E9">
        <w:t xml:space="preserve">m. </w:t>
      </w:r>
      <w:r w:rsidR="00611774">
        <w:t>Celkovo sa na uskutočnených školeniach zúčastnilo viac ako 150 záujemcov s celoslovenským zastúpením.</w:t>
      </w:r>
      <w:r w:rsidR="003365E9">
        <w:t xml:space="preserve"> </w:t>
      </w:r>
    </w:p>
    <w:p w:rsidR="00F45BFA" w:rsidRDefault="00F45BFA" w:rsidP="00F45BFA">
      <w:pPr>
        <w:jc w:val="both"/>
        <w:rPr>
          <w:b/>
        </w:rPr>
      </w:pPr>
      <w:r w:rsidRPr="0078436D">
        <w:rPr>
          <w:b/>
          <w:bCs/>
        </w:rPr>
        <w:t>MF SR</w:t>
      </w:r>
      <w:r w:rsidRPr="0078436D">
        <w:rPr>
          <w:b/>
        </w:rPr>
        <w:t xml:space="preserve"> </w:t>
      </w:r>
      <w:r w:rsidRPr="00F45BFA">
        <w:t>v roku 2013 zorgan</w:t>
      </w:r>
      <w:r w:rsidR="0078436D">
        <w:t xml:space="preserve">izovalo </w:t>
      </w:r>
      <w:r w:rsidR="0078436D" w:rsidRPr="00CC4CD8">
        <w:t>15 externých a 6 interných</w:t>
      </w:r>
      <w:r w:rsidRPr="00CC4CD8">
        <w:t xml:space="preserve"> školen</w:t>
      </w:r>
      <w:r w:rsidR="0078436D" w:rsidRPr="00CC4CD8">
        <w:t>í</w:t>
      </w:r>
      <w:r w:rsidRPr="00F45BFA">
        <w:t>, týkajúc</w:t>
      </w:r>
      <w:r w:rsidR="0078436D">
        <w:t>ich</w:t>
      </w:r>
      <w:r w:rsidRPr="00F45BFA">
        <w:t xml:space="preserve"> sa problematiky nezrovnalostí  evidovaných v systéme ITMS a ISUF pre riadiace a sprostredkovateľské orgány, MZ SR, ÚV SR, správy finančnej kontroly (SFK) a orgán auditu (OA). Celkovo bolo preškolených </w:t>
      </w:r>
      <w:r w:rsidRPr="0005086A">
        <w:rPr>
          <w:b/>
        </w:rPr>
        <w:t xml:space="preserve">321 pracovníkov. </w:t>
      </w:r>
      <w:r w:rsidR="008B6618" w:rsidRPr="006E58BF">
        <w:t xml:space="preserve">Sekcia auditu a kontroly MF SR organizovala v roku 2013 </w:t>
      </w:r>
      <w:r w:rsidR="008B6618" w:rsidRPr="008B6618">
        <w:rPr>
          <w:b/>
        </w:rPr>
        <w:t>4 školenia</w:t>
      </w:r>
      <w:r w:rsidR="008B6618" w:rsidRPr="006E58BF">
        <w:t xml:space="preserve"> (Nezrovnalosti, finančné opravy a </w:t>
      </w:r>
      <w:proofErr w:type="spellStart"/>
      <w:r w:rsidR="008B6618" w:rsidRPr="006E58BF">
        <w:t>vysporiadanie</w:t>
      </w:r>
      <w:proofErr w:type="spellEnd"/>
      <w:r w:rsidR="008B6618" w:rsidRPr="006E58BF">
        <w:t xml:space="preserve"> finančných vzťahov fondov EÚ a s tým spojené právne predpisy), ktoré sa konali v jednotlivých Správach finančných kontrol a celkovo bolo preškolených </w:t>
      </w:r>
      <w:r w:rsidR="008B6618" w:rsidRPr="008B6618">
        <w:rPr>
          <w:b/>
        </w:rPr>
        <w:t>95 pracovníkov.</w:t>
      </w:r>
    </w:p>
    <w:p w:rsidR="006A5583" w:rsidRDefault="0014475C" w:rsidP="00534726">
      <w:pPr>
        <w:jc w:val="both"/>
      </w:pPr>
      <w:r w:rsidRPr="006E58BF">
        <w:rPr>
          <w:b/>
        </w:rPr>
        <w:t xml:space="preserve">CKO </w:t>
      </w:r>
      <w:r w:rsidRPr="00EA1BF2">
        <w:t xml:space="preserve">v rámci svojich školení </w:t>
      </w:r>
      <w:r>
        <w:t>a</w:t>
      </w:r>
      <w:r w:rsidRPr="00EA1BF2">
        <w:t xml:space="preserve"> aplikácie systému riadenia vykonáva školiacu činnosť aj s dopadom na ochranu finančných záujmov</w:t>
      </w:r>
      <w:r>
        <w:t>, napr. š</w:t>
      </w:r>
      <w:r w:rsidRPr="00F44BDC">
        <w:t>kolenia</w:t>
      </w:r>
      <w:r w:rsidRPr="0028021A">
        <w:t xml:space="preserve"> </w:t>
      </w:r>
      <w:r w:rsidRPr="006E58BF">
        <w:t>v oblasti kontroly verejného obstarávania</w:t>
      </w:r>
      <w:r>
        <w:t xml:space="preserve"> v procese poskytovania prostriedkov EÚ. </w:t>
      </w:r>
    </w:p>
    <w:p w:rsidR="00AD6AEF" w:rsidRPr="00534726" w:rsidRDefault="006B39B9" w:rsidP="00534726">
      <w:pPr>
        <w:jc w:val="both"/>
        <w:rPr>
          <w:rFonts w:ascii="Calibri" w:eastAsia="Calibri" w:hAnsi="Calibri" w:cs="Calibri"/>
          <w:lang w:eastAsia="sk-SK"/>
        </w:rPr>
      </w:pPr>
      <w:r>
        <w:rPr>
          <w:rFonts w:ascii="Calibri" w:eastAsia="Calibri" w:hAnsi="Calibri" w:cs="Calibri"/>
          <w:lang w:eastAsia="sk-SK"/>
        </w:rPr>
        <w:t>Ostatní sieťoví partneri neorganizovali školiace aktivity zamerané na oblasť OFZ EÚ avšak zúčastňovali sa na školeniach organizovaných v tejto oblasti OCKÚ OLAF a taktiež informovali o tejto problematike v prípade záujmu na školeniach</w:t>
      </w:r>
      <w:r w:rsidR="007251A9">
        <w:rPr>
          <w:rFonts w:ascii="Calibri" w:eastAsia="Calibri" w:hAnsi="Calibri" w:cs="Calibri"/>
          <w:lang w:eastAsia="sk-SK"/>
        </w:rPr>
        <w:t xml:space="preserve"> a </w:t>
      </w:r>
      <w:r>
        <w:rPr>
          <w:rFonts w:ascii="Calibri" w:eastAsia="Calibri" w:hAnsi="Calibri" w:cs="Calibri"/>
          <w:lang w:eastAsia="sk-SK"/>
        </w:rPr>
        <w:t xml:space="preserve">seminároch pre prijímateľov pomoci z prostriedkov EÚ. </w:t>
      </w:r>
    </w:p>
    <w:p w:rsidR="009F163B" w:rsidRDefault="00F71C31" w:rsidP="00281EA8">
      <w:pPr>
        <w:pStyle w:val="Nadpis2"/>
        <w:jc w:val="both"/>
      </w:pPr>
      <w:bookmarkStart w:id="19" w:name="_Toc384972210"/>
      <w:r>
        <w:t>6</w:t>
      </w:r>
      <w:r w:rsidR="009F163B" w:rsidRPr="0075533B">
        <w:t>.</w:t>
      </w:r>
      <w:r w:rsidR="0075533B" w:rsidRPr="0075533B">
        <w:t>3</w:t>
      </w:r>
      <w:r w:rsidR="009F163B" w:rsidRPr="0075533B">
        <w:t xml:space="preserve"> Aktivity zamerané na ochranu finančných záujmov EÚ </w:t>
      </w:r>
      <w:r w:rsidR="00534726">
        <w:t xml:space="preserve">– </w:t>
      </w:r>
      <w:r w:rsidR="009F163B" w:rsidRPr="0075533B">
        <w:t xml:space="preserve">program </w:t>
      </w:r>
      <w:r w:rsidR="0075533B">
        <w:t>E</w:t>
      </w:r>
      <w:r w:rsidR="00534726">
        <w:t xml:space="preserve">urópskej komisie </w:t>
      </w:r>
      <w:proofErr w:type="spellStart"/>
      <w:r w:rsidR="009F163B" w:rsidRPr="0075533B">
        <w:t>Hercule</w:t>
      </w:r>
      <w:bookmarkEnd w:id="19"/>
      <w:proofErr w:type="spellEnd"/>
      <w:r w:rsidR="009F163B" w:rsidRPr="0075533B">
        <w:t xml:space="preserve"> </w:t>
      </w:r>
    </w:p>
    <w:p w:rsidR="00534726" w:rsidRDefault="00534726" w:rsidP="00F64F2C">
      <w:pPr>
        <w:keepNext/>
        <w:tabs>
          <w:tab w:val="left" w:pos="709"/>
          <w:tab w:val="left" w:pos="5041"/>
          <w:tab w:val="left" w:pos="7201"/>
        </w:tabs>
        <w:spacing w:after="0"/>
        <w:jc w:val="both"/>
        <w:outlineLvl w:val="1"/>
      </w:pPr>
      <w:bookmarkStart w:id="20" w:name="_Toc384106392"/>
      <w:bookmarkStart w:id="21" w:name="_Toc384121109"/>
      <w:bookmarkStart w:id="22" w:name="_Toc384124792"/>
      <w:bookmarkStart w:id="23" w:name="_Toc384125398"/>
    </w:p>
    <w:p w:rsidR="00D80C5F" w:rsidRDefault="00534726" w:rsidP="00F64F2C">
      <w:pPr>
        <w:keepNext/>
        <w:tabs>
          <w:tab w:val="left" w:pos="709"/>
          <w:tab w:val="left" w:pos="5041"/>
          <w:tab w:val="left" w:pos="7201"/>
        </w:tabs>
        <w:spacing w:after="0"/>
        <w:jc w:val="both"/>
        <w:outlineLvl w:val="1"/>
      </w:pPr>
      <w:bookmarkStart w:id="24" w:name="_Toc384139217"/>
      <w:bookmarkStart w:id="25" w:name="_Toc384282274"/>
      <w:bookmarkStart w:id="26" w:name="_Toc384283236"/>
      <w:bookmarkStart w:id="27" w:name="_Toc384283345"/>
      <w:bookmarkStart w:id="28" w:name="_Toc384972211"/>
      <w:r>
        <w:t>E</w:t>
      </w:r>
      <w:r w:rsidR="00F0271F" w:rsidRPr="005F394B">
        <w:t xml:space="preserve">urópska komisia </w:t>
      </w:r>
      <w:r w:rsidR="000D2F7A" w:rsidRPr="005F394B">
        <w:t xml:space="preserve">má </w:t>
      </w:r>
      <w:r w:rsidR="005F394B" w:rsidRPr="005F394B">
        <w:t xml:space="preserve">už od roku 2004 </w:t>
      </w:r>
      <w:r w:rsidR="000D2F7A" w:rsidRPr="005F394B">
        <w:t>vytvorený program na podporu činností v oblasti ochrany finančných záujmov Európskej únie</w:t>
      </w:r>
      <w:r w:rsidR="00F0271F" w:rsidRPr="005F394B">
        <w:t xml:space="preserve">. </w:t>
      </w:r>
      <w:r w:rsidR="005F394B">
        <w:t xml:space="preserve">Momentálne implementuje program </w:t>
      </w:r>
      <w:proofErr w:type="spellStart"/>
      <w:r w:rsidR="005F394B">
        <w:t>Hercule</w:t>
      </w:r>
      <w:proofErr w:type="spellEnd"/>
      <w:r w:rsidR="005F394B">
        <w:t xml:space="preserve"> II. </w:t>
      </w:r>
      <w:r w:rsidR="00F0271F">
        <w:t xml:space="preserve">V roku 2013 prebiehalo legislatívne konanie </w:t>
      </w:r>
      <w:r w:rsidR="00F0271F" w:rsidRPr="00F0271F">
        <w:t>v súvislosti s</w:t>
      </w:r>
      <w:r w:rsidR="00F0271F">
        <w:t xml:space="preserve"> novým </w:t>
      </w:r>
      <w:r w:rsidR="00F0271F" w:rsidRPr="00F0271F">
        <w:t xml:space="preserve">programom </w:t>
      </w:r>
      <w:proofErr w:type="spellStart"/>
      <w:r w:rsidR="00F0271F" w:rsidRPr="00F0271F">
        <w:t>Hercule</w:t>
      </w:r>
      <w:proofErr w:type="spellEnd"/>
      <w:r w:rsidR="00F0271F" w:rsidRPr="00F0271F">
        <w:t xml:space="preserve"> III</w:t>
      </w:r>
      <w:r w:rsidR="005F394B">
        <w:t xml:space="preserve"> na obdobie 2014-2020</w:t>
      </w:r>
      <w:r w:rsidR="00F0271F" w:rsidRPr="00F0271F">
        <w:t>, ktorý predstavuje aktivity zamerané na ochranu finančných záujmov EÚ.</w:t>
      </w:r>
      <w:r w:rsidR="00D80C5F" w:rsidRPr="00D80C5F">
        <w:t xml:space="preserve"> </w:t>
      </w:r>
      <w:r w:rsidR="00D80C5F">
        <w:t xml:space="preserve">Hlavným cieľom programu </w:t>
      </w:r>
      <w:proofErr w:type="spellStart"/>
      <w:r w:rsidR="00D80C5F">
        <w:t>Hercule</w:t>
      </w:r>
      <w:proofErr w:type="spellEnd"/>
      <w:r w:rsidR="00D80C5F">
        <w:t xml:space="preserve"> III má byť ochrana finančných záujmov EÚ zvyšovaním konkurencieschopnosti ekonomiky EÚ a zabezpečenie ochrany peňazí daňových poplatníkov. Špecifickým cieľom má byť prevencia a boj proti podvodom, korupcii a  inej protiprávnej činnosti postihujúcej finančné záujmy EÚ.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D80C5F">
        <w:t xml:space="preserve"> </w:t>
      </w:r>
    </w:p>
    <w:p w:rsidR="00D80C5F" w:rsidRDefault="00D80C5F" w:rsidP="00F64F2C">
      <w:pPr>
        <w:keepNext/>
        <w:tabs>
          <w:tab w:val="left" w:pos="709"/>
          <w:tab w:val="left" w:pos="5041"/>
          <w:tab w:val="left" w:pos="7201"/>
        </w:tabs>
        <w:spacing w:after="0"/>
        <w:jc w:val="both"/>
        <w:outlineLvl w:val="1"/>
      </w:pPr>
    </w:p>
    <w:p w:rsidR="009F163B" w:rsidRDefault="00D80C5F" w:rsidP="00F64F2C">
      <w:pPr>
        <w:keepNext/>
        <w:tabs>
          <w:tab w:val="left" w:pos="709"/>
          <w:tab w:val="left" w:pos="5041"/>
          <w:tab w:val="left" w:pos="7201"/>
        </w:tabs>
        <w:spacing w:after="0"/>
        <w:jc w:val="both"/>
        <w:outlineLvl w:val="1"/>
      </w:pPr>
      <w:bookmarkStart w:id="29" w:name="_Toc384106393"/>
      <w:bookmarkStart w:id="30" w:name="_Toc384121110"/>
      <w:bookmarkStart w:id="31" w:name="_Toc384124793"/>
      <w:bookmarkStart w:id="32" w:name="_Toc384125399"/>
      <w:bookmarkStart w:id="33" w:name="_Toc384139218"/>
      <w:bookmarkStart w:id="34" w:name="_Toc384282275"/>
      <w:bookmarkStart w:id="35" w:name="_Toc384283237"/>
      <w:bookmarkStart w:id="36" w:name="_Toc384283346"/>
      <w:bookmarkStart w:id="37" w:name="_Toc384972212"/>
      <w:r w:rsidRPr="007251A9">
        <w:rPr>
          <w:b/>
        </w:rPr>
        <w:t>FS SR</w:t>
      </w:r>
      <w:r>
        <w:t xml:space="preserve"> realizovala resp. začala realizovať v</w:t>
      </w:r>
      <w:r w:rsidR="009F163B" w:rsidRPr="006F750D">
        <w:t xml:space="preserve"> rámci programu </w:t>
      </w:r>
      <w:proofErr w:type="spellStart"/>
      <w:r w:rsidR="009F163B" w:rsidRPr="006F750D">
        <w:t>Hercule</w:t>
      </w:r>
      <w:proofErr w:type="spellEnd"/>
      <w:r w:rsidR="009F163B" w:rsidRPr="006F750D">
        <w:t xml:space="preserve"> II </w:t>
      </w:r>
      <w:r>
        <w:t xml:space="preserve">v sledovanom období </w:t>
      </w:r>
      <w:r w:rsidR="009F163B" w:rsidRPr="006F750D">
        <w:t>nasledujúce projekty: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9F163B" w:rsidRPr="006F750D" w:rsidRDefault="009F163B" w:rsidP="009F163B">
      <w:pPr>
        <w:keepNext/>
        <w:tabs>
          <w:tab w:val="left" w:pos="709"/>
          <w:tab w:val="left" w:pos="5041"/>
          <w:tab w:val="left" w:pos="7201"/>
        </w:tabs>
        <w:spacing w:after="0" w:line="240" w:lineRule="auto"/>
        <w:jc w:val="both"/>
        <w:outlineLvl w:val="1"/>
      </w:pPr>
    </w:p>
    <w:p w:rsidR="009F163B" w:rsidRDefault="006A6E22" w:rsidP="00837C64">
      <w:pPr>
        <w:keepNext/>
        <w:numPr>
          <w:ilvl w:val="0"/>
          <w:numId w:val="27"/>
        </w:numPr>
        <w:tabs>
          <w:tab w:val="left" w:pos="5041"/>
          <w:tab w:val="left" w:pos="7201"/>
        </w:tabs>
        <w:spacing w:after="0"/>
        <w:ind w:left="426" w:hanging="426"/>
        <w:contextualSpacing/>
        <w:jc w:val="both"/>
        <w:outlineLvl w:val="1"/>
      </w:pPr>
      <w:bookmarkStart w:id="38" w:name="_Toc384106394"/>
      <w:bookmarkStart w:id="39" w:name="_Toc384121111"/>
      <w:bookmarkStart w:id="40" w:name="_Toc384124794"/>
      <w:bookmarkStart w:id="41" w:name="_Toc384125400"/>
      <w:bookmarkStart w:id="42" w:name="_Toc384139219"/>
      <w:bookmarkStart w:id="43" w:name="_Toc384282276"/>
      <w:bookmarkStart w:id="44" w:name="_Toc384283238"/>
      <w:bookmarkStart w:id="45" w:name="_Toc384283347"/>
      <w:bookmarkStart w:id="46" w:name="_Toc384972213"/>
      <w:r>
        <w:t xml:space="preserve">Projekt: </w:t>
      </w:r>
      <w:r w:rsidR="009F163B" w:rsidRPr="006F750D">
        <w:t>„Seminár v oblasti boja proti pašovaniu cigariet a nelegálnej výrobe tabakových výrobkov“. Projekt bol schválený Európskou komisiou v októbri 2013. Cieľom projektu je zrealizovať seminár v oblasti boja proti pašovaniu cigariet a nelegálnej výrobe tabakových výrobkov. Seminár je podľa programu rozdelený na 3 trojdňové cykly</w:t>
      </w:r>
      <w:r w:rsidR="007251A9">
        <w:t xml:space="preserve">. Seminár sa bude konať v roku 2014. </w:t>
      </w:r>
      <w:r w:rsidR="009F163B" w:rsidRPr="006F750D">
        <w:t>Každého cyklu sa zúčastní 30 poslucháčov Kriminálneho úradu Finančnej správy. Predpokladaný roz</w:t>
      </w:r>
      <w:r w:rsidR="007251A9">
        <w:t>počet projektu je 47 551,66 EUR</w:t>
      </w:r>
      <w:r w:rsidR="009F163B" w:rsidRPr="006F750D">
        <w:t>, na realizáciu ktorého Finančné riaditeľstvo Slovenskej republiky</w:t>
      </w:r>
      <w:r w:rsidR="000D2F7A">
        <w:t xml:space="preserve"> (ďalej len „FR SR“</w:t>
      </w:r>
      <w:r w:rsidR="007251A9">
        <w:t>)</w:t>
      </w:r>
      <w:r w:rsidR="009F163B" w:rsidRPr="006F750D">
        <w:t xml:space="preserve"> </w:t>
      </w:r>
      <w:r w:rsidR="009F163B" w:rsidRPr="006F750D">
        <w:lastRenderedPageBreak/>
        <w:t>získalo grant vo výške 37 665,00 EUR. Financovanie projektu FR SR je zabezpečené z tabakového fondu. Termín ukončenia projektu je podľa grantovej zmluvy 30. 06. 2014.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9F163B" w:rsidRPr="006F750D">
        <w:t xml:space="preserve">  </w:t>
      </w:r>
    </w:p>
    <w:p w:rsidR="009F163B" w:rsidRPr="006F750D" w:rsidRDefault="006A6E22" w:rsidP="00837C64">
      <w:pPr>
        <w:keepNext/>
        <w:numPr>
          <w:ilvl w:val="0"/>
          <w:numId w:val="27"/>
        </w:numPr>
        <w:tabs>
          <w:tab w:val="left" w:pos="5041"/>
          <w:tab w:val="left" w:pos="7201"/>
        </w:tabs>
        <w:spacing w:after="0"/>
        <w:ind w:left="426" w:hanging="426"/>
        <w:contextualSpacing/>
        <w:jc w:val="both"/>
        <w:outlineLvl w:val="1"/>
      </w:pPr>
      <w:bookmarkStart w:id="47" w:name="_Toc384106395"/>
      <w:bookmarkStart w:id="48" w:name="_Toc384121112"/>
      <w:bookmarkStart w:id="49" w:name="_Toc384124795"/>
      <w:bookmarkStart w:id="50" w:name="_Toc384125401"/>
      <w:bookmarkStart w:id="51" w:name="_Toc384139220"/>
      <w:bookmarkStart w:id="52" w:name="_Toc384282277"/>
      <w:bookmarkStart w:id="53" w:name="_Toc384283239"/>
      <w:bookmarkStart w:id="54" w:name="_Toc384283348"/>
      <w:bookmarkStart w:id="55" w:name="_Toc384972214"/>
      <w:r>
        <w:t xml:space="preserve">Projekt. </w:t>
      </w:r>
      <w:r w:rsidR="009F163B" w:rsidRPr="00C93D05">
        <w:t>„</w:t>
      </w:r>
      <w:r w:rsidR="009F163B" w:rsidRPr="006F750D">
        <w:t>Nákup technického zariadenia na odhaľovanie nelegálnych zásielok tabakových výrobkov“.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9F163B" w:rsidRPr="006F750D" w:rsidRDefault="00C93D05" w:rsidP="00837C64">
      <w:pPr>
        <w:keepNext/>
        <w:tabs>
          <w:tab w:val="left" w:pos="426"/>
          <w:tab w:val="left" w:pos="5041"/>
          <w:tab w:val="left" w:pos="7201"/>
        </w:tabs>
        <w:spacing w:after="0"/>
        <w:ind w:left="426" w:hanging="426"/>
        <w:contextualSpacing/>
        <w:jc w:val="both"/>
        <w:outlineLvl w:val="1"/>
      </w:pPr>
      <w:bookmarkStart w:id="56" w:name="_Toc384106396"/>
      <w:bookmarkStart w:id="57" w:name="_Toc384121113"/>
      <w:bookmarkStart w:id="58" w:name="_Toc384124796"/>
      <w:bookmarkStart w:id="59" w:name="_Toc384125402"/>
      <w:bookmarkStart w:id="60" w:name="_Toc384139221"/>
      <w:r>
        <w:t xml:space="preserve">        </w:t>
      </w:r>
      <w:r w:rsidR="00837C64">
        <w:t xml:space="preserve"> </w:t>
      </w:r>
      <w:bookmarkStart w:id="61" w:name="_Toc384282278"/>
      <w:bookmarkStart w:id="62" w:name="_Toc384283240"/>
      <w:bookmarkStart w:id="63" w:name="_Toc384283349"/>
      <w:bookmarkStart w:id="64" w:name="_Toc384972215"/>
      <w:r w:rsidR="009F163B" w:rsidRPr="00837C64">
        <w:t>Projekt bol schválený E</w:t>
      </w:r>
      <w:r w:rsidR="006A6E22" w:rsidRPr="00837C64">
        <w:t>K</w:t>
      </w:r>
      <w:r w:rsidR="009F163B" w:rsidRPr="00837C64">
        <w:t xml:space="preserve"> v júli 2011. Cieľom projektu je nákup technického zariadenia na odhaľovanie nelegálnych zásielok tabakových výrobkov (</w:t>
      </w:r>
      <w:proofErr w:type="spellStart"/>
      <w:r w:rsidR="009F163B" w:rsidRPr="00837C64">
        <w:t>videoendoskopy</w:t>
      </w:r>
      <w:proofErr w:type="spellEnd"/>
      <w:r w:rsidR="009F163B" w:rsidRPr="00837C64">
        <w:t xml:space="preserve">, </w:t>
      </w:r>
      <w:proofErr w:type="spellStart"/>
      <w:r w:rsidR="009F163B" w:rsidRPr="00837C64">
        <w:t>endoskopy</w:t>
      </w:r>
      <w:proofErr w:type="spellEnd"/>
      <w:r w:rsidR="009F163B" w:rsidRPr="00837C64">
        <w:t>, teleskopické</w:t>
      </w:r>
      <w:r w:rsidR="009F163B" w:rsidRPr="006F750D">
        <w:t xml:space="preserve"> rebríky, </w:t>
      </w:r>
      <w:proofErr w:type="spellStart"/>
      <w:r w:rsidR="009F163B" w:rsidRPr="006F750D">
        <w:t>H-stožiare</w:t>
      </w:r>
      <w:proofErr w:type="spellEnd"/>
      <w:r w:rsidR="009F163B" w:rsidRPr="006F750D">
        <w:t xml:space="preserve">, prístroje na nočné videnie s termovíziou). Počas roka 2013 prebehla príprava podkladov k verejnému obstarávaniu ako aj verejné </w:t>
      </w:r>
      <w:r w:rsidR="009F163B" w:rsidRPr="005F394B">
        <w:t>obstarávanie</w:t>
      </w:r>
      <w:r w:rsidR="000D2F7A">
        <w:t xml:space="preserve">. </w:t>
      </w:r>
      <w:r w:rsidR="009F163B" w:rsidRPr="006F750D">
        <w:t xml:space="preserve">Celkové náklady projektu EUR (bez DPH) sú vo výške 513 487,91 EUR, z toho udelený grant tvorí 250 000 EUR. Financovanie </w:t>
      </w:r>
      <w:r w:rsidR="00070106">
        <w:t xml:space="preserve">  </w:t>
      </w:r>
      <w:r w:rsidR="009F163B" w:rsidRPr="006F750D">
        <w:t>projektu FR SR je zabezpečené z tabakového fondu.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9F163B" w:rsidRPr="006F750D" w:rsidRDefault="006A6E22" w:rsidP="00837C64">
      <w:pPr>
        <w:keepNext/>
        <w:numPr>
          <w:ilvl w:val="0"/>
          <w:numId w:val="27"/>
        </w:numPr>
        <w:tabs>
          <w:tab w:val="left" w:pos="709"/>
          <w:tab w:val="left" w:pos="5041"/>
          <w:tab w:val="left" w:pos="7201"/>
        </w:tabs>
        <w:spacing w:after="0"/>
        <w:ind w:left="426" w:hanging="426"/>
        <w:contextualSpacing/>
        <w:jc w:val="both"/>
        <w:outlineLvl w:val="1"/>
      </w:pPr>
      <w:bookmarkStart w:id="65" w:name="_Toc384106397"/>
      <w:bookmarkStart w:id="66" w:name="_Toc384121114"/>
      <w:bookmarkStart w:id="67" w:name="_Toc384124797"/>
      <w:bookmarkStart w:id="68" w:name="_Toc384125403"/>
      <w:bookmarkStart w:id="69" w:name="_Toc384139222"/>
      <w:bookmarkStart w:id="70" w:name="_Toc384282279"/>
      <w:bookmarkStart w:id="71" w:name="_Toc384283241"/>
      <w:bookmarkStart w:id="72" w:name="_Toc384283350"/>
      <w:bookmarkStart w:id="73" w:name="_Toc384972216"/>
      <w:r>
        <w:t xml:space="preserve">Projekt: </w:t>
      </w:r>
      <w:r w:rsidR="009F163B" w:rsidRPr="006F750D">
        <w:t>„Školenie zamerané na odhaľovanie pašovania a falšovania tabakových výrobkov v železničnej a lodnej doprave“. Projekt bol schválený E</w:t>
      </w:r>
      <w:r>
        <w:t>K</w:t>
      </w:r>
      <w:r w:rsidR="009F163B" w:rsidRPr="006F750D">
        <w:t xml:space="preserve"> v auguste 2012. Cieľom projektu bolo zrealizovať školenie zamerané na odhaľovanie pašovania a falšovania tabakových výrobkov v železničnej a lodnej doprave. Osemdňové školenie sa konalo v apríli 2013 v Bratislave, v </w:t>
      </w:r>
      <w:proofErr w:type="spellStart"/>
      <w:r w:rsidR="009F163B" w:rsidRPr="006F750D">
        <w:t>Kutnej</w:t>
      </w:r>
      <w:proofErr w:type="spellEnd"/>
      <w:r w:rsidR="009F163B" w:rsidRPr="006F750D">
        <w:t xml:space="preserve"> Hore a v Prahe. Školenia sa zúčastnilo 22 colníkov </w:t>
      </w:r>
      <w:r w:rsidR="009F163B">
        <w:t>Stanice colného úradu</w:t>
      </w:r>
      <w:r w:rsidR="009F163B" w:rsidRPr="005F394B">
        <w:t>,</w:t>
      </w:r>
      <w:r w:rsidR="009F163B" w:rsidRPr="006F750D">
        <w:t xml:space="preserve"> hraničných </w:t>
      </w:r>
      <w:r w:rsidR="009F163B">
        <w:t xml:space="preserve">pobočiek colného </w:t>
      </w:r>
      <w:r w:rsidR="009F163B" w:rsidRPr="006A72FE">
        <w:t xml:space="preserve">úradu </w:t>
      </w:r>
      <w:r w:rsidR="009F163B" w:rsidRPr="005F394B">
        <w:t>a Kriminálneho úradu finančnej správy</w:t>
      </w:r>
      <w:r>
        <w:t xml:space="preserve"> (ďalej len „KÚFS“)</w:t>
      </w:r>
      <w:r w:rsidR="009F163B" w:rsidRPr="006F750D">
        <w:t>. Projekt bol ukončený v júli 2013 predložením záverečnej správy Európskej komisii. Celkové náklady projektu EUR boli vo výške 23 262,90 EUR. Z toho udelený grant tvoril 18 610,32 EUR. Financovanie projektu FR SR bolo zabezpečené z tabakového fondu.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9F163B" w:rsidRPr="006F750D" w:rsidRDefault="006A6E22" w:rsidP="00837C64">
      <w:pPr>
        <w:keepNext/>
        <w:numPr>
          <w:ilvl w:val="0"/>
          <w:numId w:val="27"/>
        </w:numPr>
        <w:tabs>
          <w:tab w:val="left" w:pos="709"/>
          <w:tab w:val="left" w:pos="5041"/>
          <w:tab w:val="left" w:pos="7201"/>
        </w:tabs>
        <w:spacing w:after="0"/>
        <w:ind w:left="426" w:hanging="426"/>
        <w:contextualSpacing/>
        <w:jc w:val="both"/>
        <w:outlineLvl w:val="1"/>
      </w:pPr>
      <w:bookmarkStart w:id="74" w:name="_Toc384106398"/>
      <w:bookmarkStart w:id="75" w:name="_Toc384121115"/>
      <w:bookmarkStart w:id="76" w:name="_Toc384124798"/>
      <w:bookmarkStart w:id="77" w:name="_Toc384125404"/>
      <w:bookmarkStart w:id="78" w:name="_Toc384139223"/>
      <w:bookmarkStart w:id="79" w:name="_Toc384282280"/>
      <w:bookmarkStart w:id="80" w:name="_Toc384283242"/>
      <w:bookmarkStart w:id="81" w:name="_Toc384283351"/>
      <w:bookmarkStart w:id="82" w:name="_Toc384972217"/>
      <w:r w:rsidRPr="006A6E22">
        <w:t>Projekt:</w:t>
      </w:r>
      <w:r>
        <w:rPr>
          <w:rFonts w:ascii="Arial Narrow" w:eastAsia="Times New Roman" w:hAnsi="Arial Narrow" w:cs="Times New Roman"/>
          <w:lang w:eastAsia="sk-SK"/>
        </w:rPr>
        <w:t xml:space="preserve"> </w:t>
      </w:r>
      <w:r w:rsidR="009F163B" w:rsidRPr="006F750D">
        <w:rPr>
          <w:rFonts w:ascii="Arial Narrow" w:eastAsia="Times New Roman" w:hAnsi="Arial Narrow" w:cs="Times New Roman"/>
          <w:lang w:eastAsia="sk-SK"/>
        </w:rPr>
        <w:t>„</w:t>
      </w:r>
      <w:r w:rsidR="009F163B" w:rsidRPr="006F750D">
        <w:t>Modernizácia technického vybavenia pre slovenskú colnú správu v boji proti pašovaniu cigariet“. Projekt bol schválený Európskou komisiou v marci 2012. Jeho cieľom je modernizácia technického vybavenia pre KÚFS (stacionárne kamery do vozidiel, ďalekohľady, prístroje na nočné videnie) a Colné laboratórium (FTIR systém a </w:t>
      </w:r>
      <w:proofErr w:type="spellStart"/>
      <w:r w:rsidR="009F163B" w:rsidRPr="006F750D">
        <w:t>upgrade</w:t>
      </w:r>
      <w:proofErr w:type="spellEnd"/>
      <w:r w:rsidR="009F163B" w:rsidRPr="006F750D">
        <w:t xml:space="preserve"> prístroja obrazovej analýzy) v boji proti pašovaniu cigariet. V roku 2012 bola podpísaná grantová zmluva medzi FR SR a</w:t>
      </w:r>
      <w:r>
        <w:t> </w:t>
      </w:r>
      <w:proofErr w:type="spellStart"/>
      <w:r>
        <w:t>OLAF-om</w:t>
      </w:r>
      <w:proofErr w:type="spellEnd"/>
      <w:r w:rsidR="009F163B" w:rsidRPr="006F750D">
        <w:t xml:space="preserve"> a prebiehala príprava podkladov a špecifikácií k verejnému obstarávaniu. V roku 2013 prebehlo verejné obstarávanie a bola zakúpená vyššie uvedená technika. Celkové náklady projektu boli vo výške 183 742,28 EUR, z toho udelený grant tvoril 90 000 EUR. Financovanie projektu FR SR bolo zabezpečené z tabakového fondu.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9F163B" w:rsidRPr="006F750D" w:rsidRDefault="006A6E22" w:rsidP="00837C64">
      <w:pPr>
        <w:keepNext/>
        <w:numPr>
          <w:ilvl w:val="0"/>
          <w:numId w:val="27"/>
        </w:numPr>
        <w:tabs>
          <w:tab w:val="left" w:pos="709"/>
          <w:tab w:val="left" w:pos="5041"/>
          <w:tab w:val="left" w:pos="7201"/>
        </w:tabs>
        <w:spacing w:after="0"/>
        <w:ind w:left="426" w:hanging="426"/>
        <w:contextualSpacing/>
        <w:jc w:val="both"/>
        <w:outlineLvl w:val="1"/>
      </w:pPr>
      <w:bookmarkStart w:id="83" w:name="_Toc384106399"/>
      <w:bookmarkStart w:id="84" w:name="_Toc384121116"/>
      <w:bookmarkStart w:id="85" w:name="_Toc384124799"/>
      <w:bookmarkStart w:id="86" w:name="_Toc384125405"/>
      <w:bookmarkStart w:id="87" w:name="_Toc384139224"/>
      <w:bookmarkStart w:id="88" w:name="_Toc384282281"/>
      <w:bookmarkStart w:id="89" w:name="_Toc384283243"/>
      <w:bookmarkStart w:id="90" w:name="_Toc384283352"/>
      <w:bookmarkStart w:id="91" w:name="_Toc384972218"/>
      <w:r>
        <w:t xml:space="preserve">Projekt: </w:t>
      </w:r>
      <w:r w:rsidR="009F163B" w:rsidRPr="006F750D">
        <w:t xml:space="preserve">„Školenie colníkov v oblasti služobnej kynológie v boji proti pašovaniu a </w:t>
      </w:r>
      <w:r w:rsidR="006A72FE">
        <w:t xml:space="preserve">falšovaniu tabakových výrobkov“. </w:t>
      </w:r>
      <w:r w:rsidR="009F163B" w:rsidRPr="006F750D">
        <w:t>Projekt bol schválený Európskou komisiou v decembri 2012. Cieľom bolo zrealizovať školenie colníkov v oblasti služobnej kynológie v boji proti pašovaniu a falšovaniu tabakových výrobkov. Školenia sa zúčastnili najmä psovodi a kynológovia colnej správy a polície SR a okolitých štátov (Českej republiky, Poľska, Maďarska, Ukrajiny). Projekt bol ukončený v júli 2013 predložením záverečnej správy Európskej komisii. Celkové náklady projektu boli vo výške 32 880,37 EUR, z toho udelený grant tvoril 26 304,30 EUR. Financovanie projektu FR SR bolo zabezpečené z tabakového fondu.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534726" w:rsidRDefault="009F163B" w:rsidP="006E58BF">
      <w:pPr>
        <w:keepNext/>
        <w:numPr>
          <w:ilvl w:val="0"/>
          <w:numId w:val="27"/>
        </w:numPr>
        <w:tabs>
          <w:tab w:val="left" w:pos="709"/>
          <w:tab w:val="left" w:pos="5041"/>
          <w:tab w:val="left" w:pos="7201"/>
        </w:tabs>
        <w:spacing w:after="0"/>
        <w:ind w:left="426" w:hanging="426"/>
        <w:contextualSpacing/>
        <w:jc w:val="both"/>
        <w:outlineLvl w:val="1"/>
      </w:pPr>
      <w:bookmarkStart w:id="92" w:name="_Toc384106400"/>
      <w:bookmarkStart w:id="93" w:name="_Toc384121117"/>
      <w:bookmarkStart w:id="94" w:name="_Toc384124800"/>
      <w:bookmarkStart w:id="95" w:name="_Toc384125406"/>
      <w:bookmarkStart w:id="96" w:name="_Toc384139225"/>
      <w:bookmarkStart w:id="97" w:name="_Toc384282282"/>
      <w:bookmarkStart w:id="98" w:name="_Toc384283244"/>
      <w:bookmarkStart w:id="99" w:name="_Toc384283353"/>
      <w:bookmarkStart w:id="100" w:name="_Toc384972219"/>
      <w:r w:rsidRPr="006F750D">
        <w:t>„Nákup technického vybavenia pre špecializované útvary finančnej správy Slovenskej republiky na odhaľovanie prítomnosti cigariet a tabaku“. Projekt bol schválený E</w:t>
      </w:r>
      <w:r w:rsidR="006A6E22">
        <w:t>K</w:t>
      </w:r>
      <w:r w:rsidRPr="006F750D">
        <w:t xml:space="preserve"> v máji 2013. Cieľom projektu je zrealizovať nákup technického vybavenia pre špecializované útvary finančnej správy S</w:t>
      </w:r>
      <w:r w:rsidR="006A6E22">
        <w:t xml:space="preserve">R </w:t>
      </w:r>
      <w:r w:rsidRPr="006F750D">
        <w:t>na odhaľovanie prítomnosti cigariet a tabaku. Predpokladaný rozpočet projektu je 126 170</w:t>
      </w:r>
      <w:r w:rsidR="006A6E22">
        <w:t xml:space="preserve"> EUR, </w:t>
      </w:r>
      <w:r w:rsidRPr="006F750D">
        <w:t xml:space="preserve">na realizáciu ktorého FR SR získalo grant vo výške 63 085 EUR. Termín ukončenia projektu podľa grantovej zmluvy je 31. </w:t>
      </w:r>
      <w:r w:rsidR="006A72FE">
        <w:t>október</w:t>
      </w:r>
      <w:r w:rsidRPr="006F750D">
        <w:t xml:space="preserve"> 2014</w:t>
      </w:r>
      <w:r w:rsidR="006A72FE">
        <w:t xml:space="preserve">. </w:t>
      </w:r>
      <w:r w:rsidRPr="006F750D">
        <w:t xml:space="preserve">Financovanie projektu FR SR je zabezpečené </w:t>
      </w:r>
      <w:r w:rsidRPr="00B223A6">
        <w:t>z tabakového fondu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="006E58BF">
        <w:t>.</w:t>
      </w:r>
    </w:p>
    <w:p w:rsidR="006E58BF" w:rsidRPr="006E58BF" w:rsidRDefault="006E58BF" w:rsidP="006E58BF">
      <w:pPr>
        <w:keepNext/>
        <w:tabs>
          <w:tab w:val="left" w:pos="709"/>
          <w:tab w:val="left" w:pos="5041"/>
          <w:tab w:val="left" w:pos="7201"/>
        </w:tabs>
        <w:spacing w:after="0"/>
        <w:ind w:left="426"/>
        <w:contextualSpacing/>
        <w:jc w:val="both"/>
        <w:outlineLvl w:val="1"/>
      </w:pPr>
    </w:p>
    <w:p w:rsidR="006A6E22" w:rsidRDefault="006A6E22" w:rsidP="009F163B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282944" w:rsidRDefault="00282944" w:rsidP="009F163B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6A6E22" w:rsidRDefault="006A6E22" w:rsidP="009F163B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F71C31" w:rsidRPr="006F750D" w:rsidRDefault="00F71C31" w:rsidP="009F163B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75533B" w:rsidRPr="00F71C31" w:rsidRDefault="00F71C31" w:rsidP="00F71C31">
      <w:pPr>
        <w:pStyle w:val="Nadpis1"/>
      </w:pPr>
      <w:bookmarkStart w:id="101" w:name="_Toc384972220"/>
      <w:r>
        <w:t>7</w:t>
      </w:r>
      <w:r w:rsidR="00C613C1">
        <w:t>.</w:t>
      </w:r>
      <w:r>
        <w:t xml:space="preserve"> Vydávanie informačných a propagačných materiálov</w:t>
      </w:r>
      <w:bookmarkEnd w:id="101"/>
      <w:r>
        <w:t xml:space="preserve"> </w:t>
      </w:r>
      <w:r w:rsidR="00D42502" w:rsidRPr="00F71C31">
        <w:t xml:space="preserve"> </w:t>
      </w:r>
    </w:p>
    <w:p w:rsidR="004065AD" w:rsidRDefault="004065AD" w:rsidP="004065AD">
      <w:pPr>
        <w:spacing w:after="0" w:line="240" w:lineRule="auto"/>
        <w:jc w:val="both"/>
      </w:pPr>
    </w:p>
    <w:p w:rsidR="00460924" w:rsidRPr="00460924" w:rsidRDefault="0075533B" w:rsidP="00281EA8">
      <w:pPr>
        <w:jc w:val="both"/>
      </w:pPr>
      <w:r w:rsidRPr="008131ED">
        <w:rPr>
          <w:b/>
        </w:rPr>
        <w:t>OCKÚ OLAF</w:t>
      </w:r>
      <w:r w:rsidR="001A612A">
        <w:t xml:space="preserve"> pripravil </w:t>
      </w:r>
      <w:r w:rsidRPr="0075533B">
        <w:t xml:space="preserve">v roku 2013 </w:t>
      </w:r>
      <w:r w:rsidR="004065AD" w:rsidRPr="00800FD1">
        <w:t xml:space="preserve">propagačné a informačné materiály o OCKÚ OLAF, </w:t>
      </w:r>
      <w:proofErr w:type="spellStart"/>
      <w:r w:rsidR="004065AD" w:rsidRPr="00800FD1">
        <w:t>OLAF-e</w:t>
      </w:r>
      <w:proofErr w:type="spellEnd"/>
      <w:r w:rsidR="004065AD" w:rsidRPr="00800FD1">
        <w:t xml:space="preserve"> (leták, </w:t>
      </w:r>
      <w:proofErr w:type="spellStart"/>
      <w:r w:rsidR="004065AD" w:rsidRPr="00800FD1">
        <w:t>baner</w:t>
      </w:r>
      <w:proofErr w:type="spellEnd"/>
      <w:r w:rsidR="004065AD" w:rsidRPr="00800FD1">
        <w:t xml:space="preserve">, tlačoviny na semináre). Leták </w:t>
      </w:r>
      <w:r w:rsidR="001B459C" w:rsidRPr="001B459C">
        <w:t>o činnosti OCKÚ OLAF a o </w:t>
      </w:r>
      <w:proofErr w:type="spellStart"/>
      <w:r w:rsidR="001B459C" w:rsidRPr="001B459C">
        <w:t>OLAF-e</w:t>
      </w:r>
      <w:proofErr w:type="spellEnd"/>
      <w:r w:rsidR="001B459C" w:rsidRPr="001B459C">
        <w:t xml:space="preserve"> pod názvom </w:t>
      </w:r>
      <w:r w:rsidR="001B459C" w:rsidRPr="001B459C">
        <w:rPr>
          <w:i/>
        </w:rPr>
        <w:t>„</w:t>
      </w:r>
      <w:r w:rsidR="001B459C" w:rsidRPr="001B459C">
        <w:rPr>
          <w:bCs/>
          <w:i/>
        </w:rPr>
        <w:t>Viete, kto chráni peniaze daňový</w:t>
      </w:r>
      <w:r w:rsidR="00E75CBF">
        <w:rPr>
          <w:bCs/>
          <w:i/>
        </w:rPr>
        <w:t>ch poplatníkov v Európskej únii?“</w:t>
      </w:r>
      <w:r w:rsidR="001B459C" w:rsidRPr="001B459C">
        <w:rPr>
          <w:bCs/>
          <w:i/>
        </w:rPr>
        <w:t xml:space="preserve"> </w:t>
      </w:r>
      <w:r w:rsidR="006736E8">
        <w:rPr>
          <w:bCs/>
          <w:i/>
        </w:rPr>
        <w:t>a „</w:t>
      </w:r>
      <w:r w:rsidR="001B459C" w:rsidRPr="001B459C">
        <w:rPr>
          <w:bCs/>
          <w:i/>
        </w:rPr>
        <w:t>Viete kto ochraňuje peniaze daňových poplatníkov Európskej únie na Slovensku?“</w:t>
      </w:r>
      <w:r w:rsidR="001B459C">
        <w:rPr>
          <w:i/>
        </w:rPr>
        <w:t xml:space="preserve"> </w:t>
      </w:r>
      <w:r w:rsidR="004065AD" w:rsidRPr="00800FD1">
        <w:t xml:space="preserve">bol v rámci tzv. spoločnej letákovej kampane (opatrenia v rámci úlohy 3.9 </w:t>
      </w:r>
      <w:r w:rsidRPr="00800FD1">
        <w:t>A</w:t>
      </w:r>
      <w:r>
        <w:t>kčného plánu k národnej stratégii</w:t>
      </w:r>
      <w:r w:rsidRPr="0075533B">
        <w:t xml:space="preserve"> </w:t>
      </w:r>
      <w:r>
        <w:t>platného k 1. januáru 2013</w:t>
      </w:r>
      <w:r w:rsidR="004065AD" w:rsidRPr="00800FD1">
        <w:t>) predložený na zasadnutí PSK aj členom PSK na ďalšiu distribúciu</w:t>
      </w:r>
      <w:r w:rsidR="001A612A">
        <w:t xml:space="preserve">. Leták bol šírený napr. v rámci </w:t>
      </w:r>
      <w:r w:rsidR="00130404" w:rsidRPr="00800FD1">
        <w:t>DOD</w:t>
      </w:r>
      <w:r w:rsidR="00130404">
        <w:t xml:space="preserve"> Polície, DOD Colníkov, </w:t>
      </w:r>
      <w:r w:rsidR="00972390">
        <w:t>na MF SR (</w:t>
      </w:r>
      <w:r w:rsidR="001A612A">
        <w:t xml:space="preserve">správy finančnej kontroly), </w:t>
      </w:r>
      <w:r w:rsidR="0023319A">
        <w:t>d</w:t>
      </w:r>
      <w:r w:rsidR="00130404">
        <w:t>o vstupných priestoro</w:t>
      </w:r>
      <w:r w:rsidR="0023319A">
        <w:t>v</w:t>
      </w:r>
      <w:r w:rsidR="00130404">
        <w:t xml:space="preserve"> sieťových partnerov </w:t>
      </w:r>
      <w:r w:rsidR="00460924">
        <w:t>(</w:t>
      </w:r>
      <w:r w:rsidR="00130404">
        <w:t>napr. MH SR</w:t>
      </w:r>
      <w:r w:rsidR="001D7AB0">
        <w:t>, MŽP SR, MPSVR SR</w:t>
      </w:r>
      <w:r w:rsidR="00130404">
        <w:t xml:space="preserve">). </w:t>
      </w:r>
      <w:r w:rsidR="00460924" w:rsidRPr="00460924">
        <w:t>MS SR distribuovalo uvedený leták na krajské, okresné súdy, Zboru väzenskej a justičnej stráže, Justičn</w:t>
      </w:r>
      <w:r w:rsidR="00BD6519">
        <w:t>ej</w:t>
      </w:r>
      <w:r w:rsidR="00460924" w:rsidRPr="00460924">
        <w:t xml:space="preserve"> akadémi</w:t>
      </w:r>
      <w:r w:rsidR="00BD6519">
        <w:t>i</w:t>
      </w:r>
      <w:r w:rsidR="00460924" w:rsidRPr="00460924">
        <w:t xml:space="preserve"> a</w:t>
      </w:r>
      <w:r w:rsidR="0023319A">
        <w:t xml:space="preserve"> na </w:t>
      </w:r>
      <w:r w:rsidR="00460924" w:rsidRPr="00460924">
        <w:t>Inštitút vzdelávania MS SR.</w:t>
      </w:r>
    </w:p>
    <w:p w:rsidR="004065AD" w:rsidRDefault="00130404" w:rsidP="004065AD">
      <w:pPr>
        <w:spacing w:after="0"/>
        <w:jc w:val="both"/>
      </w:pPr>
      <w:r>
        <w:t>L</w:t>
      </w:r>
      <w:r w:rsidR="004065AD" w:rsidRPr="00800FD1">
        <w:t xml:space="preserve">eták </w:t>
      </w:r>
      <w:r>
        <w:t xml:space="preserve">bol </w:t>
      </w:r>
      <w:r w:rsidR="004065AD" w:rsidRPr="00800FD1">
        <w:t xml:space="preserve">distribuovaný </w:t>
      </w:r>
      <w:r w:rsidR="0075533B">
        <w:t xml:space="preserve">aj </w:t>
      </w:r>
      <w:r>
        <w:t xml:space="preserve">na ostatné inštitúcie </w:t>
      </w:r>
      <w:r w:rsidR="004065AD" w:rsidRPr="00800FD1">
        <w:t>(</w:t>
      </w:r>
      <w:r w:rsidR="004065AD">
        <w:t xml:space="preserve">napr. </w:t>
      </w:r>
      <w:r w:rsidR="004065AD" w:rsidRPr="00800FD1">
        <w:t xml:space="preserve">Zastúpenie EK). </w:t>
      </w:r>
    </w:p>
    <w:p w:rsidR="005F4BD0" w:rsidRDefault="005F4BD0" w:rsidP="004065AD">
      <w:pPr>
        <w:spacing w:after="0"/>
        <w:jc w:val="both"/>
      </w:pPr>
    </w:p>
    <w:p w:rsidR="006B39B9" w:rsidRPr="006B39B9" w:rsidRDefault="006B39B9" w:rsidP="006B39B9">
      <w:pPr>
        <w:spacing w:after="0"/>
        <w:jc w:val="both"/>
        <w:rPr>
          <w:bCs/>
          <w:i/>
        </w:rPr>
      </w:pPr>
      <w:r w:rsidRPr="006B39B9">
        <w:t>Odbor informovania a publicity Ú</w:t>
      </w:r>
      <w:r w:rsidR="0096617C">
        <w:t xml:space="preserve">V SR </w:t>
      </w:r>
      <w:r w:rsidRPr="006B39B9">
        <w:t>vyd</w:t>
      </w:r>
      <w:r w:rsidR="0096617C">
        <w:t xml:space="preserve">áva </w:t>
      </w:r>
      <w:proofErr w:type="spellStart"/>
      <w:r w:rsidRPr="006B39B9">
        <w:t>štrvrťročník</w:t>
      </w:r>
      <w:proofErr w:type="spellEnd"/>
      <w:r w:rsidRPr="006B39B9">
        <w:t xml:space="preserve"> </w:t>
      </w:r>
      <w:r w:rsidR="0096617C">
        <w:t xml:space="preserve">CKO </w:t>
      </w:r>
      <w:r w:rsidRPr="006B39B9">
        <w:t xml:space="preserve">o štrukturálnych fondoch </w:t>
      </w:r>
      <w:proofErr w:type="spellStart"/>
      <w:r w:rsidRPr="006B39B9">
        <w:rPr>
          <w:bCs/>
        </w:rPr>
        <w:t>Eurokompas</w:t>
      </w:r>
      <w:proofErr w:type="spellEnd"/>
      <w:r w:rsidR="0096617C">
        <w:rPr>
          <w:bCs/>
        </w:rPr>
        <w:t>,</w:t>
      </w:r>
      <w:r w:rsidRPr="006B39B9">
        <w:rPr>
          <w:bCs/>
        </w:rPr>
        <w:t xml:space="preserve"> </w:t>
      </w:r>
      <w:r w:rsidR="009F5F93">
        <w:rPr>
          <w:bCs/>
        </w:rPr>
        <w:t xml:space="preserve">v rámci ktorého publikujú články aj ostatní sieťoví partneri </w:t>
      </w:r>
      <w:r w:rsidR="0096617C">
        <w:t xml:space="preserve">prevažne </w:t>
      </w:r>
      <w:r w:rsidR="009F5F93">
        <w:t xml:space="preserve">prostredníctvom </w:t>
      </w:r>
      <w:r w:rsidR="0096617C">
        <w:t>manažérov pre publicitu a informovanosť</w:t>
      </w:r>
      <w:r w:rsidR="0096617C" w:rsidRPr="006B39B9">
        <w:t xml:space="preserve"> </w:t>
      </w:r>
      <w:r w:rsidR="0096617C">
        <w:t>pre ŠF a</w:t>
      </w:r>
      <w:r w:rsidR="009F5F93">
        <w:t> </w:t>
      </w:r>
      <w:r w:rsidR="0096617C">
        <w:t>KF</w:t>
      </w:r>
      <w:r w:rsidR="009F5F93">
        <w:t>. V</w:t>
      </w:r>
      <w:r w:rsidR="0096617C">
        <w:rPr>
          <w:bCs/>
        </w:rPr>
        <w:t xml:space="preserve"> sledovanom období </w:t>
      </w:r>
      <w:r w:rsidR="009F5F93">
        <w:rPr>
          <w:bCs/>
        </w:rPr>
        <w:t>boli v tomto časopise zverejnené 2</w:t>
      </w:r>
      <w:r w:rsidR="0096617C">
        <w:rPr>
          <w:bCs/>
        </w:rPr>
        <w:t xml:space="preserve"> články, týkajúce sa problemati</w:t>
      </w:r>
      <w:r w:rsidR="001A612A">
        <w:rPr>
          <w:bCs/>
        </w:rPr>
        <w:t>ky ochrany finančných záujmov ÚV</w:t>
      </w:r>
      <w:r w:rsidR="009F5F93">
        <w:rPr>
          <w:bCs/>
        </w:rPr>
        <w:t> </w:t>
      </w:r>
      <w:r w:rsidR="0096617C">
        <w:rPr>
          <w:bCs/>
        </w:rPr>
        <w:t>SR</w:t>
      </w:r>
      <w:r w:rsidR="009F5F93">
        <w:rPr>
          <w:bCs/>
        </w:rPr>
        <w:t>, vrátane zverejnenia</w:t>
      </w:r>
      <w:r w:rsidR="008131ED">
        <w:rPr>
          <w:bCs/>
        </w:rPr>
        <w:t xml:space="preserve"> </w:t>
      </w:r>
      <w:r w:rsidRPr="006B39B9">
        <w:t>informačn</w:t>
      </w:r>
      <w:r w:rsidR="009F5F93">
        <w:t>ého</w:t>
      </w:r>
      <w:r w:rsidRPr="006B39B9">
        <w:t xml:space="preserve"> leták</w:t>
      </w:r>
      <w:r w:rsidR="009F5F93">
        <w:t>u</w:t>
      </w:r>
      <w:r w:rsidRPr="006B39B9">
        <w:t xml:space="preserve"> o činnosti OCKÚ OLAF a o </w:t>
      </w:r>
      <w:proofErr w:type="spellStart"/>
      <w:r w:rsidRPr="006B39B9">
        <w:t>OLAF-e</w:t>
      </w:r>
      <w:proofErr w:type="spellEnd"/>
      <w:r w:rsidRPr="006B39B9">
        <w:t xml:space="preserve"> pod názvom </w:t>
      </w:r>
      <w:r w:rsidRPr="006B39B9">
        <w:rPr>
          <w:i/>
        </w:rPr>
        <w:t>„</w:t>
      </w:r>
      <w:r w:rsidRPr="006B39B9">
        <w:rPr>
          <w:bCs/>
          <w:i/>
        </w:rPr>
        <w:t>Viete, kto chráni peniaze daňových poplatníkov  v Európskej únii?</w:t>
      </w:r>
      <w:r w:rsidR="00E75CBF">
        <w:rPr>
          <w:bCs/>
          <w:i/>
        </w:rPr>
        <w:t>“</w:t>
      </w:r>
      <w:r w:rsidRPr="006B39B9">
        <w:rPr>
          <w:bCs/>
          <w:i/>
        </w:rPr>
        <w:t xml:space="preserve"> </w:t>
      </w:r>
      <w:r w:rsidR="006736E8">
        <w:rPr>
          <w:bCs/>
          <w:i/>
        </w:rPr>
        <w:t>a „</w:t>
      </w:r>
      <w:r w:rsidRPr="006B39B9">
        <w:rPr>
          <w:bCs/>
          <w:i/>
        </w:rPr>
        <w:t>Viete kto ochraňuje peniaze daňových poplatníkov Európskej únie na Slovensku?“</w:t>
      </w:r>
    </w:p>
    <w:p w:rsidR="006B39B9" w:rsidRPr="006B39B9" w:rsidRDefault="006B39B9" w:rsidP="006B39B9">
      <w:pPr>
        <w:spacing w:after="0"/>
        <w:jc w:val="both"/>
        <w:rPr>
          <w:bCs/>
          <w:i/>
        </w:rPr>
      </w:pPr>
    </w:p>
    <w:p w:rsidR="005F4BD0" w:rsidRPr="001B459C" w:rsidRDefault="005F4BD0" w:rsidP="008131ED">
      <w:pPr>
        <w:rPr>
          <w:i/>
        </w:rPr>
      </w:pPr>
      <w:r w:rsidRPr="008131ED">
        <w:rPr>
          <w:b/>
        </w:rPr>
        <w:t>Iné aktivity v oblasti informovanosti a zvyšovania povedomia o aktivitách v oblasti ochrany finančných záujmov EÚ v SR</w:t>
      </w:r>
    </w:p>
    <w:p w:rsidR="009366AD" w:rsidRDefault="009366AD" w:rsidP="008131ED">
      <w:pPr>
        <w:pStyle w:val="Odsekzoznamu"/>
        <w:numPr>
          <w:ilvl w:val="0"/>
          <w:numId w:val="33"/>
        </w:numPr>
        <w:spacing w:after="0"/>
        <w:jc w:val="both"/>
      </w:pPr>
      <w:r w:rsidRPr="009366AD">
        <w:t xml:space="preserve">V sledovanom období informoval OCKÚ OLAF na svojom webovom sídle o </w:t>
      </w:r>
      <w:r w:rsidRPr="008131ED">
        <w:rPr>
          <w:i/>
        </w:rPr>
        <w:t>kampani EK proti falšovaniu priemyselných výrobkov</w:t>
      </w:r>
      <w:r w:rsidRPr="009366AD">
        <w:t xml:space="preserve"> a spolupracoval na požiadanie EK aj pri distribúcii brožúry „Sú lacné výrobky skutočne lacné? – skutočná cena falšovaných výrobkov“. Pri uvedenej aktivite oslovil </w:t>
      </w:r>
      <w:r w:rsidR="00972390">
        <w:t>s</w:t>
      </w:r>
      <w:r w:rsidRPr="009366AD">
        <w:t>o spoluprác</w:t>
      </w:r>
      <w:r w:rsidR="00972390">
        <w:t>ou</w:t>
      </w:r>
      <w:r w:rsidRPr="009366AD">
        <w:t xml:space="preserve"> členov PSK a ďalšie kompetentné orgány v</w:t>
      </w:r>
      <w:r w:rsidR="008758EE">
        <w:t> </w:t>
      </w:r>
      <w:r w:rsidRPr="009366AD">
        <w:t>SR</w:t>
      </w:r>
      <w:r w:rsidR="008758EE">
        <w:t>, ktoré ďalej uvedené brožúry distribuovali</w:t>
      </w:r>
      <w:r w:rsidRPr="009366AD">
        <w:t xml:space="preserve"> (</w:t>
      </w:r>
      <w:r w:rsidR="00972390">
        <w:t xml:space="preserve">napr. </w:t>
      </w:r>
      <w:r w:rsidRPr="009366AD">
        <w:t>GP SR, FS SR, MV SR, Úrad priemyselného vlastníctva SR, MH SR (prostredníctvom SOI, ESC)</w:t>
      </w:r>
      <w:r w:rsidRPr="005F394B">
        <w:t>)</w:t>
      </w:r>
      <w:r w:rsidRPr="009366AD">
        <w:t xml:space="preserve">. </w:t>
      </w:r>
    </w:p>
    <w:p w:rsidR="009366AD" w:rsidRDefault="009366AD" w:rsidP="008131ED">
      <w:pPr>
        <w:pStyle w:val="Odsekzoznamu"/>
        <w:numPr>
          <w:ilvl w:val="0"/>
          <w:numId w:val="33"/>
        </w:numPr>
        <w:spacing w:after="0"/>
        <w:jc w:val="both"/>
      </w:pPr>
      <w:r w:rsidRPr="009366AD">
        <w:t xml:space="preserve">V hodnotenom období pripravila SK BPK </w:t>
      </w:r>
      <w:r w:rsidRPr="005F394B">
        <w:t xml:space="preserve">projekt </w:t>
      </w:r>
      <w:r w:rsidRPr="008131ED">
        <w:rPr>
          <w:i/>
        </w:rPr>
        <w:t>„Vzdelávanie detí a mládeže v oblasti boja proti korupcii a boja proti podvodom v súvislosti s ochranou finančných záujmov Európskej únie v Slovenskej republike</w:t>
      </w:r>
      <w:r w:rsidRPr="005F394B">
        <w:t xml:space="preserve">“. </w:t>
      </w:r>
      <w:r w:rsidRPr="009366AD">
        <w:t xml:space="preserve">V tejto súvislosti požiadala o spoluprácu </w:t>
      </w:r>
      <w:proofErr w:type="spellStart"/>
      <w:r w:rsidRPr="009366AD">
        <w:t>MŠVVaŠ</w:t>
      </w:r>
      <w:proofErr w:type="spellEnd"/>
      <w:r w:rsidRPr="009366AD">
        <w:t xml:space="preserve"> SR ako kompetentný orgán a svojho sieťového partnera. Úvodné stretnutie k tejto problematike sa uskutočnilo dňa 17. decembra 2013 za účasti SK BPK a </w:t>
      </w:r>
      <w:proofErr w:type="spellStart"/>
      <w:r w:rsidRPr="009366AD">
        <w:t>MŠVVa</w:t>
      </w:r>
      <w:r w:rsidR="0014435D">
        <w:t>Š</w:t>
      </w:r>
      <w:proofErr w:type="spellEnd"/>
      <w:r w:rsidRPr="009366AD">
        <w:t xml:space="preserve"> SR. </w:t>
      </w:r>
    </w:p>
    <w:p w:rsidR="009366AD" w:rsidRPr="009366AD" w:rsidRDefault="009366AD" w:rsidP="009366AD">
      <w:pPr>
        <w:spacing w:after="0"/>
        <w:jc w:val="both"/>
      </w:pPr>
      <w:r w:rsidRPr="009366AD">
        <w:t xml:space="preserve">V nasledujúcom období bude SK BPK spolupracovať s </w:t>
      </w:r>
      <w:proofErr w:type="spellStart"/>
      <w:r w:rsidRPr="009366AD">
        <w:t>MŠVVaŠ</w:t>
      </w:r>
      <w:proofErr w:type="spellEnd"/>
      <w:r w:rsidRPr="009366AD">
        <w:t xml:space="preserve"> </w:t>
      </w:r>
      <w:r w:rsidR="0014435D">
        <w:t xml:space="preserve">SR </w:t>
      </w:r>
      <w:r w:rsidRPr="009366AD">
        <w:t xml:space="preserve">aj pri príprave metodiky k uvedenej problematike pre jednotlivé stupne vzdelávania na školách. Zároveň boli OCKÚ OLAF na </w:t>
      </w:r>
      <w:proofErr w:type="spellStart"/>
      <w:r w:rsidRPr="009366AD">
        <w:t>MŠVVaŠ</w:t>
      </w:r>
      <w:proofErr w:type="spellEnd"/>
      <w:r w:rsidRPr="009366AD">
        <w:t xml:space="preserve"> SR (menovite na poverený orgán - Štátny pedagogický ústav) zaslané podklady na doplnenie terminológie a  problematiky boja proti </w:t>
      </w:r>
      <w:r w:rsidR="001A612A">
        <w:t>podvodom v súvislosti s</w:t>
      </w:r>
      <w:r w:rsidRPr="009366AD">
        <w:t> ochran</w:t>
      </w:r>
      <w:r w:rsidR="001A612A">
        <w:t>ou</w:t>
      </w:r>
      <w:r w:rsidRPr="009366AD">
        <w:t xml:space="preserve"> finančných záujmov EÚ do </w:t>
      </w:r>
      <w:r w:rsidRPr="009366AD">
        <w:rPr>
          <w:i/>
        </w:rPr>
        <w:t>Národného štandardu finančnej gramotnosti</w:t>
      </w:r>
      <w:r w:rsidRPr="009366AD">
        <w:t xml:space="preserve"> v rámci jeho aktualizácie. </w:t>
      </w:r>
    </w:p>
    <w:p w:rsidR="009366AD" w:rsidRDefault="009366AD" w:rsidP="009366AD">
      <w:pPr>
        <w:spacing w:after="0"/>
        <w:jc w:val="both"/>
      </w:pPr>
    </w:p>
    <w:p w:rsidR="00534726" w:rsidRDefault="00534726" w:rsidP="009366AD">
      <w:pPr>
        <w:spacing w:after="0"/>
        <w:jc w:val="both"/>
      </w:pPr>
    </w:p>
    <w:p w:rsidR="009A2262" w:rsidRPr="00F64F2C" w:rsidRDefault="006E58BF" w:rsidP="00F64F2C">
      <w:pPr>
        <w:pStyle w:val="Nadpis1"/>
      </w:pPr>
      <w:bookmarkStart w:id="102" w:name="_Toc384972221"/>
      <w:r>
        <w:lastRenderedPageBreak/>
        <w:t>8</w:t>
      </w:r>
      <w:r w:rsidR="00F64F2C" w:rsidRPr="00F64F2C">
        <w:t xml:space="preserve">. </w:t>
      </w:r>
      <w:r w:rsidR="00D42502" w:rsidRPr="00F64F2C">
        <w:t>Vydávanie tlačových správ</w:t>
      </w:r>
      <w:bookmarkEnd w:id="102"/>
      <w:r w:rsidR="00D42502" w:rsidRPr="00F64F2C">
        <w:t xml:space="preserve"> </w:t>
      </w:r>
    </w:p>
    <w:p w:rsidR="00F64F2C" w:rsidRPr="00F64F2C" w:rsidRDefault="00F64F2C" w:rsidP="00F64F2C"/>
    <w:p w:rsidR="00C843CB" w:rsidRDefault="00C843CB" w:rsidP="00F64F2C">
      <w:pPr>
        <w:jc w:val="both"/>
      </w:pPr>
      <w:r w:rsidRPr="00C843CB">
        <w:t>V</w:t>
      </w:r>
      <w:r w:rsidR="009A2262">
        <w:t xml:space="preserve"> roku 2013 </w:t>
      </w:r>
      <w:r w:rsidRPr="00C843CB">
        <w:t xml:space="preserve">bolo na webovom  sídle  </w:t>
      </w:r>
      <w:r w:rsidRPr="008131ED">
        <w:rPr>
          <w:b/>
        </w:rPr>
        <w:t>OCK</w:t>
      </w:r>
      <w:r w:rsidR="007873E0">
        <w:rPr>
          <w:b/>
        </w:rPr>
        <w:t>Ú</w:t>
      </w:r>
      <w:r w:rsidRPr="008131ED">
        <w:rPr>
          <w:b/>
        </w:rPr>
        <w:t xml:space="preserve">  OLAF</w:t>
      </w:r>
      <w:r w:rsidRPr="00C843CB">
        <w:t xml:space="preserve"> </w:t>
      </w:r>
      <w:r w:rsidRPr="005F394B">
        <w:t>zverejnených 19 tlačových správ</w:t>
      </w:r>
      <w:r w:rsidRPr="00C843CB">
        <w:t xml:space="preserve"> </w:t>
      </w:r>
      <w:r w:rsidR="001A612A">
        <w:t xml:space="preserve">(TS) </w:t>
      </w:r>
      <w:r w:rsidRPr="00C843CB">
        <w:t xml:space="preserve">súvisiacich  s ochranou finančných záujmov Európskej únie v SR. </w:t>
      </w:r>
      <w:r w:rsidR="009A2262">
        <w:t>Tiež b</w:t>
      </w:r>
      <w:r w:rsidRPr="00C843CB">
        <w:t>ola zverejnená Ročná správa o nezrovnalostiach v SR za rok 2012, Výročná správa o</w:t>
      </w:r>
      <w:r w:rsidR="001A612A">
        <w:t xml:space="preserve"> aktivitách sieťových partnerov </w:t>
      </w:r>
      <w:r w:rsidRPr="00C843CB">
        <w:t xml:space="preserve">v oblasti  OFZ EÚ v SR v roku 2012, Výročná správa </w:t>
      </w:r>
      <w:proofErr w:type="spellStart"/>
      <w:r w:rsidRPr="00C843CB">
        <w:t>OLAF</w:t>
      </w:r>
      <w:r w:rsidR="001A612A">
        <w:t>u</w:t>
      </w:r>
      <w:proofErr w:type="spellEnd"/>
      <w:r w:rsidR="001A612A">
        <w:t xml:space="preserve"> a Správa Komisie EP a Rady o o</w:t>
      </w:r>
      <w:r w:rsidRPr="00C843CB">
        <w:t>chrane finančných záujmov Európskej únie – Boj proti podvodom za rok</w:t>
      </w:r>
      <w:r w:rsidR="001A612A">
        <w:t xml:space="preserve"> 2012</w:t>
      </w:r>
      <w:r w:rsidRPr="00C843CB">
        <w:t>, Manuál nahlasovania nezrovnalostí</w:t>
      </w:r>
      <w:r w:rsidR="00A3624C">
        <w:t xml:space="preserve">, </w:t>
      </w:r>
      <w:r w:rsidRPr="00C843CB">
        <w:t xml:space="preserve">verzia 5.0, informácie o vzdelávacích aktivitách organizovaných OCKÚ OLAF, informácia o kampani </w:t>
      </w:r>
      <w:r w:rsidR="009C044C">
        <w:t>EK</w:t>
      </w:r>
      <w:r w:rsidRPr="00C843CB">
        <w:t xml:space="preserve"> proti falšovaniu priemyselných výrobkov, ako aj ďalšie informácie o činnosti </w:t>
      </w:r>
      <w:r>
        <w:t xml:space="preserve">OCKÚ OLAF </w:t>
      </w:r>
      <w:r w:rsidRPr="005F394B">
        <w:t>ako aj o činnosti EK</w:t>
      </w:r>
      <w:r w:rsidR="007648FB" w:rsidRPr="005F394B">
        <w:t>/</w:t>
      </w:r>
      <w:proofErr w:type="spellStart"/>
      <w:r w:rsidR="007648FB" w:rsidRPr="005F394B">
        <w:t>OLAFu</w:t>
      </w:r>
      <w:proofErr w:type="spellEnd"/>
      <w:r w:rsidR="007648FB" w:rsidRPr="005F394B">
        <w:t xml:space="preserve"> </w:t>
      </w:r>
      <w:r w:rsidRPr="005F394B">
        <w:t>v tejto oblasti</w:t>
      </w:r>
      <w:r w:rsidR="002D3D44" w:rsidRPr="005F394B">
        <w:t xml:space="preserve"> (napr. o</w:t>
      </w:r>
      <w:r w:rsidR="002D3D44">
        <w:t xml:space="preserve"> s</w:t>
      </w:r>
      <w:r w:rsidR="002D3D44" w:rsidRPr="002D3D44">
        <w:t>poločn</w:t>
      </w:r>
      <w:r w:rsidR="002D3D44">
        <w:t>ej vyšetrovac</w:t>
      </w:r>
      <w:r w:rsidR="002D3D44" w:rsidRPr="002D3D44">
        <w:t>e</w:t>
      </w:r>
      <w:r w:rsidR="002D3D44">
        <w:t>j</w:t>
      </w:r>
      <w:r w:rsidR="002D3D44" w:rsidRPr="002D3D44">
        <w:t xml:space="preserve"> činnosti </w:t>
      </w:r>
      <w:proofErr w:type="spellStart"/>
      <w:r w:rsidR="002D3D44">
        <w:t>OLAFu</w:t>
      </w:r>
      <w:proofErr w:type="spellEnd"/>
      <w:r w:rsidR="002D3D44">
        <w:t xml:space="preserve"> a </w:t>
      </w:r>
      <w:proofErr w:type="spellStart"/>
      <w:r w:rsidR="002D3D44" w:rsidRPr="002D3D44">
        <w:t>Guardia</w:t>
      </w:r>
      <w:proofErr w:type="spellEnd"/>
      <w:r w:rsidR="002D3D44" w:rsidRPr="002D3D44">
        <w:t xml:space="preserve"> </w:t>
      </w:r>
      <w:proofErr w:type="spellStart"/>
      <w:r w:rsidR="002D3D44" w:rsidRPr="002D3D44">
        <w:t>di</w:t>
      </w:r>
      <w:proofErr w:type="spellEnd"/>
      <w:r w:rsidR="002D3D44" w:rsidRPr="002D3D44">
        <w:t xml:space="preserve"> </w:t>
      </w:r>
      <w:proofErr w:type="spellStart"/>
      <w:r w:rsidR="002D3D44" w:rsidRPr="002D3D44">
        <w:t>Finanza</w:t>
      </w:r>
      <w:proofErr w:type="spellEnd"/>
      <w:r w:rsidR="002D3D44">
        <w:t xml:space="preserve"> v Taliansku, </w:t>
      </w:r>
      <w:r w:rsidR="002D3D44" w:rsidRPr="002D3D44">
        <w:t xml:space="preserve"> </w:t>
      </w:r>
      <w:r w:rsidR="002D3D44">
        <w:t>o konferenci</w:t>
      </w:r>
      <w:r w:rsidR="009A2262">
        <w:t>i</w:t>
      </w:r>
      <w:r w:rsidR="002D3D44">
        <w:t xml:space="preserve"> </w:t>
      </w:r>
      <w:proofErr w:type="spellStart"/>
      <w:r w:rsidR="002D3D44">
        <w:t>OLAF-u</w:t>
      </w:r>
      <w:proofErr w:type="spellEnd"/>
      <w:r w:rsidR="002D3D44">
        <w:t xml:space="preserve"> zameranej</w:t>
      </w:r>
      <w:r w:rsidR="002D3D44" w:rsidRPr="002D3D44">
        <w:t xml:space="preserve"> na boj proti podvodom v oblasti programov EÚ na rozvoj vidieka</w:t>
      </w:r>
      <w:r w:rsidR="002D3D44">
        <w:t xml:space="preserve">, o </w:t>
      </w:r>
      <w:r w:rsidR="002D3D44" w:rsidRPr="002D3D44">
        <w:t>návrh</w:t>
      </w:r>
      <w:r w:rsidR="002D3D44">
        <w:t>u</w:t>
      </w:r>
      <w:r w:rsidR="002D3D44" w:rsidRPr="002D3D44">
        <w:t xml:space="preserve"> na zriadenie úradu E</w:t>
      </w:r>
      <w:r w:rsidR="002D3D44">
        <w:t>urópskeho verejného prokurátora - EPPO, o a</w:t>
      </w:r>
      <w:r w:rsidR="002D3D44" w:rsidRPr="002D3D44">
        <w:t>kci</w:t>
      </w:r>
      <w:r w:rsidR="002D3D44">
        <w:t>i</w:t>
      </w:r>
      <w:r w:rsidR="002D3D44" w:rsidRPr="002D3D44">
        <w:t xml:space="preserve"> talianskych orgánov </w:t>
      </w:r>
      <w:r w:rsidR="002D3D44">
        <w:t>spustenej</w:t>
      </w:r>
      <w:r w:rsidR="002D3D44" w:rsidRPr="002D3D44">
        <w:t xml:space="preserve"> na základe dôkazov zhromaždených </w:t>
      </w:r>
      <w:proofErr w:type="spellStart"/>
      <w:r w:rsidR="002D3D44" w:rsidRPr="002D3D44">
        <w:t>OLAF-om</w:t>
      </w:r>
      <w:proofErr w:type="spellEnd"/>
      <w:r w:rsidR="002D3D44">
        <w:t xml:space="preserve">, </w:t>
      </w:r>
      <w:r w:rsidR="00520760">
        <w:t>o n</w:t>
      </w:r>
      <w:r w:rsidR="00520760" w:rsidRPr="00520760">
        <w:t>ávštev</w:t>
      </w:r>
      <w:r w:rsidR="00520760">
        <w:t>e</w:t>
      </w:r>
      <w:r w:rsidR="00520760" w:rsidRPr="00520760">
        <w:t xml:space="preserve"> eurokomisára </w:t>
      </w:r>
      <w:proofErr w:type="spellStart"/>
      <w:r w:rsidR="00520760" w:rsidRPr="00520760">
        <w:t>Algirdasa</w:t>
      </w:r>
      <w:proofErr w:type="spellEnd"/>
      <w:r w:rsidR="00520760" w:rsidRPr="00520760">
        <w:t xml:space="preserve"> </w:t>
      </w:r>
      <w:proofErr w:type="spellStart"/>
      <w:r w:rsidR="00520760" w:rsidRPr="00520760">
        <w:t>Šemetu</w:t>
      </w:r>
      <w:proofErr w:type="spellEnd"/>
      <w:r w:rsidR="00520760" w:rsidRPr="00520760">
        <w:t xml:space="preserve"> na Slovensku</w:t>
      </w:r>
      <w:r w:rsidR="009A2262">
        <w:t xml:space="preserve"> </w:t>
      </w:r>
      <w:r w:rsidR="00F0271F">
        <w:t>a pod</w:t>
      </w:r>
      <w:r w:rsidR="00F0271F" w:rsidRPr="005F394B">
        <w:t>.)</w:t>
      </w:r>
      <w:r w:rsidRPr="005F394B">
        <w:t>.</w:t>
      </w:r>
    </w:p>
    <w:p w:rsidR="00CD1C73" w:rsidRDefault="00CD1C73" w:rsidP="003E6510">
      <w:pPr>
        <w:jc w:val="both"/>
      </w:pPr>
      <w:r>
        <w:t xml:space="preserve">Okrem OCKÚ OLAF vydali v sledovanom období tlačové správy nasledovní </w:t>
      </w:r>
      <w:r w:rsidRPr="008131ED">
        <w:rPr>
          <w:b/>
        </w:rPr>
        <w:t>sieťoví partneri</w:t>
      </w:r>
      <w:r w:rsidR="007627AD">
        <w:t xml:space="preserve">: </w:t>
      </w:r>
    </w:p>
    <w:p w:rsidR="008758EE" w:rsidRDefault="0031735A" w:rsidP="00D11B6C">
      <w:pPr>
        <w:jc w:val="both"/>
      </w:pPr>
      <w:r w:rsidRPr="0031735A">
        <w:rPr>
          <w:b/>
        </w:rPr>
        <w:t>FS SR</w:t>
      </w:r>
      <w:r w:rsidRPr="0031735A">
        <w:t xml:space="preserve"> disponuje značným množstvom odhalení protiprávnej činnosti (pašovanie tovaru, nezákonný obchod s tovarom, nezákonná výroba a distribúcia liehu, drog, cigariet). </w:t>
      </w:r>
      <w:r w:rsidR="008758EE">
        <w:t xml:space="preserve">V tejto súvislosti vydala </w:t>
      </w:r>
      <w:r w:rsidR="008758EE" w:rsidRPr="005F394B">
        <w:t xml:space="preserve"> </w:t>
      </w:r>
      <w:r w:rsidR="001A612A">
        <w:t xml:space="preserve">FS SR </w:t>
      </w:r>
      <w:r w:rsidR="008758EE" w:rsidRPr="005F394B">
        <w:t>v</w:t>
      </w:r>
      <w:r w:rsidR="008758EE">
        <w:t xml:space="preserve"> sledovanom období </w:t>
      </w:r>
      <w:r w:rsidR="008758EE" w:rsidRPr="005F394B">
        <w:t xml:space="preserve">celkovo </w:t>
      </w:r>
      <w:r w:rsidR="008758EE" w:rsidRPr="001A612A">
        <w:rPr>
          <w:b/>
        </w:rPr>
        <w:t>273 tlačových správ</w:t>
      </w:r>
      <w:r w:rsidR="00F64F2C" w:rsidRPr="001A612A">
        <w:rPr>
          <w:b/>
        </w:rPr>
        <w:t>.</w:t>
      </w:r>
      <w:r w:rsidR="00F64F2C">
        <w:t xml:space="preserve"> </w:t>
      </w:r>
    </w:p>
    <w:p w:rsidR="002B6DE7" w:rsidRDefault="002B6DE7" w:rsidP="00D11B6C">
      <w:pPr>
        <w:jc w:val="both"/>
      </w:pPr>
      <w:r w:rsidRPr="00F64F2C">
        <w:rPr>
          <w:b/>
          <w:bCs/>
        </w:rPr>
        <w:t>MF SR (C</w:t>
      </w:r>
      <w:r w:rsidR="006203C9">
        <w:rPr>
          <w:b/>
          <w:bCs/>
        </w:rPr>
        <w:t>O</w:t>
      </w:r>
      <w:r w:rsidRPr="00F64F2C">
        <w:rPr>
          <w:b/>
          <w:bCs/>
        </w:rPr>
        <w:t>)</w:t>
      </w:r>
      <w:r w:rsidRPr="00F45BFA">
        <w:t xml:space="preserve"> vydával v roku 2013 pravidelné tlačové správy o stave čerpania prostriedkov EÚ, ktoré zverejňoval na webovej stránke </w:t>
      </w:r>
      <w:r w:rsidR="009C044C">
        <w:t xml:space="preserve">MF SR </w:t>
      </w:r>
      <w:r w:rsidRPr="00F45BFA">
        <w:t xml:space="preserve"> </w:t>
      </w:r>
      <w:hyperlink r:id="rId15" w:history="1">
        <w:r w:rsidRPr="00F45BFA">
          <w:rPr>
            <w:rStyle w:val="Hypertextovprepojenie"/>
          </w:rPr>
          <w:t>http://www.finance.gov.sk/Default.aspx?CatID=91</w:t>
        </w:r>
      </w:hyperlink>
      <w:r w:rsidRPr="00F45BFA">
        <w:t>. Tieto tlačové správy neobsahujú špecifické informácie k jednotlivým identifikovaným nezrovnalostiam.</w:t>
      </w:r>
    </w:p>
    <w:p w:rsidR="007873E0" w:rsidRDefault="00831E87" w:rsidP="007873E0">
      <w:pPr>
        <w:spacing w:after="0"/>
        <w:jc w:val="both"/>
        <w:rPr>
          <w:bCs/>
        </w:rPr>
      </w:pPr>
      <w:r>
        <w:t>V roku 2013 vydal</w:t>
      </w:r>
      <w:r w:rsidR="00F516E0" w:rsidRPr="005F394B">
        <w:t xml:space="preserve"> </w:t>
      </w:r>
      <w:r w:rsidR="00F516E0" w:rsidRPr="005F394B">
        <w:rPr>
          <w:b/>
        </w:rPr>
        <w:t>NKÚ</w:t>
      </w:r>
      <w:r w:rsidR="00F516E0" w:rsidRPr="005F394B">
        <w:t xml:space="preserve"> </w:t>
      </w:r>
      <w:r w:rsidR="00A924CE" w:rsidRPr="005F394B">
        <w:rPr>
          <w:b/>
        </w:rPr>
        <w:t xml:space="preserve">SR </w:t>
      </w:r>
      <w:r w:rsidR="00F516E0" w:rsidRPr="005F394B">
        <w:t>2 tlačové správy</w:t>
      </w:r>
      <w:r w:rsidR="00F516E0" w:rsidRPr="00F516E0">
        <w:t>, týkajúce sa problematiky ochrany finančných záujmov EÚ. V prvej TS informovalo o výsledkoch kontroly prostriedkov EÚ najmä na vedu a výskum.</w:t>
      </w:r>
      <w:r w:rsidR="002B6DE7">
        <w:t xml:space="preserve"> </w:t>
      </w:r>
      <w:r w:rsidR="002B6DE7" w:rsidRPr="00F64F2C">
        <w:rPr>
          <w:bCs/>
        </w:rPr>
        <w:t>NKÚ SR</w:t>
      </w:r>
      <w:r w:rsidR="002B6DE7" w:rsidRPr="002B6DE7">
        <w:rPr>
          <w:bCs/>
        </w:rPr>
        <w:t xml:space="preserve"> vykonal kontrolnú akciu oprávnenosti výdavkov v rámci </w:t>
      </w:r>
      <w:r w:rsidR="007873E0" w:rsidRPr="007873E0">
        <w:rPr>
          <w:b/>
          <w:bCs/>
        </w:rPr>
        <w:t xml:space="preserve">OP </w:t>
      </w:r>
      <w:proofErr w:type="spellStart"/>
      <w:r w:rsidR="007873E0" w:rsidRPr="007873E0">
        <w:rPr>
          <w:b/>
          <w:bCs/>
        </w:rPr>
        <w:t>VaV</w:t>
      </w:r>
      <w:proofErr w:type="spellEnd"/>
      <w:r w:rsidR="002B6DE7" w:rsidRPr="002B6DE7">
        <w:rPr>
          <w:bCs/>
        </w:rPr>
        <w:t xml:space="preserve"> v rámci </w:t>
      </w:r>
      <w:r w:rsidR="007873E0">
        <w:rPr>
          <w:bCs/>
        </w:rPr>
        <w:t xml:space="preserve">ŠF </w:t>
      </w:r>
      <w:r w:rsidR="002B6DE7" w:rsidRPr="002B6DE7">
        <w:rPr>
          <w:bCs/>
        </w:rPr>
        <w:t>EÚ v súlade s plánom kontrolnej činnosti na rok 2012. Kontrola bola vykonaná v 1. polroku 2012 v</w:t>
      </w:r>
      <w:r w:rsidR="009C6A7C">
        <w:rPr>
          <w:bCs/>
        </w:rPr>
        <w:t xml:space="preserve"> ASFEÚ, v rámci ktorej </w:t>
      </w:r>
      <w:r w:rsidR="002B6DE7" w:rsidRPr="002B6DE7">
        <w:rPr>
          <w:bCs/>
        </w:rPr>
        <w:t xml:space="preserve">boli </w:t>
      </w:r>
      <w:r w:rsidR="009C6A7C">
        <w:rPr>
          <w:bCs/>
        </w:rPr>
        <w:t xml:space="preserve">skontrolované </w:t>
      </w:r>
      <w:r w:rsidR="002B6DE7" w:rsidRPr="002B6DE7">
        <w:rPr>
          <w:bCs/>
        </w:rPr>
        <w:t>vybrané výzvy v oblasti podpory aplikovaného výskumu a</w:t>
      </w:r>
      <w:r w:rsidR="009C6A7C">
        <w:rPr>
          <w:bCs/>
        </w:rPr>
        <w:t> </w:t>
      </w:r>
      <w:r w:rsidR="002B6DE7" w:rsidRPr="002B6DE7">
        <w:rPr>
          <w:bCs/>
        </w:rPr>
        <w:t>vývoja</w:t>
      </w:r>
      <w:r w:rsidR="009C6A7C">
        <w:rPr>
          <w:bCs/>
        </w:rPr>
        <w:t xml:space="preserve"> </w:t>
      </w:r>
      <w:r w:rsidR="002B6DE7" w:rsidRPr="002B6DE7">
        <w:rPr>
          <w:bCs/>
        </w:rPr>
        <w:t>vyhlás</w:t>
      </w:r>
      <w:r w:rsidR="009C6A7C">
        <w:rPr>
          <w:bCs/>
        </w:rPr>
        <w:t>ené</w:t>
      </w:r>
      <w:r w:rsidR="002B6DE7" w:rsidRPr="002B6DE7">
        <w:rPr>
          <w:bCs/>
        </w:rPr>
        <w:t xml:space="preserve"> v rokoch 2009-2011.</w:t>
      </w:r>
      <w:r w:rsidR="00310655" w:rsidRPr="00310655">
        <w:rPr>
          <w:bCs/>
        </w:rPr>
        <w:t xml:space="preserve"> </w:t>
      </w:r>
      <w:r w:rsidR="00310655" w:rsidRPr="002B6DE7">
        <w:rPr>
          <w:bCs/>
        </w:rPr>
        <w:t>NKÚ SR overil plnenie nápravných opatrení zo strany kontrolovaného subjektu v roku 2013.  Výsledky kontroly boli odstúpené orgánom činným v trestnom konaní</w:t>
      </w:r>
      <w:r w:rsidR="00310655">
        <w:rPr>
          <w:bCs/>
        </w:rPr>
        <w:t xml:space="preserve">. V rámci tejto kontroly bolo odhalených </w:t>
      </w:r>
      <w:r w:rsidR="002B6DE7" w:rsidRPr="002B6DE7">
        <w:rPr>
          <w:bCs/>
        </w:rPr>
        <w:t>15 nedostatkov systémového charakteru v hodnotení projektov a 392 nedostatkov pri prideľovaní bodov pri hodn</w:t>
      </w:r>
      <w:r w:rsidR="007873E0">
        <w:rPr>
          <w:bCs/>
        </w:rPr>
        <w:t xml:space="preserve">otení kontrolovaných projektov. </w:t>
      </w:r>
      <w:r w:rsidR="00310655">
        <w:rPr>
          <w:bCs/>
        </w:rPr>
        <w:t>N</w:t>
      </w:r>
      <w:r w:rsidR="002B6DE7" w:rsidRPr="002B6DE7">
        <w:rPr>
          <w:bCs/>
        </w:rPr>
        <w:t xml:space="preserve">ajvážnejšie systémové </w:t>
      </w:r>
      <w:r w:rsidR="00310655">
        <w:rPr>
          <w:bCs/>
        </w:rPr>
        <w:t xml:space="preserve">nedostatky sa týkali </w:t>
      </w:r>
      <w:r w:rsidR="002B6DE7" w:rsidRPr="002B6DE7">
        <w:rPr>
          <w:bCs/>
        </w:rPr>
        <w:t>zabezpečeni</w:t>
      </w:r>
      <w:r w:rsidR="00310655">
        <w:rPr>
          <w:bCs/>
        </w:rPr>
        <w:t>a</w:t>
      </w:r>
      <w:r w:rsidR="002B6DE7" w:rsidRPr="002B6DE7">
        <w:rPr>
          <w:bCs/>
        </w:rPr>
        <w:t xml:space="preserve"> objektívneho hodnotenia žiadostí,  zvýšeni</w:t>
      </w:r>
      <w:r w:rsidR="00310655">
        <w:rPr>
          <w:bCs/>
        </w:rPr>
        <w:t>a</w:t>
      </w:r>
      <w:r w:rsidR="002B6DE7" w:rsidRPr="002B6DE7">
        <w:rPr>
          <w:bCs/>
        </w:rPr>
        <w:t xml:space="preserve"> transparentnosti výberu žiadostí, zabezpečeni</w:t>
      </w:r>
      <w:r w:rsidR="00310655">
        <w:rPr>
          <w:bCs/>
        </w:rPr>
        <w:t>a</w:t>
      </w:r>
      <w:r w:rsidR="002B6DE7" w:rsidRPr="002B6DE7">
        <w:rPr>
          <w:bCs/>
        </w:rPr>
        <w:t xml:space="preserve"> vhodnosti výberu samotných hodnotiteľov žiadostí, úprav</w:t>
      </w:r>
      <w:r w:rsidR="00310655">
        <w:rPr>
          <w:bCs/>
        </w:rPr>
        <w:t>y</w:t>
      </w:r>
      <w:r w:rsidR="002B6DE7" w:rsidRPr="002B6DE7">
        <w:rPr>
          <w:bCs/>
        </w:rPr>
        <w:t xml:space="preserve"> písomných postupov (interného manuálu), dodržiavani</w:t>
      </w:r>
      <w:r w:rsidR="00310655">
        <w:rPr>
          <w:bCs/>
        </w:rPr>
        <w:t>a</w:t>
      </w:r>
      <w:r w:rsidR="002B6DE7" w:rsidRPr="002B6DE7">
        <w:rPr>
          <w:bCs/>
        </w:rPr>
        <w:t xml:space="preserve"> interného manuálu a v neposlednom rade zvýšeni</w:t>
      </w:r>
      <w:r w:rsidR="00310655">
        <w:rPr>
          <w:bCs/>
        </w:rPr>
        <w:t>a</w:t>
      </w:r>
      <w:r w:rsidR="002B6DE7" w:rsidRPr="002B6DE7">
        <w:rPr>
          <w:bCs/>
        </w:rPr>
        <w:t xml:space="preserve"> účinnosti a efektívnosti vnútornej kontroly</w:t>
      </w:r>
      <w:r w:rsidR="00310655">
        <w:rPr>
          <w:bCs/>
        </w:rPr>
        <w:t xml:space="preserve">. </w:t>
      </w:r>
      <w:r w:rsidR="002B6DE7" w:rsidRPr="002B6DE7">
        <w:rPr>
          <w:bCs/>
        </w:rPr>
        <w:t xml:space="preserve"> </w:t>
      </w:r>
    </w:p>
    <w:p w:rsidR="002B6DE7" w:rsidRPr="002B6DE7" w:rsidRDefault="00310655" w:rsidP="007873E0">
      <w:pPr>
        <w:spacing w:after="0"/>
        <w:jc w:val="both"/>
        <w:rPr>
          <w:bCs/>
        </w:rPr>
      </w:pPr>
      <w:r w:rsidRPr="007873E0">
        <w:rPr>
          <w:bCs/>
        </w:rPr>
        <w:t>V druhej tlačovej správe</w:t>
      </w:r>
      <w:r>
        <w:rPr>
          <w:b/>
          <w:bCs/>
        </w:rPr>
        <w:t xml:space="preserve"> </w:t>
      </w:r>
      <w:r w:rsidR="002B6DE7" w:rsidRPr="00F64F2C">
        <w:rPr>
          <w:bCs/>
        </w:rPr>
        <w:t>NKÚ SR</w:t>
      </w:r>
      <w:r w:rsidR="002B6DE7" w:rsidRPr="002B6DE7">
        <w:rPr>
          <w:bCs/>
        </w:rPr>
        <w:t xml:space="preserve"> </w:t>
      </w:r>
      <w:r>
        <w:rPr>
          <w:bCs/>
        </w:rPr>
        <w:t xml:space="preserve">informovalo o kontrole </w:t>
      </w:r>
      <w:r w:rsidRPr="002B6DE7">
        <w:rPr>
          <w:bCs/>
        </w:rPr>
        <w:t>výkonnosti</w:t>
      </w:r>
      <w:r w:rsidRPr="002B6DE7" w:rsidDel="00310655">
        <w:rPr>
          <w:bCs/>
        </w:rPr>
        <w:t xml:space="preserve"> </w:t>
      </w:r>
      <w:r>
        <w:rPr>
          <w:bCs/>
        </w:rPr>
        <w:t xml:space="preserve">vykonanej </w:t>
      </w:r>
      <w:r w:rsidR="002B6DE7" w:rsidRPr="002B6DE7">
        <w:rPr>
          <w:bCs/>
        </w:rPr>
        <w:t xml:space="preserve">v prvom polroku 2013, ktorej cieľom bolo preveriť financovanie  vedecko-výskumnej činnosti zo zahraničných zdrojov na vybraných vysokých školách a univerzitách. </w:t>
      </w:r>
      <w:r w:rsidR="002B6DE7" w:rsidRPr="002B6DE7">
        <w:rPr>
          <w:b/>
          <w:bCs/>
        </w:rPr>
        <w:t xml:space="preserve">Najvýznamnejším </w:t>
      </w:r>
      <w:proofErr w:type="spellStart"/>
      <w:r w:rsidR="002B6DE7" w:rsidRPr="002B6DE7">
        <w:rPr>
          <w:b/>
          <w:bCs/>
        </w:rPr>
        <w:t>donorom</w:t>
      </w:r>
      <w:proofErr w:type="spellEnd"/>
      <w:r w:rsidR="002B6DE7" w:rsidRPr="002B6DE7">
        <w:rPr>
          <w:bCs/>
        </w:rPr>
        <w:t xml:space="preserve"> vedecko-výskumnej činnosti v rámci zahraničných grantov kontrolovaných fakúlt </w:t>
      </w:r>
      <w:r w:rsidR="002B6DE7" w:rsidRPr="002B6DE7">
        <w:rPr>
          <w:b/>
          <w:bCs/>
        </w:rPr>
        <w:t>bola podľa kontroly NKÚ SR vyhodnotená Európska únia</w:t>
      </w:r>
      <w:r w:rsidR="002B6DE7" w:rsidRPr="002B6DE7">
        <w:rPr>
          <w:bCs/>
        </w:rPr>
        <w:t xml:space="preserve">. </w:t>
      </w:r>
    </w:p>
    <w:p w:rsidR="002B6DE7" w:rsidRDefault="002B6DE7" w:rsidP="007873E0">
      <w:pPr>
        <w:spacing w:after="0"/>
        <w:jc w:val="both"/>
        <w:rPr>
          <w:bCs/>
        </w:rPr>
      </w:pPr>
      <w:r w:rsidRPr="002B6DE7">
        <w:rPr>
          <w:bCs/>
        </w:rPr>
        <w:t xml:space="preserve">Kontrolou NKÚ SR bolo zistené, že </w:t>
      </w:r>
      <w:proofErr w:type="spellStart"/>
      <w:r w:rsidR="00AD0177">
        <w:rPr>
          <w:bCs/>
        </w:rPr>
        <w:t>MŠVVaŠ</w:t>
      </w:r>
      <w:proofErr w:type="spellEnd"/>
      <w:r w:rsidR="00AD0177">
        <w:rPr>
          <w:bCs/>
        </w:rPr>
        <w:t xml:space="preserve"> SR</w:t>
      </w:r>
      <w:r w:rsidRPr="002B6DE7">
        <w:rPr>
          <w:bCs/>
        </w:rPr>
        <w:t xml:space="preserve"> nemá informácie o tom, ako prispievajú programy vedecko-výskumných projektov financovaných zo štátnych programov, štrukturálnych fondov a  zahraničných zdrojov na plnenie prioritných cieľov vedecko-výskumnej činnosti v SR. Neexistuje </w:t>
      </w:r>
      <w:r w:rsidRPr="002B6DE7">
        <w:rPr>
          <w:bCs/>
        </w:rPr>
        <w:lastRenderedPageBreak/>
        <w:t xml:space="preserve">model, ktorý by definoval, ktorý finančný nástroj a akým spôsobom prispieva k vedecko-výskumnému pokroku. Nie je nastavená súčinnosť finančných nástrojov v oblasti vedy, výskumu a inovácií, a teda nie je možné vyhodnotiť účinnosť programov ani efektívnosť použitia finančných prostriedkov. </w:t>
      </w:r>
    </w:p>
    <w:p w:rsidR="009C660F" w:rsidRPr="002B6DE7" w:rsidRDefault="009C660F" w:rsidP="007873E0">
      <w:pPr>
        <w:spacing w:after="0"/>
        <w:jc w:val="both"/>
        <w:rPr>
          <w:bCs/>
        </w:rPr>
      </w:pPr>
    </w:p>
    <w:p w:rsidR="009A2262" w:rsidRDefault="009A2262" w:rsidP="00D11B6C">
      <w:pPr>
        <w:jc w:val="both"/>
      </w:pPr>
      <w:r w:rsidRPr="009C660F">
        <w:rPr>
          <w:b/>
        </w:rPr>
        <w:t>Ostatní sieťoví partneri</w:t>
      </w:r>
      <w:r>
        <w:t xml:space="preserve"> nevydávali vlastné tlačové správy. Na svojich webových sídlach zverejňovali informácie, týkajúce sa problematiky OFZ EÚ na základe požiadavky OCKÚ OLAF resp. </w:t>
      </w:r>
      <w:proofErr w:type="spellStart"/>
      <w:r>
        <w:t>OLAF-u</w:t>
      </w:r>
      <w:proofErr w:type="spellEnd"/>
      <w:r>
        <w:t xml:space="preserve">  a taktiež v nadväznosti na úlohy vyplývajúce z činnosti PSK pod Riadiacim výborom. </w:t>
      </w:r>
    </w:p>
    <w:p w:rsidR="00F516E0" w:rsidRPr="00F516E0" w:rsidRDefault="00F516E0" w:rsidP="00F516E0">
      <w:pPr>
        <w:jc w:val="both"/>
      </w:pPr>
    </w:p>
    <w:p w:rsidR="00F516E0" w:rsidRDefault="00F516E0" w:rsidP="00F516E0">
      <w:pPr>
        <w:jc w:val="both"/>
      </w:pPr>
    </w:p>
    <w:p w:rsidR="005821E1" w:rsidRDefault="005821E1" w:rsidP="00F516E0">
      <w:pPr>
        <w:jc w:val="both"/>
      </w:pPr>
    </w:p>
    <w:p w:rsidR="005821E1" w:rsidRDefault="005821E1" w:rsidP="00F516E0">
      <w:pPr>
        <w:jc w:val="both"/>
      </w:pPr>
    </w:p>
    <w:p w:rsidR="005821E1" w:rsidRDefault="005821E1" w:rsidP="00F516E0">
      <w:pPr>
        <w:jc w:val="both"/>
      </w:pPr>
    </w:p>
    <w:p w:rsidR="005821E1" w:rsidRDefault="005821E1" w:rsidP="00F516E0">
      <w:pPr>
        <w:jc w:val="both"/>
      </w:pPr>
    </w:p>
    <w:p w:rsidR="006658DE" w:rsidRDefault="006658DE" w:rsidP="00F516E0">
      <w:pPr>
        <w:jc w:val="both"/>
      </w:pPr>
    </w:p>
    <w:p w:rsidR="006658DE" w:rsidRDefault="006658DE" w:rsidP="00F516E0">
      <w:pPr>
        <w:jc w:val="both"/>
      </w:pPr>
    </w:p>
    <w:p w:rsidR="006658DE" w:rsidRDefault="006658DE" w:rsidP="00F516E0">
      <w:pPr>
        <w:jc w:val="both"/>
      </w:pPr>
    </w:p>
    <w:p w:rsidR="006658DE" w:rsidRDefault="006658DE" w:rsidP="00F516E0">
      <w:pPr>
        <w:jc w:val="both"/>
      </w:pPr>
    </w:p>
    <w:p w:rsidR="005821E1" w:rsidRDefault="005821E1" w:rsidP="00F516E0">
      <w:pPr>
        <w:jc w:val="both"/>
      </w:pPr>
    </w:p>
    <w:p w:rsidR="007873E0" w:rsidRDefault="007873E0" w:rsidP="00F516E0">
      <w:pPr>
        <w:jc w:val="both"/>
      </w:pPr>
    </w:p>
    <w:p w:rsidR="005821E1" w:rsidRDefault="005821E1" w:rsidP="00F516E0">
      <w:pPr>
        <w:jc w:val="both"/>
      </w:pPr>
    </w:p>
    <w:p w:rsidR="005821E1" w:rsidRDefault="005821E1" w:rsidP="00F516E0">
      <w:pPr>
        <w:jc w:val="both"/>
      </w:pPr>
    </w:p>
    <w:p w:rsidR="00534726" w:rsidRDefault="00534726" w:rsidP="00F516E0">
      <w:pPr>
        <w:jc w:val="both"/>
      </w:pPr>
    </w:p>
    <w:p w:rsidR="00534726" w:rsidRDefault="00534726" w:rsidP="00F516E0">
      <w:pPr>
        <w:jc w:val="both"/>
      </w:pPr>
    </w:p>
    <w:p w:rsidR="00534726" w:rsidRDefault="00534726" w:rsidP="00F516E0">
      <w:pPr>
        <w:jc w:val="both"/>
      </w:pPr>
    </w:p>
    <w:p w:rsidR="00534726" w:rsidRDefault="00534726" w:rsidP="00F516E0">
      <w:pPr>
        <w:jc w:val="both"/>
      </w:pPr>
    </w:p>
    <w:p w:rsidR="00534726" w:rsidRDefault="00534726" w:rsidP="00F516E0">
      <w:pPr>
        <w:jc w:val="both"/>
      </w:pPr>
    </w:p>
    <w:p w:rsidR="00534726" w:rsidRDefault="00534726" w:rsidP="00F516E0">
      <w:pPr>
        <w:jc w:val="both"/>
      </w:pPr>
    </w:p>
    <w:p w:rsidR="00534726" w:rsidRDefault="00534726" w:rsidP="00F516E0">
      <w:pPr>
        <w:jc w:val="both"/>
      </w:pPr>
    </w:p>
    <w:p w:rsidR="00534726" w:rsidRDefault="00534726" w:rsidP="00F516E0">
      <w:pPr>
        <w:jc w:val="both"/>
      </w:pPr>
    </w:p>
    <w:p w:rsidR="00D11B6C" w:rsidRDefault="00F71C31" w:rsidP="00D11B6C">
      <w:pPr>
        <w:pStyle w:val="Nadpis1"/>
        <w:ind w:left="567"/>
      </w:pPr>
      <w:bookmarkStart w:id="103" w:name="_Toc384972222"/>
      <w:r>
        <w:lastRenderedPageBreak/>
        <w:t>9</w:t>
      </w:r>
      <w:r w:rsidR="00D11B6C">
        <w:t xml:space="preserve">.  </w:t>
      </w:r>
      <w:r w:rsidR="00764189">
        <w:t>Z</w:t>
      </w:r>
      <w:r w:rsidR="00D42502">
        <w:t>áver</w:t>
      </w:r>
      <w:bookmarkEnd w:id="103"/>
    </w:p>
    <w:p w:rsidR="00D11B6C" w:rsidRPr="00D11B6C" w:rsidRDefault="00D11B6C" w:rsidP="00D11B6C"/>
    <w:p w:rsidR="00CC4CD8" w:rsidRPr="00CC4CD8" w:rsidRDefault="00CC4CD8" w:rsidP="00D11B6C">
      <w:pPr>
        <w:jc w:val="both"/>
      </w:pPr>
      <w:r w:rsidRPr="00CC4CD8">
        <w:t xml:space="preserve">Ochrana finančných záujmov EÚ v Slovenskej republike je trvalá úloha. Úspešné plnenie tejto úlohy závisí od účinnosti a úspechu boja proti podvodom. To je možné dosiahnuť spojením úsilia orgánov zaoberajúcich sa ochranou finančných záujmov Európskej únie v Slovenskej republike a občanov, zlepšením ich informovanosti o podstate, príčinách a následkoch podvodov. </w:t>
      </w:r>
    </w:p>
    <w:p w:rsidR="00D42502" w:rsidRPr="000A456B" w:rsidRDefault="00CD1C73" w:rsidP="00D11B6C">
      <w:pPr>
        <w:jc w:val="both"/>
      </w:pPr>
      <w:r>
        <w:t>Z</w:t>
      </w:r>
      <w:r w:rsidR="000A456B">
        <w:t>abraňovanie zneužívaniu finančných prostriedkov EÚ</w:t>
      </w:r>
      <w:r w:rsidR="007873E0">
        <w:t xml:space="preserve">, </w:t>
      </w:r>
      <w:r w:rsidR="00345FBE">
        <w:t xml:space="preserve">formou prevencie </w:t>
      </w:r>
      <w:r>
        <w:t xml:space="preserve">je </w:t>
      </w:r>
      <w:r w:rsidR="000A456B">
        <w:t>lacnejšie a efektívnejšie než jeho odhaľovanie a následné riešenie. K uvedenému má za cieľ prispieť aj zvyšovanie povedomia a informovanie verejnosti o boji proti podvodom v súvislosti s európskymi peniazmi</w:t>
      </w:r>
      <w:r w:rsidR="00CC4CD8">
        <w:t>, k čomu má prispieť aj táto Výročná správa</w:t>
      </w:r>
      <w:r w:rsidR="000A456B">
        <w:t xml:space="preserve">. </w:t>
      </w:r>
      <w:r w:rsidR="00854AA7" w:rsidRPr="000A456B">
        <w:t xml:space="preserve"> </w:t>
      </w:r>
    </w:p>
    <w:p w:rsidR="00A764BC" w:rsidRDefault="00A764BC" w:rsidP="00D11B6C">
      <w:pPr>
        <w:jc w:val="both"/>
      </w:pPr>
      <w:r>
        <w:t>V budúcnosti bude čoraz viac narastať význam koordinačných útvarov pre boj proti podvodom v členských štátoch EÚ</w:t>
      </w:r>
      <w:r w:rsidR="00CD1C73">
        <w:t xml:space="preserve">. </w:t>
      </w:r>
      <w:r>
        <w:t xml:space="preserve">Preto je cieľom OCKÚ OLAF a sieťových partnerov </w:t>
      </w:r>
      <w:r w:rsidR="001924C2">
        <w:t xml:space="preserve">v Slovenskej republike </w:t>
      </w:r>
      <w:r>
        <w:t>naďalej rozvíjať vzájomnú spoluprácu pri napĺňaní neľahkej úlohy bo</w:t>
      </w:r>
      <w:r w:rsidR="001924C2">
        <w:t>jovať proti zneužívaniu finančn</w:t>
      </w:r>
      <w:r>
        <w:t>ých prostriedkov EÚ a zároveň zabezpečovať ich efektív</w:t>
      </w:r>
      <w:r w:rsidR="001924C2">
        <w:t xml:space="preserve">ne a transparentné používanie. </w:t>
      </w:r>
    </w:p>
    <w:p w:rsidR="004F37F0" w:rsidRDefault="004F37F0" w:rsidP="00D11B6C">
      <w:pPr>
        <w:jc w:val="both"/>
      </w:pPr>
      <w:r>
        <w:t>Európska komisia (Generálne</w:t>
      </w:r>
      <w:r w:rsidRPr="004F37F0">
        <w:t xml:space="preserve"> riaditeľstvo pre spravodlivosť</w:t>
      </w:r>
      <w:r>
        <w:t>), v spolupráci s </w:t>
      </w:r>
      <w:proofErr w:type="spellStart"/>
      <w:r>
        <w:t>OLAFom</w:t>
      </w:r>
      <w:proofErr w:type="spellEnd"/>
      <w:r>
        <w:t xml:space="preserve"> </w:t>
      </w:r>
      <w:r w:rsidRPr="004F37F0">
        <w:t xml:space="preserve"> predložila dňa 17. júla 2013 návrh </w:t>
      </w:r>
      <w:r w:rsidRPr="00CC4CD8">
        <w:rPr>
          <w:bCs/>
          <w:i/>
        </w:rPr>
        <w:t>nariadenia Rady o zriadení Úradu európskej prokuratúry (EPPO)</w:t>
      </w:r>
      <w:r w:rsidRPr="00CC4CD8">
        <w:rPr>
          <w:i/>
        </w:rPr>
        <w:t>,</w:t>
      </w:r>
      <w:r w:rsidRPr="004F37F0">
        <w:t xml:space="preserve"> ktorého hlavným cieľom je zriadiť uvedenú inštitúciu ako jednotný systém vyšetrovania a stíhania trestných činov spojených s podvodmi proti finančným záujmom EÚ. Návrh tvorí súčasť tzv. balíka legislatívnych opatrení na posilnenie inštitucionálnych aspektov ochrany finančných záujmov Únie. Tento balík zahŕňa aj návrh nariadenia o zriadení Agentúry Európskej únie pre justičnú spoluprácu v trestných veciach (</w:t>
      </w:r>
      <w:proofErr w:type="spellStart"/>
      <w:r w:rsidRPr="004F37F0">
        <w:t>Eurojust</w:t>
      </w:r>
      <w:proofErr w:type="spellEnd"/>
      <w:r w:rsidRPr="004F37F0">
        <w:t>) a „</w:t>
      </w:r>
      <w:r>
        <w:t>O</w:t>
      </w:r>
      <w:r w:rsidRPr="004F37F0">
        <w:t>známenie o zlepšení riadenia úradu OLAF a posilnení procesných záruk pri vyšetrovaniach vzhľadom na zriadenie Európskej prokuratúry“.</w:t>
      </w:r>
      <w:r w:rsidR="005821E1">
        <w:t xml:space="preserve"> </w:t>
      </w:r>
      <w:r w:rsidR="005821E1" w:rsidRPr="005821E1">
        <w:t>Návrh na zriadenie EPPO predstavuje realizáciu a naplnenie čl. 86 Zmluvy o fungovaní EÚ.</w:t>
      </w:r>
    </w:p>
    <w:p w:rsidR="004F37F0" w:rsidRPr="004F37F0" w:rsidRDefault="004F37F0" w:rsidP="004F37F0">
      <w:pPr>
        <w:jc w:val="both"/>
      </w:pPr>
      <w:r>
        <w:t xml:space="preserve">EPPO </w:t>
      </w:r>
      <w:r w:rsidRPr="004F37F0">
        <w:t xml:space="preserve">by mal vyplniť medzery a nedostatky v riešení prípadov podvodu, ktoré majú charakter trestných činov. OLAF predpokladá, že EPPO zabezpečí vyššiu účinnosť vyšetrovania a stíhania podvodov proti finančným záujmom EÚ. </w:t>
      </w:r>
    </w:p>
    <w:p w:rsidR="004F37F0" w:rsidRDefault="004F37F0" w:rsidP="004F37F0">
      <w:pPr>
        <w:jc w:val="both"/>
      </w:pPr>
      <w:r w:rsidRPr="004F37F0">
        <w:t>OLAF sa podieľal aj na príprave návrhu smernice Európskeho parlamentu a Rady o boji proti podvodom poškodzujúcim finančné záujmy Únie prostredníctvom trestného práva, ktorá ma tvoriť hmotnoprávny základ pôsobnosti Európskeho prokurátora</w:t>
      </w:r>
      <w:r w:rsidRPr="00D11B6C">
        <w:t xml:space="preserve">. Tento návrh </w:t>
      </w:r>
      <w:r w:rsidR="00D11B6C" w:rsidRPr="00D11B6C">
        <w:t xml:space="preserve">by mal byť prijatý v neskoršom období. </w:t>
      </w:r>
      <w:r w:rsidRPr="004F37F0">
        <w:t xml:space="preserve"> </w:t>
      </w:r>
    </w:p>
    <w:p w:rsidR="009A2262" w:rsidRDefault="009A2262" w:rsidP="004F37F0">
      <w:pPr>
        <w:jc w:val="both"/>
      </w:pPr>
      <w:r>
        <w:t xml:space="preserve">V budúcom roku bude OCKÚ OLAF naďalej vyvíjať aktivity v oblasti zvyšovania povedomia verejnosti o potrebe ochrany finančných záujmov Európskej únie v Slovenskej republike. </w:t>
      </w:r>
    </w:p>
    <w:p w:rsidR="004F37F0" w:rsidRPr="004F37F0" w:rsidRDefault="004F37F0" w:rsidP="00622E73">
      <w:pPr>
        <w:jc w:val="both"/>
      </w:pPr>
    </w:p>
    <w:sectPr w:rsidR="004F37F0" w:rsidRPr="004F37F0" w:rsidSect="00310655">
      <w:footerReference w:type="default" r:id="rId1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5F" w:rsidRDefault="006D215F" w:rsidP="00A8455B">
      <w:pPr>
        <w:spacing w:after="0" w:line="240" w:lineRule="auto"/>
      </w:pPr>
      <w:r>
        <w:separator/>
      </w:r>
    </w:p>
  </w:endnote>
  <w:endnote w:type="continuationSeparator" w:id="0">
    <w:p w:rsidR="006D215F" w:rsidRDefault="006D215F" w:rsidP="00A8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656"/>
      <w:gridCol w:w="19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18866795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55F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155F7" w:rsidRDefault="00E155F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155F7" w:rsidRDefault="00E155F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A5583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:rsidR="00E155F7" w:rsidRDefault="00E155F7" w:rsidP="00C93D05">
    <w:pPr>
      <w:pStyle w:val="Pta"/>
      <w:tabs>
        <w:tab w:val="clear" w:pos="4536"/>
        <w:tab w:val="clear" w:pos="9072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5F" w:rsidRDefault="006D215F" w:rsidP="00A8455B">
      <w:pPr>
        <w:spacing w:after="0" w:line="240" w:lineRule="auto"/>
      </w:pPr>
      <w:r>
        <w:separator/>
      </w:r>
    </w:p>
  </w:footnote>
  <w:footnote w:type="continuationSeparator" w:id="0">
    <w:p w:rsidR="006D215F" w:rsidRDefault="006D215F" w:rsidP="00A8455B">
      <w:pPr>
        <w:spacing w:after="0" w:line="240" w:lineRule="auto"/>
      </w:pPr>
      <w:r>
        <w:continuationSeparator/>
      </w:r>
    </w:p>
  </w:footnote>
  <w:footnote w:id="1">
    <w:p w:rsidR="00E155F7" w:rsidRPr="00031C44" w:rsidRDefault="00E155F7" w:rsidP="006736E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031C44">
        <w:rPr>
          <w:b/>
        </w:rPr>
        <w:t xml:space="preserve">Sieť AFCOS - </w:t>
      </w:r>
      <w:r w:rsidRPr="00031C44">
        <w:t xml:space="preserve">štruktúra spolupracujúcich orgánov v jednotlivých členských štátoch EÚ, ktorej hlavným cieľom je vzájomná spolupráca pri plnení úloh v oblasti ochrany finančných záujmov EÚ a efektívna komunikácia s </w:t>
      </w:r>
      <w:proofErr w:type="spellStart"/>
      <w:r w:rsidRPr="00031C44">
        <w:t>OLAF-om</w:t>
      </w:r>
      <w:proofErr w:type="spellEnd"/>
      <w:r>
        <w:t xml:space="preserve"> a s ostatnými členskými štátmi </w:t>
      </w:r>
      <w:r w:rsidRPr="00031C44">
        <w:t>EÚ</w:t>
      </w:r>
      <w:r>
        <w:t xml:space="preserve">. </w:t>
      </w:r>
    </w:p>
    <w:p w:rsidR="00E155F7" w:rsidRDefault="00E155F7" w:rsidP="00031C44">
      <w:pPr>
        <w:pStyle w:val="Textpoznmkypodi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18F"/>
    <w:multiLevelType w:val="hybridMultilevel"/>
    <w:tmpl w:val="BE507E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6691"/>
    <w:multiLevelType w:val="hybridMultilevel"/>
    <w:tmpl w:val="7EA28C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42A73"/>
    <w:multiLevelType w:val="hybridMultilevel"/>
    <w:tmpl w:val="D18698E4"/>
    <w:lvl w:ilvl="0" w:tplc="B15ED1A8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EB4713"/>
    <w:multiLevelType w:val="multilevel"/>
    <w:tmpl w:val="03C62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1737BE"/>
    <w:multiLevelType w:val="hybridMultilevel"/>
    <w:tmpl w:val="EB86F32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04B93"/>
    <w:multiLevelType w:val="hybridMultilevel"/>
    <w:tmpl w:val="29283EF6"/>
    <w:lvl w:ilvl="0" w:tplc="CD2EE1F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972C7"/>
    <w:multiLevelType w:val="hybridMultilevel"/>
    <w:tmpl w:val="D36C7DCC"/>
    <w:lvl w:ilvl="0" w:tplc="B3A2FF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E1A12"/>
    <w:multiLevelType w:val="hybridMultilevel"/>
    <w:tmpl w:val="77883D30"/>
    <w:lvl w:ilvl="0" w:tplc="2140EB96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243413"/>
    <w:multiLevelType w:val="hybridMultilevel"/>
    <w:tmpl w:val="07F21B40"/>
    <w:lvl w:ilvl="0" w:tplc="D87452EC">
      <w:start w:val="6"/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E40DA"/>
    <w:multiLevelType w:val="hybridMultilevel"/>
    <w:tmpl w:val="493A9E60"/>
    <w:lvl w:ilvl="0" w:tplc="0F904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0499C"/>
    <w:multiLevelType w:val="hybridMultilevel"/>
    <w:tmpl w:val="841A5FFA"/>
    <w:lvl w:ilvl="0" w:tplc="134CB46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54915"/>
    <w:multiLevelType w:val="hybridMultilevel"/>
    <w:tmpl w:val="C4D4B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173"/>
    <w:multiLevelType w:val="hybridMultilevel"/>
    <w:tmpl w:val="6096AF10"/>
    <w:lvl w:ilvl="0" w:tplc="5E94B85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4C820A6"/>
    <w:multiLevelType w:val="hybridMultilevel"/>
    <w:tmpl w:val="021C44D4"/>
    <w:lvl w:ilvl="0" w:tplc="81FAB74A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27" w:hanging="360"/>
      </w:pPr>
    </w:lvl>
    <w:lvl w:ilvl="2" w:tplc="041B001B" w:tentative="1">
      <w:start w:val="1"/>
      <w:numFmt w:val="lowerRoman"/>
      <w:lvlText w:val="%3."/>
      <w:lvlJc w:val="right"/>
      <w:pPr>
        <w:ind w:left="2847" w:hanging="180"/>
      </w:pPr>
    </w:lvl>
    <w:lvl w:ilvl="3" w:tplc="041B000F" w:tentative="1">
      <w:start w:val="1"/>
      <w:numFmt w:val="decimal"/>
      <w:lvlText w:val="%4."/>
      <w:lvlJc w:val="left"/>
      <w:pPr>
        <w:ind w:left="3567" w:hanging="360"/>
      </w:pPr>
    </w:lvl>
    <w:lvl w:ilvl="4" w:tplc="041B0019" w:tentative="1">
      <w:start w:val="1"/>
      <w:numFmt w:val="lowerLetter"/>
      <w:lvlText w:val="%5."/>
      <w:lvlJc w:val="left"/>
      <w:pPr>
        <w:ind w:left="4287" w:hanging="360"/>
      </w:pPr>
    </w:lvl>
    <w:lvl w:ilvl="5" w:tplc="041B001B" w:tentative="1">
      <w:start w:val="1"/>
      <w:numFmt w:val="lowerRoman"/>
      <w:lvlText w:val="%6."/>
      <w:lvlJc w:val="right"/>
      <w:pPr>
        <w:ind w:left="5007" w:hanging="180"/>
      </w:pPr>
    </w:lvl>
    <w:lvl w:ilvl="6" w:tplc="041B000F" w:tentative="1">
      <w:start w:val="1"/>
      <w:numFmt w:val="decimal"/>
      <w:lvlText w:val="%7."/>
      <w:lvlJc w:val="left"/>
      <w:pPr>
        <w:ind w:left="5727" w:hanging="360"/>
      </w:pPr>
    </w:lvl>
    <w:lvl w:ilvl="7" w:tplc="041B0019" w:tentative="1">
      <w:start w:val="1"/>
      <w:numFmt w:val="lowerLetter"/>
      <w:lvlText w:val="%8."/>
      <w:lvlJc w:val="left"/>
      <w:pPr>
        <w:ind w:left="6447" w:hanging="360"/>
      </w:pPr>
    </w:lvl>
    <w:lvl w:ilvl="8" w:tplc="041B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4">
    <w:nsid w:val="362564FB"/>
    <w:multiLevelType w:val="hybridMultilevel"/>
    <w:tmpl w:val="9110A6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91A3E"/>
    <w:multiLevelType w:val="hybridMultilevel"/>
    <w:tmpl w:val="61B6EBF8"/>
    <w:lvl w:ilvl="0" w:tplc="40F43B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F259A"/>
    <w:multiLevelType w:val="hybridMultilevel"/>
    <w:tmpl w:val="A0E63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6365C"/>
    <w:multiLevelType w:val="hybridMultilevel"/>
    <w:tmpl w:val="EB68756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5211C"/>
    <w:multiLevelType w:val="hybridMultilevel"/>
    <w:tmpl w:val="85FA5C3E"/>
    <w:lvl w:ilvl="0" w:tplc="C3E8379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8369C1"/>
    <w:multiLevelType w:val="hybridMultilevel"/>
    <w:tmpl w:val="AF1A10E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1CB2C44"/>
    <w:multiLevelType w:val="hybridMultilevel"/>
    <w:tmpl w:val="CEDA1CB0"/>
    <w:lvl w:ilvl="0" w:tplc="FDFEC2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81B56"/>
    <w:multiLevelType w:val="hybridMultilevel"/>
    <w:tmpl w:val="9794B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80FEF"/>
    <w:multiLevelType w:val="hybridMultilevel"/>
    <w:tmpl w:val="DB44761E"/>
    <w:lvl w:ilvl="0" w:tplc="6602F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964C4"/>
    <w:multiLevelType w:val="hybridMultilevel"/>
    <w:tmpl w:val="11FEBF74"/>
    <w:lvl w:ilvl="0" w:tplc="68F277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F07A0"/>
    <w:multiLevelType w:val="hybridMultilevel"/>
    <w:tmpl w:val="BE507E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166F7"/>
    <w:multiLevelType w:val="hybridMultilevel"/>
    <w:tmpl w:val="6FA6A99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90D6E"/>
    <w:multiLevelType w:val="hybridMultilevel"/>
    <w:tmpl w:val="99560F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711B8"/>
    <w:multiLevelType w:val="hybridMultilevel"/>
    <w:tmpl w:val="3F9474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A6CE0"/>
    <w:multiLevelType w:val="hybridMultilevel"/>
    <w:tmpl w:val="42508094"/>
    <w:lvl w:ilvl="0" w:tplc="4260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4C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66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D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8D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44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46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8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A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9232404"/>
    <w:multiLevelType w:val="hybridMultilevel"/>
    <w:tmpl w:val="150CBCC8"/>
    <w:lvl w:ilvl="0" w:tplc="041B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0F0BCA"/>
    <w:multiLevelType w:val="multilevel"/>
    <w:tmpl w:val="E5A23B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E8C4E5A"/>
    <w:multiLevelType w:val="hybridMultilevel"/>
    <w:tmpl w:val="D04A67E4"/>
    <w:lvl w:ilvl="0" w:tplc="7F1E17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862B7"/>
    <w:multiLevelType w:val="hybridMultilevel"/>
    <w:tmpl w:val="BD1A42CE"/>
    <w:lvl w:ilvl="0" w:tplc="10BC6032">
      <w:start w:val="2"/>
      <w:numFmt w:val="bullet"/>
      <w:lvlText w:val="-"/>
      <w:lvlJc w:val="left"/>
      <w:pPr>
        <w:ind w:left="60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7894212E"/>
    <w:multiLevelType w:val="hybridMultilevel"/>
    <w:tmpl w:val="F7F058B0"/>
    <w:lvl w:ilvl="0" w:tplc="B270FFA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E6527"/>
    <w:multiLevelType w:val="hybridMultilevel"/>
    <w:tmpl w:val="140E9A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121A80"/>
    <w:multiLevelType w:val="hybridMultilevel"/>
    <w:tmpl w:val="CEDA1CB0"/>
    <w:lvl w:ilvl="0" w:tplc="FDFEC2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1"/>
  </w:num>
  <w:num w:numId="9">
    <w:abstractNumId w:val="5"/>
  </w:num>
  <w:num w:numId="10">
    <w:abstractNumId w:val="33"/>
  </w:num>
  <w:num w:numId="11">
    <w:abstractNumId w:val="2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  <w:num w:numId="16">
    <w:abstractNumId w:val="17"/>
  </w:num>
  <w:num w:numId="17">
    <w:abstractNumId w:val="25"/>
  </w:num>
  <w:num w:numId="18">
    <w:abstractNumId w:val="12"/>
  </w:num>
  <w:num w:numId="19">
    <w:abstractNumId w:val="24"/>
  </w:num>
  <w:num w:numId="20">
    <w:abstractNumId w:val="13"/>
  </w:num>
  <w:num w:numId="21">
    <w:abstractNumId w:val="34"/>
  </w:num>
  <w:num w:numId="22">
    <w:abstractNumId w:val="3"/>
  </w:num>
  <w:num w:numId="23">
    <w:abstractNumId w:val="8"/>
  </w:num>
  <w:num w:numId="24">
    <w:abstractNumId w:val="28"/>
  </w:num>
  <w:num w:numId="25">
    <w:abstractNumId w:val="32"/>
  </w:num>
  <w:num w:numId="26">
    <w:abstractNumId w:val="19"/>
  </w:num>
  <w:num w:numId="27">
    <w:abstractNumId w:val="35"/>
  </w:num>
  <w:num w:numId="28">
    <w:abstractNumId w:val="30"/>
  </w:num>
  <w:num w:numId="29">
    <w:abstractNumId w:val="11"/>
  </w:num>
  <w:num w:numId="30">
    <w:abstractNumId w:val="27"/>
  </w:num>
  <w:num w:numId="31">
    <w:abstractNumId w:val="0"/>
  </w:num>
  <w:num w:numId="32">
    <w:abstractNumId w:val="4"/>
  </w:num>
  <w:num w:numId="33">
    <w:abstractNumId w:val="16"/>
  </w:num>
  <w:num w:numId="34">
    <w:abstractNumId w:val="18"/>
  </w:num>
  <w:num w:numId="35">
    <w:abstractNumId w:val="29"/>
  </w:num>
  <w:num w:numId="36">
    <w:abstractNumId w:val="2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4C"/>
    <w:rsid w:val="000012B9"/>
    <w:rsid w:val="00003769"/>
    <w:rsid w:val="00021AC2"/>
    <w:rsid w:val="00031C44"/>
    <w:rsid w:val="00033856"/>
    <w:rsid w:val="00036AB5"/>
    <w:rsid w:val="00044365"/>
    <w:rsid w:val="00046E22"/>
    <w:rsid w:val="0005086A"/>
    <w:rsid w:val="00050ED7"/>
    <w:rsid w:val="00056B1A"/>
    <w:rsid w:val="00060722"/>
    <w:rsid w:val="00064620"/>
    <w:rsid w:val="00070106"/>
    <w:rsid w:val="00071036"/>
    <w:rsid w:val="000836B4"/>
    <w:rsid w:val="0008525D"/>
    <w:rsid w:val="00093DE6"/>
    <w:rsid w:val="000A456B"/>
    <w:rsid w:val="000A7AAD"/>
    <w:rsid w:val="000B3234"/>
    <w:rsid w:val="000B4F7B"/>
    <w:rsid w:val="000D2F7A"/>
    <w:rsid w:val="000D306A"/>
    <w:rsid w:val="000E5E8E"/>
    <w:rsid w:val="000E7893"/>
    <w:rsid w:val="000F481C"/>
    <w:rsid w:val="000F4961"/>
    <w:rsid w:val="000F7230"/>
    <w:rsid w:val="001049EC"/>
    <w:rsid w:val="00115C35"/>
    <w:rsid w:val="001256F6"/>
    <w:rsid w:val="00125701"/>
    <w:rsid w:val="00125BCB"/>
    <w:rsid w:val="00130404"/>
    <w:rsid w:val="00135F29"/>
    <w:rsid w:val="00140209"/>
    <w:rsid w:val="0014435D"/>
    <w:rsid w:val="0014475C"/>
    <w:rsid w:val="00151A14"/>
    <w:rsid w:val="00156470"/>
    <w:rsid w:val="00157C17"/>
    <w:rsid w:val="00162AD5"/>
    <w:rsid w:val="00164B84"/>
    <w:rsid w:val="00172E47"/>
    <w:rsid w:val="001924C2"/>
    <w:rsid w:val="001A612A"/>
    <w:rsid w:val="001A76BD"/>
    <w:rsid w:val="001A7F0A"/>
    <w:rsid w:val="001B15BA"/>
    <w:rsid w:val="001B236A"/>
    <w:rsid w:val="001B459C"/>
    <w:rsid w:val="001B510F"/>
    <w:rsid w:val="001B5C64"/>
    <w:rsid w:val="001C7FDE"/>
    <w:rsid w:val="001D36E5"/>
    <w:rsid w:val="001D3DE6"/>
    <w:rsid w:val="001D7AB0"/>
    <w:rsid w:val="001E2F47"/>
    <w:rsid w:val="001F2F8B"/>
    <w:rsid w:val="001F3B8B"/>
    <w:rsid w:val="001F5EE6"/>
    <w:rsid w:val="0022159F"/>
    <w:rsid w:val="00225A52"/>
    <w:rsid w:val="002271DA"/>
    <w:rsid w:val="0023319A"/>
    <w:rsid w:val="00241E34"/>
    <w:rsid w:val="00242D71"/>
    <w:rsid w:val="002436F6"/>
    <w:rsid w:val="002533C1"/>
    <w:rsid w:val="00270245"/>
    <w:rsid w:val="00271F66"/>
    <w:rsid w:val="00281EA8"/>
    <w:rsid w:val="00282944"/>
    <w:rsid w:val="002831AB"/>
    <w:rsid w:val="00284163"/>
    <w:rsid w:val="00291E38"/>
    <w:rsid w:val="002931E2"/>
    <w:rsid w:val="002962E3"/>
    <w:rsid w:val="00296676"/>
    <w:rsid w:val="00296FDD"/>
    <w:rsid w:val="002B6DE7"/>
    <w:rsid w:val="002D3D44"/>
    <w:rsid w:val="002E2F86"/>
    <w:rsid w:val="002F11EA"/>
    <w:rsid w:val="003006C5"/>
    <w:rsid w:val="00310655"/>
    <w:rsid w:val="0031735A"/>
    <w:rsid w:val="003365E9"/>
    <w:rsid w:val="003427EB"/>
    <w:rsid w:val="0034580B"/>
    <w:rsid w:val="00345FBE"/>
    <w:rsid w:val="00346208"/>
    <w:rsid w:val="00346988"/>
    <w:rsid w:val="00355C3D"/>
    <w:rsid w:val="0036623C"/>
    <w:rsid w:val="00367D81"/>
    <w:rsid w:val="003743E4"/>
    <w:rsid w:val="00376CBA"/>
    <w:rsid w:val="00382BC4"/>
    <w:rsid w:val="003862C3"/>
    <w:rsid w:val="00390EE6"/>
    <w:rsid w:val="00391419"/>
    <w:rsid w:val="00391758"/>
    <w:rsid w:val="00391F06"/>
    <w:rsid w:val="00394CA6"/>
    <w:rsid w:val="003A3A8F"/>
    <w:rsid w:val="003D0FD5"/>
    <w:rsid w:val="003D27AF"/>
    <w:rsid w:val="003D4F98"/>
    <w:rsid w:val="003D5D2B"/>
    <w:rsid w:val="003E3795"/>
    <w:rsid w:val="003E62A3"/>
    <w:rsid w:val="003E6510"/>
    <w:rsid w:val="003E7067"/>
    <w:rsid w:val="003F00C0"/>
    <w:rsid w:val="003F3CD0"/>
    <w:rsid w:val="004002B2"/>
    <w:rsid w:val="004065AD"/>
    <w:rsid w:val="0042040B"/>
    <w:rsid w:val="004323D3"/>
    <w:rsid w:val="00436326"/>
    <w:rsid w:val="00444333"/>
    <w:rsid w:val="00447CA2"/>
    <w:rsid w:val="00454DAC"/>
    <w:rsid w:val="004556CE"/>
    <w:rsid w:val="00460924"/>
    <w:rsid w:val="00464427"/>
    <w:rsid w:val="00480F28"/>
    <w:rsid w:val="00484782"/>
    <w:rsid w:val="00484B93"/>
    <w:rsid w:val="00490E55"/>
    <w:rsid w:val="00497334"/>
    <w:rsid w:val="004A0BBD"/>
    <w:rsid w:val="004B21DA"/>
    <w:rsid w:val="004B30EA"/>
    <w:rsid w:val="004C69A6"/>
    <w:rsid w:val="004C7201"/>
    <w:rsid w:val="004E1A1C"/>
    <w:rsid w:val="004F21C7"/>
    <w:rsid w:val="004F37F0"/>
    <w:rsid w:val="00504522"/>
    <w:rsid w:val="005129A4"/>
    <w:rsid w:val="00520760"/>
    <w:rsid w:val="00532415"/>
    <w:rsid w:val="00534726"/>
    <w:rsid w:val="005464EB"/>
    <w:rsid w:val="0055048A"/>
    <w:rsid w:val="00560C96"/>
    <w:rsid w:val="00565EBE"/>
    <w:rsid w:val="005733AD"/>
    <w:rsid w:val="005821E1"/>
    <w:rsid w:val="005851F0"/>
    <w:rsid w:val="00585FFC"/>
    <w:rsid w:val="005A0451"/>
    <w:rsid w:val="005A669F"/>
    <w:rsid w:val="005A6DCB"/>
    <w:rsid w:val="005A7457"/>
    <w:rsid w:val="005C2BA8"/>
    <w:rsid w:val="005F174C"/>
    <w:rsid w:val="005F394B"/>
    <w:rsid w:val="005F4BD0"/>
    <w:rsid w:val="00607508"/>
    <w:rsid w:val="00611774"/>
    <w:rsid w:val="006203C9"/>
    <w:rsid w:val="00622E73"/>
    <w:rsid w:val="006230B7"/>
    <w:rsid w:val="006250AA"/>
    <w:rsid w:val="00630821"/>
    <w:rsid w:val="00631C7C"/>
    <w:rsid w:val="00632A23"/>
    <w:rsid w:val="006334C8"/>
    <w:rsid w:val="00635CDD"/>
    <w:rsid w:val="00637FEE"/>
    <w:rsid w:val="0064305B"/>
    <w:rsid w:val="006467FD"/>
    <w:rsid w:val="00652FC8"/>
    <w:rsid w:val="00655F02"/>
    <w:rsid w:val="00662540"/>
    <w:rsid w:val="006658DE"/>
    <w:rsid w:val="0067097E"/>
    <w:rsid w:val="006736E8"/>
    <w:rsid w:val="0067762F"/>
    <w:rsid w:val="006819CF"/>
    <w:rsid w:val="00682B20"/>
    <w:rsid w:val="00686712"/>
    <w:rsid w:val="00692FCD"/>
    <w:rsid w:val="006A43AB"/>
    <w:rsid w:val="006A5583"/>
    <w:rsid w:val="006A6E22"/>
    <w:rsid w:val="006A72FE"/>
    <w:rsid w:val="006B39B9"/>
    <w:rsid w:val="006B4B59"/>
    <w:rsid w:val="006D215F"/>
    <w:rsid w:val="006D45A1"/>
    <w:rsid w:val="006D55B7"/>
    <w:rsid w:val="006E58BF"/>
    <w:rsid w:val="006F159E"/>
    <w:rsid w:val="006F6960"/>
    <w:rsid w:val="006F750D"/>
    <w:rsid w:val="007105B6"/>
    <w:rsid w:val="00721A0D"/>
    <w:rsid w:val="007251A9"/>
    <w:rsid w:val="007411FD"/>
    <w:rsid w:val="007432E0"/>
    <w:rsid w:val="0075533B"/>
    <w:rsid w:val="007627AD"/>
    <w:rsid w:val="00764189"/>
    <w:rsid w:val="007648FB"/>
    <w:rsid w:val="007754DF"/>
    <w:rsid w:val="0078436D"/>
    <w:rsid w:val="007873E0"/>
    <w:rsid w:val="00793BF0"/>
    <w:rsid w:val="00794AE4"/>
    <w:rsid w:val="007A3A41"/>
    <w:rsid w:val="007B543C"/>
    <w:rsid w:val="007B5E8E"/>
    <w:rsid w:val="007C219C"/>
    <w:rsid w:val="007D3095"/>
    <w:rsid w:val="007D3DFB"/>
    <w:rsid w:val="007E3894"/>
    <w:rsid w:val="007E46D4"/>
    <w:rsid w:val="007F3CE2"/>
    <w:rsid w:val="00800FD1"/>
    <w:rsid w:val="008131ED"/>
    <w:rsid w:val="00816B7C"/>
    <w:rsid w:val="00816B88"/>
    <w:rsid w:val="00821C20"/>
    <w:rsid w:val="00825ED3"/>
    <w:rsid w:val="00831457"/>
    <w:rsid w:val="00831E87"/>
    <w:rsid w:val="00831FB7"/>
    <w:rsid w:val="0083651B"/>
    <w:rsid w:val="00837063"/>
    <w:rsid w:val="00837C64"/>
    <w:rsid w:val="00844BE6"/>
    <w:rsid w:val="00846D5E"/>
    <w:rsid w:val="00850F82"/>
    <w:rsid w:val="00851A61"/>
    <w:rsid w:val="00854AA7"/>
    <w:rsid w:val="00863AB8"/>
    <w:rsid w:val="008665E8"/>
    <w:rsid w:val="00874F7D"/>
    <w:rsid w:val="008758EE"/>
    <w:rsid w:val="00876D17"/>
    <w:rsid w:val="00882180"/>
    <w:rsid w:val="00882431"/>
    <w:rsid w:val="00882954"/>
    <w:rsid w:val="008913A7"/>
    <w:rsid w:val="00893371"/>
    <w:rsid w:val="008B1F85"/>
    <w:rsid w:val="008B6618"/>
    <w:rsid w:val="008C430C"/>
    <w:rsid w:val="008C68C3"/>
    <w:rsid w:val="008C7D7C"/>
    <w:rsid w:val="008D7405"/>
    <w:rsid w:val="008D790B"/>
    <w:rsid w:val="008E0619"/>
    <w:rsid w:val="008E2DFA"/>
    <w:rsid w:val="008F13BD"/>
    <w:rsid w:val="009173C0"/>
    <w:rsid w:val="00924686"/>
    <w:rsid w:val="009366AD"/>
    <w:rsid w:val="00945D4E"/>
    <w:rsid w:val="00954E39"/>
    <w:rsid w:val="0096614F"/>
    <w:rsid w:val="0096617C"/>
    <w:rsid w:val="00972390"/>
    <w:rsid w:val="00977BAA"/>
    <w:rsid w:val="00984775"/>
    <w:rsid w:val="00985EF3"/>
    <w:rsid w:val="00990C39"/>
    <w:rsid w:val="00991815"/>
    <w:rsid w:val="009A2262"/>
    <w:rsid w:val="009A4C22"/>
    <w:rsid w:val="009A5F91"/>
    <w:rsid w:val="009B2A82"/>
    <w:rsid w:val="009B44A7"/>
    <w:rsid w:val="009C044C"/>
    <w:rsid w:val="009C1738"/>
    <w:rsid w:val="009C660F"/>
    <w:rsid w:val="009C6A7C"/>
    <w:rsid w:val="009D70DE"/>
    <w:rsid w:val="009E272E"/>
    <w:rsid w:val="009E39C1"/>
    <w:rsid w:val="009E406E"/>
    <w:rsid w:val="009F163B"/>
    <w:rsid w:val="009F490D"/>
    <w:rsid w:val="009F571A"/>
    <w:rsid w:val="009F5F93"/>
    <w:rsid w:val="00A00D08"/>
    <w:rsid w:val="00A0344F"/>
    <w:rsid w:val="00A06ABC"/>
    <w:rsid w:val="00A12BF2"/>
    <w:rsid w:val="00A17E38"/>
    <w:rsid w:val="00A21E69"/>
    <w:rsid w:val="00A2245F"/>
    <w:rsid w:val="00A24644"/>
    <w:rsid w:val="00A268E1"/>
    <w:rsid w:val="00A3624C"/>
    <w:rsid w:val="00A4503B"/>
    <w:rsid w:val="00A546C2"/>
    <w:rsid w:val="00A54A78"/>
    <w:rsid w:val="00A55D08"/>
    <w:rsid w:val="00A60DDD"/>
    <w:rsid w:val="00A72555"/>
    <w:rsid w:val="00A764BC"/>
    <w:rsid w:val="00A77703"/>
    <w:rsid w:val="00A80EFB"/>
    <w:rsid w:val="00A8455B"/>
    <w:rsid w:val="00A85A55"/>
    <w:rsid w:val="00A87E97"/>
    <w:rsid w:val="00A924CE"/>
    <w:rsid w:val="00A92E88"/>
    <w:rsid w:val="00AB6917"/>
    <w:rsid w:val="00AC0B23"/>
    <w:rsid w:val="00AD0177"/>
    <w:rsid w:val="00AD1249"/>
    <w:rsid w:val="00AD6AEF"/>
    <w:rsid w:val="00AF69CB"/>
    <w:rsid w:val="00B1136F"/>
    <w:rsid w:val="00B146D0"/>
    <w:rsid w:val="00B223A6"/>
    <w:rsid w:val="00B34B18"/>
    <w:rsid w:val="00B40CFE"/>
    <w:rsid w:val="00B41348"/>
    <w:rsid w:val="00B43325"/>
    <w:rsid w:val="00B43C65"/>
    <w:rsid w:val="00B451D1"/>
    <w:rsid w:val="00B51617"/>
    <w:rsid w:val="00B843C9"/>
    <w:rsid w:val="00B85728"/>
    <w:rsid w:val="00B85A17"/>
    <w:rsid w:val="00B865FE"/>
    <w:rsid w:val="00B90263"/>
    <w:rsid w:val="00B92DC3"/>
    <w:rsid w:val="00B96831"/>
    <w:rsid w:val="00BA5500"/>
    <w:rsid w:val="00BA7DAA"/>
    <w:rsid w:val="00BB4E38"/>
    <w:rsid w:val="00BB6013"/>
    <w:rsid w:val="00BC164A"/>
    <w:rsid w:val="00BC754F"/>
    <w:rsid w:val="00BD550B"/>
    <w:rsid w:val="00BD6519"/>
    <w:rsid w:val="00BE3613"/>
    <w:rsid w:val="00BF15DB"/>
    <w:rsid w:val="00BF2432"/>
    <w:rsid w:val="00BF6542"/>
    <w:rsid w:val="00C04CFA"/>
    <w:rsid w:val="00C17A61"/>
    <w:rsid w:val="00C20E28"/>
    <w:rsid w:val="00C31125"/>
    <w:rsid w:val="00C31244"/>
    <w:rsid w:val="00C40203"/>
    <w:rsid w:val="00C46397"/>
    <w:rsid w:val="00C52C79"/>
    <w:rsid w:val="00C60C87"/>
    <w:rsid w:val="00C613C1"/>
    <w:rsid w:val="00C70431"/>
    <w:rsid w:val="00C73234"/>
    <w:rsid w:val="00C843CB"/>
    <w:rsid w:val="00C8440B"/>
    <w:rsid w:val="00C93D05"/>
    <w:rsid w:val="00C9554D"/>
    <w:rsid w:val="00C969A2"/>
    <w:rsid w:val="00CA04F6"/>
    <w:rsid w:val="00CA5BD4"/>
    <w:rsid w:val="00CC4A13"/>
    <w:rsid w:val="00CC4CD8"/>
    <w:rsid w:val="00CD1C73"/>
    <w:rsid w:val="00CD1EE4"/>
    <w:rsid w:val="00CD2184"/>
    <w:rsid w:val="00CE2AA2"/>
    <w:rsid w:val="00CF6F00"/>
    <w:rsid w:val="00D016D1"/>
    <w:rsid w:val="00D02895"/>
    <w:rsid w:val="00D058B5"/>
    <w:rsid w:val="00D117E9"/>
    <w:rsid w:val="00D11B6C"/>
    <w:rsid w:val="00D142D7"/>
    <w:rsid w:val="00D2385B"/>
    <w:rsid w:val="00D324EF"/>
    <w:rsid w:val="00D36FDF"/>
    <w:rsid w:val="00D40DA3"/>
    <w:rsid w:val="00D42502"/>
    <w:rsid w:val="00D44100"/>
    <w:rsid w:val="00D4436B"/>
    <w:rsid w:val="00D470EB"/>
    <w:rsid w:val="00D5093D"/>
    <w:rsid w:val="00D5347B"/>
    <w:rsid w:val="00D53F97"/>
    <w:rsid w:val="00D70C87"/>
    <w:rsid w:val="00D80C5F"/>
    <w:rsid w:val="00D92B2F"/>
    <w:rsid w:val="00DA10D8"/>
    <w:rsid w:val="00DA23A4"/>
    <w:rsid w:val="00DC07F1"/>
    <w:rsid w:val="00DD01EE"/>
    <w:rsid w:val="00DD0E26"/>
    <w:rsid w:val="00DD468E"/>
    <w:rsid w:val="00DD51DD"/>
    <w:rsid w:val="00DE058A"/>
    <w:rsid w:val="00DE2BE7"/>
    <w:rsid w:val="00E108FD"/>
    <w:rsid w:val="00E155F7"/>
    <w:rsid w:val="00E17B90"/>
    <w:rsid w:val="00E20C59"/>
    <w:rsid w:val="00E322C8"/>
    <w:rsid w:val="00E47238"/>
    <w:rsid w:val="00E71E0C"/>
    <w:rsid w:val="00E7537D"/>
    <w:rsid w:val="00E75CBF"/>
    <w:rsid w:val="00E80550"/>
    <w:rsid w:val="00E80920"/>
    <w:rsid w:val="00E87CBF"/>
    <w:rsid w:val="00E9195F"/>
    <w:rsid w:val="00E95312"/>
    <w:rsid w:val="00E9675B"/>
    <w:rsid w:val="00EB1E6F"/>
    <w:rsid w:val="00EB525A"/>
    <w:rsid w:val="00ED5726"/>
    <w:rsid w:val="00EE290D"/>
    <w:rsid w:val="00EE375A"/>
    <w:rsid w:val="00F0271F"/>
    <w:rsid w:val="00F10AD3"/>
    <w:rsid w:val="00F34291"/>
    <w:rsid w:val="00F34F60"/>
    <w:rsid w:val="00F443E0"/>
    <w:rsid w:val="00F45BFA"/>
    <w:rsid w:val="00F516E0"/>
    <w:rsid w:val="00F64E1A"/>
    <w:rsid w:val="00F64F2C"/>
    <w:rsid w:val="00F65038"/>
    <w:rsid w:val="00F65271"/>
    <w:rsid w:val="00F67373"/>
    <w:rsid w:val="00F675C9"/>
    <w:rsid w:val="00F71C31"/>
    <w:rsid w:val="00F8504D"/>
    <w:rsid w:val="00F97AD1"/>
    <w:rsid w:val="00FA54BA"/>
    <w:rsid w:val="00FB010E"/>
    <w:rsid w:val="00FB3B9B"/>
    <w:rsid w:val="00FB5E26"/>
    <w:rsid w:val="00FB6765"/>
    <w:rsid w:val="00FB6805"/>
    <w:rsid w:val="00FC1537"/>
    <w:rsid w:val="00FC2962"/>
    <w:rsid w:val="00FC6B0A"/>
    <w:rsid w:val="00FD266F"/>
    <w:rsid w:val="00FD635B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0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0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B0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65E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174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5F2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B0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B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B010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Mriekatabuky2">
    <w:name w:val="Mriežka tabuľky2"/>
    <w:basedOn w:val="Normlnatabuka"/>
    <w:uiPriority w:val="59"/>
    <w:rsid w:val="003427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34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27EB"/>
    <w:rPr>
      <w:sz w:val="20"/>
      <w:szCs w:val="20"/>
    </w:rPr>
  </w:style>
  <w:style w:type="table" w:customStyle="1" w:styleId="Mriekatabuky21">
    <w:name w:val="Mriežka tabuľky21"/>
    <w:basedOn w:val="Normlnatabuka"/>
    <w:uiPriority w:val="59"/>
    <w:rsid w:val="006A43A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08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C07F1"/>
    <w:rPr>
      <w:color w:val="0000FF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07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07F1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45BFA"/>
    <w:rPr>
      <w:color w:val="800080" w:themeColor="followed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7762F"/>
    <w:pPr>
      <w:tabs>
        <w:tab w:val="left" w:pos="284"/>
        <w:tab w:val="right" w:leader="dot" w:pos="9344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B15BA"/>
    <w:pPr>
      <w:tabs>
        <w:tab w:val="left" w:pos="284"/>
        <w:tab w:val="right" w:leader="dot" w:pos="9344"/>
      </w:tabs>
      <w:spacing w:after="100"/>
      <w:ind w:left="284"/>
    </w:pPr>
  </w:style>
  <w:style w:type="paragraph" w:styleId="Obsah3">
    <w:name w:val="toc 3"/>
    <w:basedOn w:val="Normlny"/>
    <w:next w:val="Normlny"/>
    <w:autoRedefine/>
    <w:uiPriority w:val="39"/>
    <w:unhideWhenUsed/>
    <w:rsid w:val="005A7457"/>
    <w:pPr>
      <w:spacing w:after="100"/>
      <w:ind w:left="440"/>
    </w:pPr>
  </w:style>
  <w:style w:type="table" w:customStyle="1" w:styleId="Mriekatabuky22">
    <w:name w:val="Mriežka tabuľky22"/>
    <w:basedOn w:val="Normlnatabuka"/>
    <w:next w:val="Mriekatabuky"/>
    <w:uiPriority w:val="59"/>
    <w:rsid w:val="0050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50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obsahu">
    <w:name w:val="TOC Heading"/>
    <w:basedOn w:val="Nadpis1"/>
    <w:next w:val="Normlny"/>
    <w:uiPriority w:val="39"/>
    <w:unhideWhenUsed/>
    <w:qFormat/>
    <w:rsid w:val="00003769"/>
    <w:pPr>
      <w:outlineLvl w:val="9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8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455B"/>
  </w:style>
  <w:style w:type="paragraph" w:styleId="Pta">
    <w:name w:val="footer"/>
    <w:basedOn w:val="Normlny"/>
    <w:link w:val="PtaChar"/>
    <w:uiPriority w:val="99"/>
    <w:unhideWhenUsed/>
    <w:rsid w:val="00A8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455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153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153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C1537"/>
    <w:rPr>
      <w:vertAlign w:val="superscript"/>
    </w:rPr>
  </w:style>
  <w:style w:type="character" w:customStyle="1" w:styleId="Nadpis4Char">
    <w:name w:val="Nadpis 4 Char"/>
    <w:basedOn w:val="Predvolenpsmoodseku"/>
    <w:link w:val="Nadpis4"/>
    <w:uiPriority w:val="9"/>
    <w:rsid w:val="00565EB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0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0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B01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65E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174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5F2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B0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B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B010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Mriekatabuky2">
    <w:name w:val="Mriežka tabuľky2"/>
    <w:basedOn w:val="Normlnatabuka"/>
    <w:uiPriority w:val="59"/>
    <w:rsid w:val="003427E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34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27EB"/>
    <w:rPr>
      <w:sz w:val="20"/>
      <w:szCs w:val="20"/>
    </w:rPr>
  </w:style>
  <w:style w:type="table" w:customStyle="1" w:styleId="Mriekatabuky21">
    <w:name w:val="Mriežka tabuľky21"/>
    <w:basedOn w:val="Normlnatabuka"/>
    <w:uiPriority w:val="59"/>
    <w:rsid w:val="006A43A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08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C07F1"/>
    <w:rPr>
      <w:color w:val="0000FF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07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07F1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45BFA"/>
    <w:rPr>
      <w:color w:val="800080" w:themeColor="followed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7762F"/>
    <w:pPr>
      <w:tabs>
        <w:tab w:val="left" w:pos="284"/>
        <w:tab w:val="right" w:leader="dot" w:pos="9344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B15BA"/>
    <w:pPr>
      <w:tabs>
        <w:tab w:val="left" w:pos="284"/>
        <w:tab w:val="right" w:leader="dot" w:pos="9344"/>
      </w:tabs>
      <w:spacing w:after="100"/>
      <w:ind w:left="284"/>
    </w:pPr>
  </w:style>
  <w:style w:type="paragraph" w:styleId="Obsah3">
    <w:name w:val="toc 3"/>
    <w:basedOn w:val="Normlny"/>
    <w:next w:val="Normlny"/>
    <w:autoRedefine/>
    <w:uiPriority w:val="39"/>
    <w:unhideWhenUsed/>
    <w:rsid w:val="005A7457"/>
    <w:pPr>
      <w:spacing w:after="100"/>
      <w:ind w:left="440"/>
    </w:pPr>
  </w:style>
  <w:style w:type="table" w:customStyle="1" w:styleId="Mriekatabuky22">
    <w:name w:val="Mriežka tabuľky22"/>
    <w:basedOn w:val="Normlnatabuka"/>
    <w:next w:val="Mriekatabuky"/>
    <w:uiPriority w:val="59"/>
    <w:rsid w:val="0050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50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obsahu">
    <w:name w:val="TOC Heading"/>
    <w:basedOn w:val="Nadpis1"/>
    <w:next w:val="Normlny"/>
    <w:uiPriority w:val="39"/>
    <w:unhideWhenUsed/>
    <w:qFormat/>
    <w:rsid w:val="00003769"/>
    <w:pPr>
      <w:outlineLvl w:val="9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8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455B"/>
  </w:style>
  <w:style w:type="paragraph" w:styleId="Pta">
    <w:name w:val="footer"/>
    <w:basedOn w:val="Normlny"/>
    <w:link w:val="PtaChar"/>
    <w:uiPriority w:val="99"/>
    <w:unhideWhenUsed/>
    <w:rsid w:val="00A8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455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153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153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C1537"/>
    <w:rPr>
      <w:vertAlign w:val="superscript"/>
    </w:rPr>
  </w:style>
  <w:style w:type="character" w:customStyle="1" w:styleId="Nadpis4Char">
    <w:name w:val="Nadpis 4 Char"/>
    <w:basedOn w:val="Predvolenpsmoodseku"/>
    <w:link w:val="Nadpis4"/>
    <w:uiPriority w:val="9"/>
    <w:rsid w:val="00565EB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2258">
          <w:marLeft w:val="691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433">
          <w:marLeft w:val="69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laf.vlada.gov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ezrovnalosti@vlada.gov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af.vlada.gov.sk/vyrocna-sprava-o-aktivitach-sietovych-partnerov-v-oblasti-ochrany-financnych-zaujmov-eu-v-sr-v-roku-201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nance.gov.sk/Default.aspx?CatID=91" TargetMode="External"/><Relationship Id="rId10" Type="http://schemas.openxmlformats.org/officeDocument/2006/relationships/hyperlink" Target="http://ec.europa.eu/anti_fraud/about-us/reports/communities-reports/index_e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0974-13BC-4B4D-BC21-BB9915E1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27</Pages>
  <Words>9344</Words>
  <Characters>53266</Characters>
  <Application>Microsoft Office Word</Application>
  <DocSecurity>0</DocSecurity>
  <Lines>443</Lines>
  <Paragraphs>124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62486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Prievalská Tatiana</dc:creator>
  <cp:lastModifiedBy>Prievalská Tatiana</cp:lastModifiedBy>
  <cp:revision>10</cp:revision>
  <cp:lastPrinted>2014-04-30T12:49:00Z</cp:lastPrinted>
  <dcterms:created xsi:type="dcterms:W3CDTF">2014-04-30T10:19:00Z</dcterms:created>
  <dcterms:modified xsi:type="dcterms:W3CDTF">2014-04-30T12:53:00Z</dcterms:modified>
</cp:coreProperties>
</file>