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E723C5">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E723C5">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E723C5">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E723C5">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E723C5">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E723C5">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E723C5">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723C5">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E723C5">
        <w:trPr>
          <w:trHeight w:val="70"/>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723C5">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723C5" w:rsidRPr="007D5748" w:rsidTr="00E723C5">
        <w:trPr>
          <w:trHeight w:val="125"/>
          <w:jc w:val="center"/>
        </w:trPr>
        <w:tc>
          <w:tcPr>
            <w:tcW w:w="4661" w:type="dxa"/>
            <w:noWrap/>
            <w:vAlign w:val="center"/>
          </w:tcPr>
          <w:p w:rsidR="00E723C5" w:rsidRPr="003F7A04" w:rsidRDefault="00E723C5" w:rsidP="00E723C5">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E723C5" w:rsidRPr="003F7A04" w:rsidRDefault="00E723C5" w:rsidP="007D57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E723C5" w:rsidRPr="003F7A04" w:rsidRDefault="00E723C5" w:rsidP="007D57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E723C5" w:rsidRPr="003F7A04" w:rsidRDefault="00E723C5" w:rsidP="007D57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E723C5" w:rsidRPr="003F7A04" w:rsidRDefault="00E723C5" w:rsidP="007D57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7D5748" w:rsidRPr="007D5748" w:rsidTr="00E723C5">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723C5" w:rsidRPr="007D5748" w:rsidTr="00E723C5">
        <w:trPr>
          <w:trHeight w:val="125"/>
          <w:jc w:val="center"/>
        </w:trPr>
        <w:tc>
          <w:tcPr>
            <w:tcW w:w="4661" w:type="dxa"/>
            <w:noWrap/>
            <w:vAlign w:val="center"/>
          </w:tcPr>
          <w:p w:rsidR="00E723C5" w:rsidRPr="007D5748" w:rsidRDefault="00E723C5" w:rsidP="00E723C5">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E723C5" w:rsidRPr="007D5748" w:rsidRDefault="00E723C5" w:rsidP="00E723C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E723C5" w:rsidRPr="007D5748" w:rsidRDefault="00E723C5" w:rsidP="00E723C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E723C5" w:rsidRPr="007D5748" w:rsidRDefault="00E723C5" w:rsidP="00E723C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E723C5" w:rsidRPr="007D5748" w:rsidRDefault="00E723C5" w:rsidP="00E723C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723C5">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E723C5">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723C5">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E723C5">
        <w:trPr>
          <w:trHeight w:val="70"/>
          <w:jc w:val="center"/>
        </w:trPr>
        <w:tc>
          <w:tcPr>
            <w:tcW w:w="4661" w:type="dxa"/>
            <w:shd w:val="clear" w:color="auto" w:fill="A6A6A6" w:themeFill="background1" w:themeFillShade="A6"/>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Rozpočtovo nekrytý vplyv / úspora</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1"/>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7D5748" w:rsidRPr="007D5748" w:rsidRDefault="007D5748" w:rsidP="003F7A04">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E723C5">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E723C5">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E723C5">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E723C5">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E723C5">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723C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E723C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E723C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E723C5">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E723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E723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E723C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E723C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E723C5">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723C5">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723C5">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723C5">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w:t>
      </w:r>
      <w:r w:rsidR="003468BE">
        <w:rPr>
          <w:rFonts w:ascii="Times New Roman" w:eastAsia="Times New Roman" w:hAnsi="Times New Roman" w:cs="Times New Roman"/>
          <w:sz w:val="24"/>
          <w:szCs w:val="24"/>
          <w:lang w:eastAsia="sk-SK"/>
        </w:rPr>
        <w:t xml:space="preserve"> </w:t>
      </w:r>
      <w:r w:rsidR="003468BE" w:rsidRPr="00943733">
        <w:rPr>
          <w:rFonts w:ascii="Times New Roman" w:eastAsia="Times New Roman" w:hAnsi="Times New Roman" w:cs="Times New Roman"/>
          <w:sz w:val="24"/>
          <w:szCs w:val="24"/>
          <w:lang w:eastAsia="sk-SK"/>
        </w:rPr>
        <w:t>Vplyv na obce a VÚC v riadku „z toho vplyv nových úloh v zmysle ods. 2 Čl. 6 ústavného zákona č. 493/2011 Z. z. o rozpočtovej zodpovednosti“ sa vypĺňa v prípade zavedenia nových úloh pri úprave pôsobnosti pre obce alebo vyššie územné celky, pričom štát na ich plnenie súčasne zabezpečí obci alebo vyššiemu územnému celku zodpovedajúce finančné prostriedky.</w:t>
      </w:r>
      <w:r w:rsidR="003468BE" w:rsidRPr="00D200BE">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rsidR="007D5748" w:rsidRPr="007D5748" w:rsidRDefault="007D5748" w:rsidP="007D5748">
      <w:pPr>
        <w:spacing w:after="0" w:line="240" w:lineRule="auto"/>
        <w:jc w:val="both"/>
        <w:rPr>
          <w:rFonts w:ascii="Times New Roman" w:eastAsia="Times New Roman" w:hAnsi="Times New Roman" w:cs="Verdana"/>
          <w:b/>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5748" w:rsidRPr="007D5748" w:rsidRDefault="007D5748" w:rsidP="007D5748">
      <w:pPr>
        <w:spacing w:after="0" w:line="240" w:lineRule="auto"/>
        <w:jc w:val="both"/>
        <w:rPr>
          <w:rFonts w:ascii="Times New Roman" w:eastAsia="Times New Roman" w:hAnsi="Times New Roman" w:cs="Verdana"/>
          <w:b/>
          <w:bCs/>
          <w:i/>
          <w:iCs/>
          <w:sz w:val="24"/>
          <w:szCs w:val="24"/>
        </w:rPr>
      </w:pPr>
    </w:p>
    <w:p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lastRenderedPageBreak/>
        <w:t>kapitálové investície</w:t>
      </w:r>
      <w:r w:rsidRPr="007D5748">
        <w:rPr>
          <w:rFonts w:ascii="Times New Roman" w:eastAsia="Times New Roman" w:hAnsi="Times New Roman" w:cs="Times New Roman"/>
          <w:sz w:val="24"/>
          <w:szCs w:val="24"/>
        </w:rPr>
        <w:t xml:space="preserve"> – nové budovy, dátové alebo komunikačné systémy a pod.</w:t>
      </w:r>
    </w:p>
    <w:p w:rsidR="007D5748" w:rsidRPr="007D5748" w:rsidRDefault="007D5748" w:rsidP="007D5748">
      <w:pPr>
        <w:spacing w:after="0" w:line="240" w:lineRule="auto"/>
        <w:jc w:val="both"/>
        <w:rPr>
          <w:rFonts w:ascii="Times New Roman" w:eastAsia="Times New Roman" w:hAnsi="Times New Roman" w:cs="Verdana"/>
          <w:b/>
          <w:bCs/>
          <w:sz w:val="24"/>
          <w:szCs w:val="24"/>
        </w:rPr>
      </w:pPr>
    </w:p>
    <w:p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7D5748" w:rsidRDefault="007D5748" w:rsidP="007D5748">
      <w:pPr>
        <w:spacing w:after="0" w:line="240" w:lineRule="auto"/>
        <w:jc w:val="both"/>
        <w:rPr>
          <w:rFonts w:ascii="Times New Roman" w:eastAsia="Times New Roman" w:hAnsi="Times New Roman" w:cs="Verdana"/>
          <w:b/>
          <w:bCs/>
          <w:iCs/>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 xml:space="preserve">Ak daný návrh nemá žiadny vplyv na zamestnanosť, tabuľka č. 5 sa nemusí vypĺňať. V prípade, že vplyvom návrhu dochádza k nárastu alebo úbytku pracovných miest vo verejnej správe, je potrebné túto skutočnosť </w:t>
      </w:r>
      <w:r w:rsidRPr="007D5748">
        <w:rPr>
          <w:rFonts w:ascii="Times New Roman" w:eastAsia="Times New Roman" w:hAnsi="Times New Roman" w:cs="Times New Roman"/>
          <w:sz w:val="24"/>
          <w:szCs w:val="24"/>
          <w:lang w:eastAsia="sk-SK"/>
        </w:rPr>
        <w:lastRenderedPageBreak/>
        <w:t>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CFE" w:rsidRDefault="001B1CFE">
      <w:pPr>
        <w:spacing w:after="0" w:line="240" w:lineRule="auto"/>
      </w:pPr>
      <w:r>
        <w:separator/>
      </w:r>
    </w:p>
  </w:endnote>
  <w:endnote w:type="continuationSeparator" w:id="0">
    <w:p w:rsidR="001B1CFE" w:rsidRDefault="001B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C5" w:rsidRDefault="00E723C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723C5" w:rsidRDefault="00E723C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C5" w:rsidRDefault="00E723C5">
    <w:pPr>
      <w:pStyle w:val="Pta"/>
      <w:jc w:val="right"/>
    </w:pPr>
    <w:r>
      <w:fldChar w:fldCharType="begin"/>
    </w:r>
    <w:r>
      <w:instrText>PAGE   \* MERGEFORMAT</w:instrText>
    </w:r>
    <w:r>
      <w:fldChar w:fldCharType="separate"/>
    </w:r>
    <w:r w:rsidR="004624D0">
      <w:rPr>
        <w:noProof/>
      </w:rPr>
      <w:t>1</w:t>
    </w:r>
    <w:r>
      <w:fldChar w:fldCharType="end"/>
    </w:r>
  </w:p>
  <w:p w:rsidR="00E723C5" w:rsidRDefault="00E723C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C5" w:rsidRDefault="00E723C5">
    <w:pPr>
      <w:pStyle w:val="Pta"/>
      <w:jc w:val="right"/>
    </w:pPr>
    <w:r>
      <w:fldChar w:fldCharType="begin"/>
    </w:r>
    <w:r>
      <w:instrText>PAGE   \* MERGEFORMAT</w:instrText>
    </w:r>
    <w:r>
      <w:fldChar w:fldCharType="separate"/>
    </w:r>
    <w:r>
      <w:rPr>
        <w:noProof/>
      </w:rPr>
      <w:t>0</w:t>
    </w:r>
    <w:r>
      <w:fldChar w:fldCharType="end"/>
    </w:r>
  </w:p>
  <w:p w:rsidR="00E723C5" w:rsidRDefault="00E723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CFE" w:rsidRDefault="001B1CFE">
      <w:pPr>
        <w:spacing w:after="0" w:line="240" w:lineRule="auto"/>
      </w:pPr>
      <w:r>
        <w:separator/>
      </w:r>
    </w:p>
  </w:footnote>
  <w:footnote w:type="continuationSeparator" w:id="0">
    <w:p w:rsidR="001B1CFE" w:rsidRDefault="001B1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C5" w:rsidRDefault="00E723C5" w:rsidP="00E723C5">
    <w:pPr>
      <w:pStyle w:val="Hlavika"/>
      <w:jc w:val="right"/>
      <w:rPr>
        <w:sz w:val="24"/>
        <w:szCs w:val="24"/>
      </w:rPr>
    </w:pPr>
    <w:r>
      <w:rPr>
        <w:sz w:val="24"/>
        <w:szCs w:val="24"/>
      </w:rPr>
      <w:t>Príloha č. 2</w:t>
    </w:r>
  </w:p>
  <w:p w:rsidR="00E723C5" w:rsidRPr="00EB59C8" w:rsidRDefault="00E723C5"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C5" w:rsidRPr="0024067A" w:rsidRDefault="00E723C5">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C5" w:rsidRPr="000A15AE" w:rsidRDefault="00E723C5" w:rsidP="00E723C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5EB6"/>
    <w:rsid w:val="00057135"/>
    <w:rsid w:val="001127A8"/>
    <w:rsid w:val="00170D2B"/>
    <w:rsid w:val="001B1CFE"/>
    <w:rsid w:val="00200898"/>
    <w:rsid w:val="00212894"/>
    <w:rsid w:val="00317B90"/>
    <w:rsid w:val="003468BE"/>
    <w:rsid w:val="003F7A04"/>
    <w:rsid w:val="004624D0"/>
    <w:rsid w:val="00487203"/>
    <w:rsid w:val="005005EC"/>
    <w:rsid w:val="007246BD"/>
    <w:rsid w:val="007247BB"/>
    <w:rsid w:val="007D5748"/>
    <w:rsid w:val="008D339D"/>
    <w:rsid w:val="008E2736"/>
    <w:rsid w:val="009706B7"/>
    <w:rsid w:val="0098553A"/>
    <w:rsid w:val="00B5535C"/>
    <w:rsid w:val="00C15212"/>
    <w:rsid w:val="00C51FD4"/>
    <w:rsid w:val="00CB3623"/>
    <w:rsid w:val="00CE299A"/>
    <w:rsid w:val="00DE5BF1"/>
    <w:rsid w:val="00E07CE9"/>
    <w:rsid w:val="00E723C5"/>
    <w:rsid w:val="00E963A3"/>
    <w:rsid w:val="00EA1E90"/>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6BA50-05E8-42CA-B2E8-7541D366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2795</Words>
  <Characters>15934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Pavlikova Katarina</cp:lastModifiedBy>
  <cp:revision>2</cp:revision>
  <dcterms:created xsi:type="dcterms:W3CDTF">2022-06-09T09:43:00Z</dcterms:created>
  <dcterms:modified xsi:type="dcterms:W3CDTF">2022-06-09T09:43:00Z</dcterms:modified>
</cp:coreProperties>
</file>